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1D1F" w14:textId="58669958" w:rsidR="009A086A" w:rsidRDefault="00137EC2" w:rsidP="00137EC2">
      <w:pPr>
        <w:pStyle w:val="Title"/>
        <w:rPr>
          <w:u w:val="single"/>
        </w:rPr>
      </w:pPr>
      <w:r w:rsidRPr="00137EC2">
        <w:rPr>
          <w:u w:val="single"/>
        </w:rPr>
        <w:t>Montecarlo simulation for semiconductors</w:t>
      </w:r>
    </w:p>
    <w:p w14:paraId="0631C3BB" w14:textId="4B035EBC" w:rsidR="00137EC2" w:rsidRDefault="00137EC2" w:rsidP="00137EC2"/>
    <w:p w14:paraId="5B563101" w14:textId="03DADB36" w:rsidR="00137EC2" w:rsidRDefault="00137EC2" w:rsidP="00137EC2">
      <w:r>
        <w:t>Group:</w:t>
      </w:r>
    </w:p>
    <w:p w14:paraId="5571F1BA" w14:textId="4750143E" w:rsidR="00137EC2" w:rsidRDefault="00137EC2" w:rsidP="00137EC2">
      <w:pPr>
        <w:rPr>
          <w:lang w:val="it-IT"/>
        </w:rPr>
      </w:pPr>
      <w:r w:rsidRPr="00137EC2">
        <w:rPr>
          <w:lang w:val="it-IT"/>
        </w:rPr>
        <w:t>Mattia Siviero s278053</w:t>
      </w:r>
      <w:r w:rsidRPr="00137EC2">
        <w:rPr>
          <w:lang w:val="it-IT"/>
        </w:rPr>
        <w:br/>
        <w:t>Marta Vona s269099</w:t>
      </w:r>
    </w:p>
    <w:p w14:paraId="66257C24" w14:textId="77777777" w:rsidR="00137EC2" w:rsidRDefault="00137EC2">
      <w:pPr>
        <w:rPr>
          <w:lang w:val="it-IT"/>
        </w:rPr>
      </w:pPr>
      <w:r>
        <w:rPr>
          <w:lang w:val="it-IT"/>
        </w:rPr>
        <w:br w:type="page"/>
      </w:r>
    </w:p>
    <w:p w14:paraId="5B64DBC6" w14:textId="1643DB8E" w:rsidR="00137EC2" w:rsidRPr="007D286C" w:rsidRDefault="00137EC2" w:rsidP="00137EC2">
      <w:pPr>
        <w:pStyle w:val="Heading1"/>
        <w:rPr>
          <w:u w:val="single"/>
        </w:rPr>
      </w:pPr>
      <w:r w:rsidRPr="007D286C">
        <w:rPr>
          <w:u w:val="single"/>
        </w:rPr>
        <w:lastRenderedPageBreak/>
        <w:t>Part 1</w:t>
      </w:r>
    </w:p>
    <w:p w14:paraId="444A8B8F" w14:textId="473DB091" w:rsidR="00137EC2" w:rsidRDefault="00137EC2" w:rsidP="00137EC2">
      <w:pPr>
        <w:autoSpaceDE w:val="0"/>
        <w:autoSpaceDN w:val="0"/>
        <w:adjustRightInd w:val="0"/>
        <w:spacing w:after="0" w:line="240" w:lineRule="auto"/>
        <w:jc w:val="both"/>
        <w:rPr>
          <w:rFonts w:ascii="NimbusRomNo9L-Regu" w:hAnsi="NimbusRomNo9L-Regu" w:cs="NimbusRomNo9L-Regu"/>
          <w:color w:val="2F5496" w:themeColor="accent1" w:themeShade="BF"/>
        </w:rPr>
      </w:pPr>
      <w:r w:rsidRPr="00137EC2">
        <w:rPr>
          <w:rFonts w:ascii="NimbusRomNo9L-Regu" w:hAnsi="NimbusRomNo9L-Regu" w:cs="NimbusRomNo9L-Regu"/>
          <w:color w:val="2F5496" w:themeColor="accent1" w:themeShade="BF"/>
        </w:rPr>
        <w:t xml:space="preserve">Write a </w:t>
      </w:r>
      <w:proofErr w:type="spellStart"/>
      <w:r w:rsidRPr="00137EC2">
        <w:rPr>
          <w:rFonts w:ascii="NimbusRomNo9L-Regu" w:hAnsi="NimbusRomNo9L-Regu" w:cs="NimbusRomNo9L-Regu"/>
          <w:color w:val="2F5496" w:themeColor="accent1" w:themeShade="BF"/>
        </w:rPr>
        <w:t>Matlab</w:t>
      </w:r>
      <w:proofErr w:type="spellEnd"/>
      <w:r w:rsidRPr="00137EC2">
        <w:rPr>
          <w:rFonts w:ascii="NimbusRomNo9L-Regu" w:hAnsi="NimbusRomNo9L-Regu" w:cs="NimbusRomNo9L-Regu"/>
          <w:color w:val="2F5496" w:themeColor="accent1" w:themeShade="BF"/>
        </w:rPr>
        <w:t xml:space="preserve"> program to compute the acoustic deformation potential scattering rate in GaAs according to the inelastic expression (3.59); plot the absorption and emission scattering rates as a function of energy, for different values of the temperature (e.g., </w:t>
      </w:r>
      <w:r w:rsidRPr="00137EC2">
        <w:rPr>
          <w:rFonts w:ascii="NimbusRomNo9L-ReguItal" w:hAnsi="NimbusRomNo9L-ReguItal" w:cs="NimbusRomNo9L-ReguItal"/>
          <w:color w:val="2F5496" w:themeColor="accent1" w:themeShade="BF"/>
        </w:rPr>
        <w:t xml:space="preserve">T </w:t>
      </w:r>
      <w:r w:rsidRPr="00137EC2">
        <w:rPr>
          <w:rFonts w:ascii="CMR10" w:hAnsi="CMR10" w:cs="CMR10"/>
          <w:color w:val="2F5496" w:themeColor="accent1" w:themeShade="BF"/>
        </w:rPr>
        <w:t xml:space="preserve">= </w:t>
      </w:r>
      <w:r w:rsidRPr="00137EC2">
        <w:rPr>
          <w:rFonts w:ascii="NimbusRomNo9L-Regu" w:hAnsi="NimbusRomNo9L-Regu" w:cs="NimbusRomNo9L-Regu"/>
          <w:color w:val="2F5496" w:themeColor="accent1" w:themeShade="BF"/>
        </w:rPr>
        <w:t xml:space="preserve">300K and </w:t>
      </w:r>
      <w:r w:rsidRPr="00137EC2">
        <w:rPr>
          <w:rFonts w:ascii="NimbusRomNo9L-ReguItal" w:hAnsi="NimbusRomNo9L-ReguItal" w:cs="NimbusRomNo9L-ReguItal"/>
          <w:color w:val="2F5496" w:themeColor="accent1" w:themeShade="BF"/>
        </w:rPr>
        <w:t xml:space="preserve">T </w:t>
      </w:r>
      <w:r w:rsidRPr="00137EC2">
        <w:rPr>
          <w:rFonts w:ascii="CMR10" w:hAnsi="CMR10" w:cs="CMR10"/>
          <w:color w:val="2F5496" w:themeColor="accent1" w:themeShade="BF"/>
        </w:rPr>
        <w:t xml:space="preserve">= </w:t>
      </w:r>
      <w:r w:rsidRPr="00137EC2">
        <w:rPr>
          <w:rFonts w:ascii="NimbusRomNo9L-Regu" w:hAnsi="NimbusRomNo9L-Regu" w:cs="NimbusRomNo9L-Regu"/>
          <w:color w:val="2F5496" w:themeColor="accent1" w:themeShade="BF"/>
        </w:rPr>
        <w:t>77K). Compare the results with the elastic approximation (3.54), see Fig. 3.6.</w:t>
      </w:r>
    </w:p>
    <w:p w14:paraId="24AB8C62" w14:textId="795C0C00" w:rsidR="00137EC2" w:rsidRDefault="00137EC2" w:rsidP="00137EC2">
      <w:pPr>
        <w:autoSpaceDE w:val="0"/>
        <w:autoSpaceDN w:val="0"/>
        <w:adjustRightInd w:val="0"/>
        <w:spacing w:after="0" w:line="240" w:lineRule="auto"/>
        <w:jc w:val="both"/>
        <w:rPr>
          <w:rFonts w:ascii="NimbusRomNo9L-Regu" w:hAnsi="NimbusRomNo9L-Regu" w:cs="NimbusRomNo9L-Regu"/>
          <w:color w:val="2F5496" w:themeColor="accent1" w:themeShade="BF"/>
        </w:rPr>
      </w:pPr>
    </w:p>
    <w:p w14:paraId="5B45535C" w14:textId="05CAF9E2" w:rsidR="00524EC8" w:rsidRPr="00524EC8" w:rsidRDefault="00524EC8" w:rsidP="00524EC8">
      <w:pPr>
        <w:pStyle w:val="Heading2"/>
        <w:rPr>
          <w:u w:val="single"/>
        </w:rPr>
      </w:pPr>
      <w:r w:rsidRPr="00524EC8">
        <w:rPr>
          <w:u w:val="single"/>
        </w:rPr>
        <w:t>Introduction</w:t>
      </w:r>
    </w:p>
    <w:p w14:paraId="194D4193" w14:textId="4563D822" w:rsidR="00137EC2" w:rsidRDefault="00137EC2" w:rsidP="00137EC2">
      <w:pPr>
        <w:autoSpaceDE w:val="0"/>
        <w:autoSpaceDN w:val="0"/>
        <w:adjustRightInd w:val="0"/>
        <w:spacing w:after="0" w:line="240" w:lineRule="auto"/>
        <w:jc w:val="both"/>
      </w:pPr>
      <w:r>
        <w:t xml:space="preserve">Phonons are quanta of lattice vibration, so they are associated to </w:t>
      </w:r>
      <w:r w:rsidR="007D66FA">
        <w:t>the</w:t>
      </w:r>
      <w:r>
        <w:t xml:space="preserve"> displacements of ions from their equilibrium position.</w:t>
      </w:r>
      <w:r w:rsidR="007D66FA">
        <w:t xml:space="preserve"> The phonon dispersion relation (momentum-energy relation) has as many branches as the number of atoms constituting the crystal basis. If all the atoms associated to a lattice site vibrate in phase the corresponding phonon is an acoustic phonon, so called because acoustic vibrations are in the frequencies covered by this branch and the branch itself is linearized around k = 0 to derive a linear dispersion relation for lower frequencies (where the linear coefficient is a velocity: the speed of sound). If the vibrations of atoms associated to a site are out of phase the phonon has higher energy and is defined as an optical phonon due to the possibility of being excited by EM radiation and emitting such radiations in ionic compounds like GaAs.</w:t>
      </w:r>
    </w:p>
    <w:p w14:paraId="2267700A" w14:textId="7541E162" w:rsidR="007D66FA" w:rsidRDefault="007D66FA" w:rsidP="00137EC2">
      <w:pPr>
        <w:autoSpaceDE w:val="0"/>
        <w:autoSpaceDN w:val="0"/>
        <w:adjustRightInd w:val="0"/>
        <w:spacing w:after="0" w:line="240" w:lineRule="auto"/>
        <w:jc w:val="both"/>
      </w:pPr>
    </w:p>
    <w:p w14:paraId="28441EB9" w14:textId="585B78BF" w:rsidR="00524EC8" w:rsidRDefault="007D66FA" w:rsidP="00137EC2">
      <w:pPr>
        <w:autoSpaceDE w:val="0"/>
        <w:autoSpaceDN w:val="0"/>
        <w:adjustRightInd w:val="0"/>
        <w:spacing w:after="0" w:line="240" w:lineRule="auto"/>
        <w:jc w:val="both"/>
      </w:pPr>
      <w:r>
        <w:t>Phonons interact with electrons. Carrier-phonon interactions represent the scattering of said carriers by the ion lattice.</w:t>
      </w:r>
    </w:p>
    <w:p w14:paraId="4911BB38" w14:textId="484824A4" w:rsidR="007D66FA" w:rsidRDefault="007D66FA" w:rsidP="00137EC2">
      <w:pPr>
        <w:autoSpaceDE w:val="0"/>
        <w:autoSpaceDN w:val="0"/>
        <w:adjustRightInd w:val="0"/>
        <w:spacing w:after="0" w:line="240" w:lineRule="auto"/>
        <w:jc w:val="both"/>
      </w:pPr>
    </w:p>
    <w:p w14:paraId="12B2847E" w14:textId="675EC9C6" w:rsidR="007D66FA" w:rsidRDefault="00524EC8" w:rsidP="00291476">
      <w:pPr>
        <w:autoSpaceDE w:val="0"/>
        <w:autoSpaceDN w:val="0"/>
        <w:adjustRightInd w:val="0"/>
        <w:spacing w:after="0" w:line="240" w:lineRule="auto"/>
        <w:jc w:val="both"/>
      </w:pPr>
      <w:r>
        <w:t>The scattering by phonons is  either nonpolar or polar depending on the absence or presence of long range electric (dipole) field that can interact with electrons</w:t>
      </w:r>
    </w:p>
    <w:p w14:paraId="3A6F98B5" w14:textId="6642212E" w:rsidR="00524EC8" w:rsidRDefault="00524EC8" w:rsidP="00291476">
      <w:pPr>
        <w:autoSpaceDE w:val="0"/>
        <w:autoSpaceDN w:val="0"/>
        <w:adjustRightInd w:val="0"/>
        <w:spacing w:after="0" w:line="240" w:lineRule="auto"/>
        <w:jc w:val="both"/>
      </w:pPr>
    </w:p>
    <w:p w14:paraId="11FFE237" w14:textId="60477EA3" w:rsidR="00524EC8" w:rsidRDefault="00AD263C" w:rsidP="00291476">
      <w:pPr>
        <w:pStyle w:val="Heading2"/>
        <w:jc w:val="both"/>
        <w:rPr>
          <w:u w:val="single"/>
        </w:rPr>
      </w:pPr>
      <w:r>
        <w:rPr>
          <w:u w:val="single"/>
        </w:rPr>
        <w:t>Deformation potential scattering by acoustic phonons (intravalley)</w:t>
      </w:r>
    </w:p>
    <w:p w14:paraId="31D22C86" w14:textId="54D817D9" w:rsidR="00AD263C" w:rsidRDefault="006627D3" w:rsidP="00291476">
      <w:pPr>
        <w:autoSpaceDE w:val="0"/>
        <w:autoSpaceDN w:val="0"/>
        <w:adjustRightInd w:val="0"/>
        <w:spacing w:after="0" w:line="240" w:lineRule="auto"/>
        <w:jc w:val="both"/>
        <w:rPr>
          <w:rFonts w:ascii="NimbusRomNo9L-Regu" w:hAnsi="NimbusRomNo9L-Regu" w:cs="NimbusRomNo9L-Regu"/>
        </w:rPr>
      </w:pPr>
      <w:r>
        <w:t>It is a nonpolar interaction due to the fact that</w:t>
      </w:r>
      <w:r w:rsidR="00CF2553">
        <w:t xml:space="preserve"> </w:t>
      </w:r>
      <w:r>
        <w:t xml:space="preserve">the </w:t>
      </w:r>
      <w:r w:rsidR="00CF2553">
        <w:t xml:space="preserve">displacement of the ions from their equilibrium position cause a displacement of the ionic potential. </w:t>
      </w:r>
      <w:r w:rsidR="00CF2553">
        <w:rPr>
          <w:rFonts w:ascii="NimbusRomNo9L-Regu" w:hAnsi="NimbusRomNo9L-Regu" w:cs="NimbusRomNo9L-Regu"/>
        </w:rPr>
        <w:t>In principle both acoustic and optical phonons contribute to this interaction, but here</w:t>
      </w:r>
      <w:r w:rsidR="00291476">
        <w:rPr>
          <w:rFonts w:ascii="NimbusRomNo9L-Regu" w:hAnsi="NimbusRomNo9L-Regu" w:cs="NimbusRomNo9L-Regu"/>
        </w:rPr>
        <w:t xml:space="preserve"> </w:t>
      </w:r>
      <w:r w:rsidR="00CF2553">
        <w:rPr>
          <w:rFonts w:ascii="NimbusRomNo9L-Regu" w:hAnsi="NimbusRomNo9L-Regu" w:cs="NimbusRomNo9L-Regu"/>
        </w:rPr>
        <w:t xml:space="preserve">we consider only deformation potential scattering by longitudinal </w:t>
      </w:r>
      <w:r w:rsidR="00CF2553">
        <w:rPr>
          <w:rFonts w:ascii="CMR10" w:hAnsi="CMR10" w:cs="CMR10"/>
        </w:rPr>
        <w:t>(</w:t>
      </w:r>
      <w:r w:rsidR="00CF2553">
        <w:rPr>
          <w:rFonts w:ascii="NimbusRomNo9L-ReguItal" w:hAnsi="NimbusRomNo9L-ReguItal" w:cs="NimbusRomNo9L-ReguItal"/>
        </w:rPr>
        <w:t>e</w:t>
      </w:r>
      <w:r w:rsidR="00CF2553">
        <w:rPr>
          <w:rFonts w:ascii="NimbusRomNo9L-ReguItal" w:hAnsi="NimbusRomNo9L-ReguItal" w:cs="NimbusRomNo9L-ReguItal"/>
          <w:sz w:val="16"/>
          <w:szCs w:val="16"/>
        </w:rPr>
        <w:t xml:space="preserve">q </w:t>
      </w:r>
      <w:r w:rsidR="00CF2553">
        <w:rPr>
          <w:rFonts w:ascii="CMR10" w:hAnsi="CMR10" w:cs="CMR10"/>
        </w:rPr>
        <w:t xml:space="preserve">= </w:t>
      </w:r>
      <w:r w:rsidR="00CF2553" w:rsidRPr="00291476">
        <w:rPr>
          <w:rFonts w:ascii="NimbusRomNo9L-ReguItal" w:hAnsi="NimbusRomNo9L-ReguItal" w:cs="NimbusRomNo9L-ReguItal"/>
          <w:u w:val="single"/>
        </w:rPr>
        <w:t>q</w:t>
      </w:r>
      <w:r w:rsidR="00291476">
        <w:rPr>
          <w:rFonts w:ascii="CMMI10" w:hAnsi="CMMI10" w:cs="CMMI10"/>
        </w:rPr>
        <w:t>/</w:t>
      </w:r>
      <w:r w:rsidR="00CF2553">
        <w:rPr>
          <w:rFonts w:ascii="NimbusRomNo9L-ReguItal" w:hAnsi="NimbusRomNo9L-ReguItal" w:cs="NimbusRomNo9L-ReguItal"/>
        </w:rPr>
        <w:t>q</w:t>
      </w:r>
      <w:r w:rsidR="00CF2553">
        <w:rPr>
          <w:rFonts w:ascii="CMR10" w:hAnsi="CMR10" w:cs="CMR10"/>
        </w:rPr>
        <w:t xml:space="preserve">) </w:t>
      </w:r>
      <w:r w:rsidR="00CF2553">
        <w:rPr>
          <w:rFonts w:ascii="NimbusRomNo9L-Regu" w:hAnsi="NimbusRomNo9L-Regu" w:cs="NimbusRomNo9L-Regu"/>
        </w:rPr>
        <w:t>acoustic waves</w:t>
      </w:r>
      <w:r w:rsidR="00291476">
        <w:rPr>
          <w:rFonts w:ascii="NimbusRomNo9L-Regu" w:hAnsi="NimbusRomNo9L-Regu" w:cs="NimbusRomNo9L-Regu"/>
        </w:rPr>
        <w:t>.</w:t>
      </w:r>
    </w:p>
    <w:p w14:paraId="0117D254" w14:textId="09EC829D" w:rsidR="00291476" w:rsidRDefault="00291476" w:rsidP="00291476">
      <w:pPr>
        <w:autoSpaceDE w:val="0"/>
        <w:autoSpaceDN w:val="0"/>
        <w:adjustRightInd w:val="0"/>
        <w:spacing w:after="0" w:line="240" w:lineRule="auto"/>
        <w:jc w:val="both"/>
        <w:rPr>
          <w:rFonts w:ascii="NimbusRomNo9L-Regu" w:hAnsi="NimbusRomNo9L-Regu" w:cs="NimbusRomNo9L-Regu"/>
        </w:rPr>
      </w:pPr>
    </w:p>
    <w:p w14:paraId="3C47CF54" w14:textId="74C27B0D" w:rsidR="00291476" w:rsidRDefault="00291476" w:rsidP="000C6D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inelastic acoustic scattering rate for a </w:t>
      </w:r>
      <w:proofErr w:type="spellStart"/>
      <w:r>
        <w:rPr>
          <w:rFonts w:ascii="NimbusRomNo9L-Regu" w:hAnsi="NimbusRomNo9L-Regu" w:cs="NimbusRomNo9L-Regu"/>
        </w:rPr>
        <w:t>nonparabolic</w:t>
      </w:r>
      <w:proofErr w:type="spellEnd"/>
      <w:r>
        <w:rPr>
          <w:rFonts w:ascii="NimbusRomNo9L-Regu" w:hAnsi="NimbusRomNo9L-Regu" w:cs="NimbusRomNo9L-Regu"/>
        </w:rPr>
        <w:t xml:space="preserve"> valley is </w:t>
      </w:r>
    </w:p>
    <w:p w14:paraId="63F7A1A0" w14:textId="2E00535D" w:rsidR="00291476" w:rsidRDefault="00291476" w:rsidP="000C6D6F">
      <w:pPr>
        <w:autoSpaceDE w:val="0"/>
        <w:autoSpaceDN w:val="0"/>
        <w:adjustRightInd w:val="0"/>
        <w:spacing w:after="0" w:line="240" w:lineRule="auto"/>
        <w:rPr>
          <w:rFonts w:ascii="NimbusRomNo9L-Regu" w:hAnsi="NimbusRomNo9L-Regu" w:cs="NimbusRomNo9L-Regu"/>
        </w:rPr>
      </w:pPr>
    </w:p>
    <w:p w14:paraId="2BB384E8" w14:textId="558BCC84" w:rsidR="00291476" w:rsidRDefault="00291476" w:rsidP="000C6D6F">
      <w:pPr>
        <w:autoSpaceDE w:val="0"/>
        <w:autoSpaceDN w:val="0"/>
        <w:adjustRightInd w:val="0"/>
        <w:spacing w:after="0" w:line="240" w:lineRule="auto"/>
      </w:pPr>
      <w:r w:rsidRPr="00291476">
        <w:rPr>
          <w:noProof/>
        </w:rPr>
        <w:drawing>
          <wp:inline distT="0" distB="0" distL="0" distR="0" wp14:anchorId="7AC6AAAD" wp14:editId="41DAEDE6">
            <wp:extent cx="1828800" cy="4373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496" cy="444648"/>
                    </a:xfrm>
                    <a:prstGeom prst="rect">
                      <a:avLst/>
                    </a:prstGeom>
                    <a:noFill/>
                    <a:ln>
                      <a:noFill/>
                    </a:ln>
                  </pic:spPr>
                </pic:pic>
              </a:graphicData>
            </a:graphic>
          </wp:inline>
        </w:drawing>
      </w:r>
      <w:r w:rsidRPr="00291476">
        <w:t xml:space="preserve"> </w:t>
      </w:r>
      <w:r w:rsidRPr="00291476">
        <w:rPr>
          <w:noProof/>
        </w:rPr>
        <w:drawing>
          <wp:inline distT="0" distB="0" distL="0" distR="0" wp14:anchorId="5E80E3D4" wp14:editId="0E54F45A">
            <wp:extent cx="3484756" cy="47491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738" cy="490176"/>
                    </a:xfrm>
                    <a:prstGeom prst="rect">
                      <a:avLst/>
                    </a:prstGeom>
                    <a:noFill/>
                    <a:ln>
                      <a:noFill/>
                    </a:ln>
                  </pic:spPr>
                </pic:pic>
              </a:graphicData>
            </a:graphic>
          </wp:inline>
        </w:drawing>
      </w:r>
    </w:p>
    <w:p w14:paraId="6F31D7CA" w14:textId="11264624" w:rsidR="00291476" w:rsidRDefault="00291476" w:rsidP="000C6D6F">
      <w:pPr>
        <w:autoSpaceDE w:val="0"/>
        <w:autoSpaceDN w:val="0"/>
        <w:adjustRightInd w:val="0"/>
        <w:spacing w:after="0" w:line="240" w:lineRule="auto"/>
      </w:pPr>
      <w:r>
        <w:t>Where the expression in blue corresponds to absorption and the one in red corresponds to emission.</w:t>
      </w:r>
    </w:p>
    <w:tbl>
      <w:tblPr>
        <w:tblStyle w:val="TableGrid"/>
        <w:tblW w:w="0" w:type="auto"/>
        <w:tblLook w:val="04A0" w:firstRow="1" w:lastRow="0" w:firstColumn="1" w:lastColumn="0" w:noHBand="0" w:noVBand="1"/>
      </w:tblPr>
      <w:tblGrid>
        <w:gridCol w:w="4248"/>
        <w:gridCol w:w="4678"/>
      </w:tblGrid>
      <w:tr w:rsidR="00291476" w:rsidRPr="00291476" w14:paraId="680DF691" w14:textId="749DA9A4" w:rsidTr="00291476">
        <w:tc>
          <w:tcPr>
            <w:tcW w:w="4248" w:type="dxa"/>
          </w:tcPr>
          <w:p w14:paraId="568283FA" w14:textId="7650B4A1" w:rsidR="00291476" w:rsidRPr="00291476" w:rsidRDefault="00291476" w:rsidP="004873FE">
            <w:pPr>
              <w:autoSpaceDE w:val="0"/>
              <w:autoSpaceDN w:val="0"/>
              <w:adjustRightInd w:val="0"/>
              <w:rPr>
                <w:noProof/>
              </w:rPr>
            </w:pPr>
            <w:r w:rsidRPr="00291476">
              <w:rPr>
                <w:noProof/>
              </w:rPr>
              <w:drawing>
                <wp:inline distT="0" distB="0" distL="0" distR="0" wp14:anchorId="280C2241" wp14:editId="748AD919">
                  <wp:extent cx="1159510" cy="273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9510" cy="273050"/>
                          </a:xfrm>
                          <a:prstGeom prst="rect">
                            <a:avLst/>
                          </a:prstGeom>
                          <a:noFill/>
                          <a:ln>
                            <a:noFill/>
                          </a:ln>
                        </pic:spPr>
                      </pic:pic>
                    </a:graphicData>
                  </a:graphic>
                </wp:inline>
              </w:drawing>
            </w:r>
            <w:r w:rsidRPr="00291476">
              <w:t xml:space="preserve"> </w:t>
            </w:r>
            <w:r w:rsidRPr="00291476">
              <w:rPr>
                <w:noProof/>
              </w:rPr>
              <w:t xml:space="preserve">                             </w:t>
            </w:r>
          </w:p>
        </w:tc>
        <w:tc>
          <w:tcPr>
            <w:tcW w:w="4678" w:type="dxa"/>
          </w:tcPr>
          <w:p w14:paraId="5F81FF73" w14:textId="112E7DA7" w:rsidR="00291476" w:rsidRPr="00291476" w:rsidRDefault="00291476" w:rsidP="004873FE">
            <w:pPr>
              <w:autoSpaceDE w:val="0"/>
              <w:autoSpaceDN w:val="0"/>
              <w:adjustRightInd w:val="0"/>
              <w:rPr>
                <w:noProof/>
              </w:rPr>
            </w:pPr>
            <w:r w:rsidRPr="00291476">
              <w:rPr>
                <w:noProof/>
              </w:rPr>
              <w:drawing>
                <wp:inline distT="0" distB="0" distL="0" distR="0" wp14:anchorId="3F971834" wp14:editId="228866FF">
                  <wp:extent cx="1187450" cy="29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0" cy="290195"/>
                          </a:xfrm>
                          <a:prstGeom prst="rect">
                            <a:avLst/>
                          </a:prstGeom>
                          <a:noFill/>
                          <a:ln>
                            <a:noFill/>
                          </a:ln>
                        </pic:spPr>
                      </pic:pic>
                    </a:graphicData>
                  </a:graphic>
                </wp:inline>
              </w:drawing>
            </w:r>
          </w:p>
        </w:tc>
      </w:tr>
      <w:tr w:rsidR="00291476" w:rsidRPr="00AD263C" w14:paraId="299A85CF" w14:textId="1931B6D2" w:rsidTr="00291476">
        <w:tc>
          <w:tcPr>
            <w:tcW w:w="4248" w:type="dxa"/>
          </w:tcPr>
          <w:p w14:paraId="7AB91654" w14:textId="64FF7B63" w:rsidR="00291476" w:rsidRPr="00AD263C" w:rsidRDefault="00291476" w:rsidP="004873FE">
            <w:pPr>
              <w:autoSpaceDE w:val="0"/>
              <w:autoSpaceDN w:val="0"/>
              <w:adjustRightInd w:val="0"/>
            </w:pPr>
            <w:r w:rsidRPr="00291476">
              <w:rPr>
                <w:noProof/>
              </w:rPr>
              <w:drawing>
                <wp:inline distT="0" distB="0" distL="0" distR="0" wp14:anchorId="6C43A0D6" wp14:editId="797E195D">
                  <wp:extent cx="1416050" cy="32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0" cy="323215"/>
                          </a:xfrm>
                          <a:prstGeom prst="rect">
                            <a:avLst/>
                          </a:prstGeom>
                          <a:noFill/>
                          <a:ln>
                            <a:noFill/>
                          </a:ln>
                        </pic:spPr>
                      </pic:pic>
                    </a:graphicData>
                  </a:graphic>
                </wp:inline>
              </w:drawing>
            </w:r>
            <w:r w:rsidRPr="00291476">
              <w:t xml:space="preserve"> </w:t>
            </w:r>
            <w:r w:rsidRPr="00291476">
              <w:rPr>
                <w:noProof/>
              </w:rPr>
              <w:t xml:space="preserve">                    </w:t>
            </w:r>
          </w:p>
        </w:tc>
        <w:tc>
          <w:tcPr>
            <w:tcW w:w="4678" w:type="dxa"/>
          </w:tcPr>
          <w:p w14:paraId="233F5A2D" w14:textId="161E9ACA" w:rsidR="00291476" w:rsidRPr="00291476" w:rsidRDefault="00291476" w:rsidP="004873FE">
            <w:pPr>
              <w:autoSpaceDE w:val="0"/>
              <w:autoSpaceDN w:val="0"/>
              <w:adjustRightInd w:val="0"/>
              <w:rPr>
                <w:noProof/>
              </w:rPr>
            </w:pPr>
            <w:r w:rsidRPr="00291476">
              <w:rPr>
                <w:noProof/>
              </w:rPr>
              <w:drawing>
                <wp:inline distT="0" distB="0" distL="0" distR="0" wp14:anchorId="2F24EDDB" wp14:editId="36C5C66C">
                  <wp:extent cx="1494155" cy="284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4155" cy="284480"/>
                          </a:xfrm>
                          <a:prstGeom prst="rect">
                            <a:avLst/>
                          </a:prstGeom>
                          <a:noFill/>
                          <a:ln>
                            <a:noFill/>
                          </a:ln>
                        </pic:spPr>
                      </pic:pic>
                    </a:graphicData>
                  </a:graphic>
                </wp:inline>
              </w:drawing>
            </w:r>
          </w:p>
        </w:tc>
      </w:tr>
    </w:tbl>
    <w:p w14:paraId="045D8CED" w14:textId="2419F856" w:rsidR="00291476" w:rsidRDefault="00291476" w:rsidP="00291476">
      <w:pPr>
        <w:autoSpaceDE w:val="0"/>
        <w:autoSpaceDN w:val="0"/>
        <w:adjustRightInd w:val="0"/>
        <w:spacing w:after="0" w:line="240" w:lineRule="auto"/>
      </w:pPr>
    </w:p>
    <w:p w14:paraId="34DBA430" w14:textId="77777777" w:rsidR="003B0809" w:rsidRDefault="00291476" w:rsidP="00291476">
      <w:pPr>
        <w:autoSpaceDE w:val="0"/>
        <w:autoSpaceDN w:val="0"/>
        <w:adjustRightInd w:val="0"/>
        <w:spacing w:after="0" w:line="240" w:lineRule="auto"/>
      </w:pPr>
      <w:r>
        <w:t xml:space="preserve">And </w:t>
      </w:r>
      <w:r w:rsidR="003B0809">
        <w:t xml:space="preserve"> </w:t>
      </w:r>
    </w:p>
    <w:p w14:paraId="1358C1FA" w14:textId="1919F6CB" w:rsidR="00291476" w:rsidRDefault="00291476" w:rsidP="00291476">
      <w:pPr>
        <w:autoSpaceDE w:val="0"/>
        <w:autoSpaceDN w:val="0"/>
        <w:adjustRightInd w:val="0"/>
        <w:spacing w:after="0" w:line="240" w:lineRule="auto"/>
      </w:pPr>
      <w:r>
        <w:t xml:space="preserve"> </w:t>
      </w:r>
      <w:r w:rsidRPr="00291476">
        <w:rPr>
          <w:noProof/>
        </w:rPr>
        <w:drawing>
          <wp:inline distT="0" distB="0" distL="0" distR="0" wp14:anchorId="347F30C0" wp14:editId="4B0EA3D7">
            <wp:extent cx="880745" cy="289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22349"/>
                    <a:stretch/>
                  </pic:blipFill>
                  <pic:spPr bwMode="auto">
                    <a:xfrm>
                      <a:off x="0" y="0"/>
                      <a:ext cx="880745" cy="289932"/>
                    </a:xfrm>
                    <a:prstGeom prst="rect">
                      <a:avLst/>
                    </a:prstGeom>
                    <a:noFill/>
                    <a:ln>
                      <a:noFill/>
                    </a:ln>
                    <a:extLst>
                      <a:ext uri="{53640926-AAD7-44D8-BBD7-CCE9431645EC}">
                        <a14:shadowObscured xmlns:a14="http://schemas.microsoft.com/office/drawing/2010/main"/>
                      </a:ext>
                    </a:extLst>
                  </pic:spPr>
                </pic:pic>
              </a:graphicData>
            </a:graphic>
          </wp:inline>
        </w:drawing>
      </w:r>
      <w:r w:rsidR="006D5E48">
        <w:t xml:space="preserve"> is the Bose-Einstein distribution</w:t>
      </w:r>
    </w:p>
    <w:p w14:paraId="6C6CFC49" w14:textId="3A319B6E" w:rsidR="003B0809" w:rsidRDefault="003B0809" w:rsidP="00291476">
      <w:pPr>
        <w:autoSpaceDE w:val="0"/>
        <w:autoSpaceDN w:val="0"/>
        <w:adjustRightInd w:val="0"/>
        <w:spacing w:after="0" w:line="240" w:lineRule="auto"/>
      </w:pPr>
      <w:r>
        <w:t>While the integration limits are</w:t>
      </w:r>
    </w:p>
    <w:p w14:paraId="1C24AF38" w14:textId="5A04D8B1" w:rsidR="003B0809" w:rsidRDefault="003B0809" w:rsidP="00291476">
      <w:pPr>
        <w:autoSpaceDE w:val="0"/>
        <w:autoSpaceDN w:val="0"/>
        <w:adjustRightInd w:val="0"/>
        <w:spacing w:after="0" w:line="240" w:lineRule="auto"/>
        <w:rPr>
          <w:noProof/>
        </w:rPr>
      </w:pPr>
      <w:r w:rsidRPr="003B0809">
        <w:rPr>
          <w:noProof/>
        </w:rPr>
        <w:drawing>
          <wp:inline distT="0" distB="0" distL="0" distR="0" wp14:anchorId="4BD9FBED" wp14:editId="42DBBCD5">
            <wp:extent cx="2938346" cy="43393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3090" cy="496661"/>
                    </a:xfrm>
                    <a:prstGeom prst="rect">
                      <a:avLst/>
                    </a:prstGeom>
                    <a:noFill/>
                    <a:ln>
                      <a:noFill/>
                    </a:ln>
                  </pic:spPr>
                </pic:pic>
              </a:graphicData>
            </a:graphic>
          </wp:inline>
        </w:drawing>
      </w:r>
      <w:r w:rsidRPr="003B0809">
        <w:t xml:space="preserve"> </w:t>
      </w:r>
      <w:r>
        <w:rPr>
          <w:noProof/>
        </w:rPr>
        <w:t xml:space="preserve">  </w:t>
      </w:r>
      <w:r w:rsidRPr="003B0809">
        <w:rPr>
          <w:noProof/>
        </w:rPr>
        <w:drawing>
          <wp:inline distT="0" distB="0" distL="0" distR="0" wp14:anchorId="3DB1B985" wp14:editId="37F178C4">
            <wp:extent cx="2882590" cy="685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915" cy="702889"/>
                    </a:xfrm>
                    <a:prstGeom prst="rect">
                      <a:avLst/>
                    </a:prstGeom>
                    <a:noFill/>
                    <a:ln>
                      <a:noFill/>
                    </a:ln>
                  </pic:spPr>
                </pic:pic>
              </a:graphicData>
            </a:graphic>
          </wp:inline>
        </w:drawing>
      </w:r>
    </w:p>
    <w:p w14:paraId="64FF4AEA" w14:textId="77777777" w:rsidR="006D5E48" w:rsidRDefault="003B0809" w:rsidP="006D5E48">
      <w:pPr>
        <w:spacing w:after="0"/>
        <w:rPr>
          <w:noProof/>
        </w:rPr>
      </w:pPr>
      <w:r>
        <w:rPr>
          <w:noProof/>
        </w:rPr>
        <w:lastRenderedPageBreak/>
        <w:br/>
        <w:t>The integrals are approximated by</w:t>
      </w:r>
      <w:r w:rsidR="006D5E48">
        <w:rPr>
          <w:noProof/>
        </w:rPr>
        <w:t xml:space="preserve"> expanding the Bose-einstein distribution in terms of the variable</w:t>
      </w:r>
    </w:p>
    <w:p w14:paraId="28FB3EB4" w14:textId="6CE5A0EF" w:rsidR="006D5E48" w:rsidRDefault="006D5E48" w:rsidP="006D5E48">
      <w:pPr>
        <w:spacing w:after="0"/>
        <w:rPr>
          <w:noProof/>
        </w:rPr>
      </w:pPr>
      <w:r w:rsidRPr="006D5E48">
        <w:rPr>
          <w:noProof/>
        </w:rPr>
        <w:drawing>
          <wp:inline distT="0" distB="0" distL="0" distR="0" wp14:anchorId="67AC4ADF" wp14:editId="2DAC5546">
            <wp:extent cx="908685" cy="12255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685" cy="122555"/>
                    </a:xfrm>
                    <a:prstGeom prst="rect">
                      <a:avLst/>
                    </a:prstGeom>
                    <a:noFill/>
                    <a:ln>
                      <a:noFill/>
                    </a:ln>
                  </pic:spPr>
                </pic:pic>
              </a:graphicData>
            </a:graphic>
          </wp:inline>
        </w:drawing>
      </w:r>
      <w:r w:rsidRPr="006D5E48">
        <w:rPr>
          <w:noProof/>
        </w:rPr>
        <w:t xml:space="preserve"> </w:t>
      </w:r>
      <w:r>
        <w:rPr>
          <w:noProof/>
        </w:rPr>
        <w:t>with a Laurent series expansion</w:t>
      </w:r>
    </w:p>
    <w:p w14:paraId="7B890FF8" w14:textId="77777777" w:rsidR="006D5E48" w:rsidRDefault="006D5E48" w:rsidP="006D5E48">
      <w:pPr>
        <w:spacing w:after="0"/>
        <w:rPr>
          <w:noProof/>
        </w:rPr>
      </w:pPr>
      <w:r>
        <w:rPr>
          <w:noProof/>
        </w:rPr>
        <w:drawing>
          <wp:anchor distT="0" distB="0" distL="114300" distR="114300" simplePos="0" relativeHeight="251658240" behindDoc="0" locked="0" layoutInCell="1" allowOverlap="1" wp14:anchorId="6429457E" wp14:editId="3E936754">
            <wp:simplePos x="914400" y="1271239"/>
            <wp:positionH relativeFrom="column">
              <wp:align>left</wp:align>
            </wp:positionH>
            <wp:positionV relativeFrom="paragraph">
              <wp:align>top</wp:align>
            </wp:positionV>
            <wp:extent cx="2102005" cy="50124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02005" cy="501247"/>
                    </a:xfrm>
                    <a:prstGeom prst="rect">
                      <a:avLst/>
                    </a:prstGeom>
                  </pic:spPr>
                </pic:pic>
              </a:graphicData>
            </a:graphic>
          </wp:anchor>
        </w:drawing>
      </w:r>
    </w:p>
    <w:p w14:paraId="337FADC7" w14:textId="77777777" w:rsidR="006D5E48" w:rsidRDefault="006D5E48" w:rsidP="006D5E48">
      <w:pPr>
        <w:spacing w:after="0"/>
        <w:ind w:firstLine="720"/>
      </w:pPr>
      <w:r>
        <w:rPr>
          <w:noProof/>
        </w:rPr>
        <w:t>Where B</w:t>
      </w:r>
      <w:r>
        <w:rPr>
          <w:noProof/>
          <w:vertAlign w:val="subscript"/>
        </w:rPr>
        <w:t xml:space="preserve">2m </w:t>
      </w:r>
      <w:r>
        <w:t>are Bernoulli numbers</w:t>
      </w:r>
    </w:p>
    <w:p w14:paraId="1CEE8CE1" w14:textId="77777777" w:rsidR="006D5E48" w:rsidRDefault="006D5E48" w:rsidP="006D5E48">
      <w:pPr>
        <w:spacing w:after="0"/>
      </w:pPr>
    </w:p>
    <w:p w14:paraId="10F7DF0A" w14:textId="77777777" w:rsidR="006D5E48" w:rsidRDefault="006D5E48" w:rsidP="006D5E48">
      <w:pPr>
        <w:spacing w:after="0"/>
      </w:pPr>
      <w:r>
        <w:t>And using the asymptotic limit e</w:t>
      </w:r>
      <w:r w:rsidRPr="006D5E48">
        <w:rPr>
          <w:b/>
          <w:bCs/>
          <w:vertAlign w:val="superscript"/>
        </w:rPr>
        <w:t xml:space="preserve">. </w:t>
      </w:r>
      <w:r w:rsidRPr="006D5E48">
        <w:rPr>
          <w:b/>
          <w:bCs/>
          <w:noProof/>
          <w:vertAlign w:val="superscript"/>
        </w:rPr>
        <w:t>z</w:t>
      </w:r>
      <w:r>
        <w:rPr>
          <w:noProof/>
          <w:vertAlign w:val="superscript"/>
        </w:rPr>
        <w:t xml:space="preserve"> </w:t>
      </w:r>
      <w:r>
        <w:t>for large z.</w:t>
      </w:r>
    </w:p>
    <w:p w14:paraId="3C96F2A8" w14:textId="77777777" w:rsidR="006D5E48" w:rsidRDefault="006D5E48" w:rsidP="006D5E48">
      <w:pPr>
        <w:spacing w:after="0"/>
      </w:pPr>
    </w:p>
    <w:p w14:paraId="38F1F42F" w14:textId="77777777" w:rsidR="006D5E48" w:rsidRDefault="006D5E48" w:rsidP="006D5E48">
      <w:pPr>
        <w:pStyle w:val="Heading3"/>
        <w:rPr>
          <w:noProof/>
          <w:u w:val="single"/>
        </w:rPr>
      </w:pPr>
      <w:r w:rsidRPr="006D5E48">
        <w:rPr>
          <w:noProof/>
          <w:u w:val="single"/>
        </w:rPr>
        <w:t>Derivation of the integrals</w:t>
      </w:r>
    </w:p>
    <w:p w14:paraId="7927303F" w14:textId="77777777" w:rsidR="004F13A2" w:rsidRDefault="006D5E48" w:rsidP="006D5E48">
      <w:pPr>
        <w:rPr>
          <w:noProof/>
        </w:rPr>
      </w:pPr>
      <w:r>
        <w:rPr>
          <w:noProof/>
        </w:rPr>
        <w:t>For the integrals the Matlab symbolic toolbox has been used</w:t>
      </w:r>
      <w:r w:rsidR="004F13A2">
        <w:rPr>
          <w:noProof/>
        </w:rPr>
        <w:t xml:space="preserve"> to determine an approximation up to the 12</w:t>
      </w:r>
      <w:r w:rsidR="004F13A2" w:rsidRPr="004F13A2">
        <w:rPr>
          <w:noProof/>
          <w:vertAlign w:val="superscript"/>
        </w:rPr>
        <w:t>th</w:t>
      </w:r>
      <w:r w:rsidR="004F13A2">
        <w:rPr>
          <w:noProof/>
        </w:rPr>
        <w:t xml:space="preserve"> order. The following expressions have been determined</w:t>
      </w:r>
    </w:p>
    <w:tbl>
      <w:tblPr>
        <w:tblStyle w:val="TableGrid"/>
        <w:tblW w:w="6941" w:type="dxa"/>
        <w:tblLook w:val="04A0" w:firstRow="1" w:lastRow="0" w:firstColumn="1" w:lastColumn="0" w:noHBand="0" w:noVBand="1"/>
      </w:tblPr>
      <w:tblGrid>
        <w:gridCol w:w="6941"/>
      </w:tblGrid>
      <w:tr w:rsidR="004F13A2" w14:paraId="13F2AC60" w14:textId="77777777" w:rsidTr="004F13A2">
        <w:trPr>
          <w:trHeight w:val="688"/>
        </w:trPr>
        <w:tc>
          <w:tcPr>
            <w:tcW w:w="6941" w:type="dxa"/>
          </w:tcPr>
          <w:p w14:paraId="322BCDF8" w14:textId="5D479A36" w:rsidR="004F13A2" w:rsidRPr="004F13A2" w:rsidRDefault="00DA6473" w:rsidP="006A5773">
            <w:pPr>
              <w:tabs>
                <w:tab w:val="left" w:pos="312"/>
              </w:tabs>
              <w:rPr>
                <w:noProof/>
              </w:rPr>
            </w:pPr>
            <m:oMathPara>
              <m:oMathParaPr>
                <m:jc m:val="left"/>
              </m:oMathParaPr>
              <m:oMath>
                <m:sSub>
                  <m:sSubPr>
                    <m:ctrlPr>
                      <w:rPr>
                        <w:rFonts w:ascii="Cambria Math" w:hAnsi="Cambria Math"/>
                        <w:i/>
                        <w:noProof/>
                      </w:rPr>
                    </m:ctrlPr>
                  </m:sSubPr>
                  <m:e>
                    <m:r>
                      <w:rPr>
                        <w:rFonts w:ascii="Cambria Math" w:hAnsi="Cambria Math"/>
                        <w:noProof/>
                      </w:rPr>
                      <m:t>F</m:t>
                    </m:r>
                  </m:e>
                  <m:sub>
                    <m:r>
                      <w:rPr>
                        <w:rFonts w:ascii="Cambria Math" w:hAnsi="Cambria Math"/>
                        <w:noProof/>
                      </w:rPr>
                      <m:t>1</m:t>
                    </m:r>
                  </m:sub>
                </m:sSub>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12</m:t>
                        </m:r>
                      </m:sup>
                    </m:sSup>
                  </m:num>
                  <m:den>
                    <m:r>
                      <w:rPr>
                        <w:rFonts w:ascii="Cambria Math" w:hAnsi="Cambria Math"/>
                        <w:noProof/>
                      </w:rPr>
                      <m:t>574 801 920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10</m:t>
                        </m:r>
                      </m:sup>
                    </m:sSup>
                  </m:num>
                  <m:den>
                    <m:r>
                      <w:rPr>
                        <w:rFonts w:ascii="Cambria Math" w:hAnsi="Cambria Math"/>
                        <w:noProof/>
                      </w:rPr>
                      <m:t>12 096 000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8</m:t>
                        </m:r>
                      </m:sup>
                    </m:sSup>
                  </m:num>
                  <m:den>
                    <m:r>
                      <w:rPr>
                        <w:rFonts w:ascii="Cambria Math" w:hAnsi="Cambria Math"/>
                        <w:noProof/>
                      </w:rPr>
                      <m:t>241 920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6</m:t>
                        </m:r>
                      </m:sup>
                    </m:sSup>
                  </m:num>
                  <m:den>
                    <m:r>
                      <w:rPr>
                        <w:rFonts w:ascii="Cambria Math" w:hAnsi="Cambria Math"/>
                        <w:noProof/>
                      </w:rPr>
                      <m:t>4320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num>
                  <m:den>
                    <m:r>
                      <w:rPr>
                        <w:rFonts w:ascii="Cambria Math" w:hAnsi="Cambria Math"/>
                        <w:noProof/>
                      </w:rPr>
                      <m:t>48</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num>
                  <m:den>
                    <m:r>
                      <w:rPr>
                        <w:rFonts w:ascii="Cambria Math" w:hAnsi="Cambria Math"/>
                        <w:noProof/>
                      </w:rPr>
                      <m:t>6</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num>
                  <m:den>
                    <m:r>
                      <w:rPr>
                        <w:rFonts w:ascii="Cambria Math" w:hAnsi="Cambria Math"/>
                        <w:noProof/>
                      </w:rPr>
                      <m:t>2</m:t>
                    </m:r>
                  </m:den>
                </m:f>
              </m:oMath>
            </m:oMathPara>
          </w:p>
        </w:tc>
      </w:tr>
      <w:tr w:rsidR="004F13A2" w14:paraId="49152095" w14:textId="77777777" w:rsidTr="006A5773">
        <w:trPr>
          <w:trHeight w:val="698"/>
        </w:trPr>
        <w:tc>
          <w:tcPr>
            <w:tcW w:w="6941" w:type="dxa"/>
          </w:tcPr>
          <w:p w14:paraId="5FCB8AC8" w14:textId="10B6EB28" w:rsidR="004F13A2" w:rsidRPr="006A5773" w:rsidRDefault="00DA6473" w:rsidP="006A5773">
            <w:pPr>
              <w:jc w:val="both"/>
              <w:rPr>
                <w:noProof/>
              </w:rPr>
            </w:pPr>
            <m:oMathPara>
              <m:oMathParaPr>
                <m:jc m:val="left"/>
              </m:oMathParaPr>
              <m:oMath>
                <m:sSub>
                  <m:sSubPr>
                    <m:ctrlPr>
                      <w:rPr>
                        <w:rFonts w:ascii="Cambria Math" w:hAnsi="Cambria Math"/>
                        <w:i/>
                        <w:noProof/>
                      </w:rPr>
                    </m:ctrlPr>
                  </m:sSubPr>
                  <m:e>
                    <m:r>
                      <w:rPr>
                        <w:rFonts w:ascii="Cambria Math" w:hAnsi="Cambria Math"/>
                        <w:noProof/>
                      </w:rPr>
                      <m:t>F</m:t>
                    </m:r>
                  </m:e>
                  <m:sub>
                    <m:r>
                      <w:rPr>
                        <w:rFonts w:ascii="Cambria Math" w:hAnsi="Cambria Math"/>
                        <w:noProof/>
                      </w:rPr>
                      <m:t>2</m:t>
                    </m:r>
                  </m:sub>
                </m:sSub>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13</m:t>
                        </m:r>
                      </m:sup>
                    </m:sSup>
                  </m:num>
                  <m:den>
                    <m:r>
                      <w:rPr>
                        <w:rFonts w:ascii="Cambria Math" w:hAnsi="Cambria Math"/>
                        <w:noProof/>
                      </w:rPr>
                      <m:t>622 702 080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11</m:t>
                        </m:r>
                      </m:sup>
                    </m:sSup>
                  </m:num>
                  <m:den>
                    <m:r>
                      <w:rPr>
                        <w:rFonts w:ascii="Cambria Math" w:hAnsi="Cambria Math"/>
                        <w:noProof/>
                      </w:rPr>
                      <m:t>13 305 600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9</m:t>
                        </m:r>
                      </m:sup>
                    </m:sSup>
                  </m:num>
                  <m:den>
                    <m:r>
                      <w:rPr>
                        <w:rFonts w:ascii="Cambria Math" w:hAnsi="Cambria Math"/>
                        <w:noProof/>
                      </w:rPr>
                      <m:t>272 160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7</m:t>
                        </m:r>
                      </m:sup>
                    </m:sSup>
                  </m:num>
                  <m:den>
                    <m:r>
                      <w:rPr>
                        <w:rFonts w:ascii="Cambria Math" w:hAnsi="Cambria Math"/>
                        <w:noProof/>
                      </w:rPr>
                      <m:t>5040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5</m:t>
                        </m:r>
                      </m:sup>
                    </m:sSup>
                  </m:num>
                  <m:den>
                    <m:r>
                      <w:rPr>
                        <w:rFonts w:ascii="Cambria Math" w:hAnsi="Cambria Math"/>
                        <w:noProof/>
                      </w:rPr>
                      <m:t>60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num>
                  <m:den>
                    <m:r>
                      <w:rPr>
                        <w:rFonts w:ascii="Cambria Math" w:hAnsi="Cambria Math"/>
                        <w:noProof/>
                      </w:rPr>
                      <m:t>8</m:t>
                    </m:r>
                  </m:den>
                </m:f>
                <m:r>
                  <w:rPr>
                    <w:rFonts w:ascii="Cambria Math" w:hAnsi="Cambria Math"/>
                    <w:noProof/>
                  </w:rPr>
                  <m:t xml:space="preserve"> +</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num>
                  <m:den>
                    <m:r>
                      <w:rPr>
                        <w:rFonts w:ascii="Cambria Math" w:hAnsi="Cambria Math"/>
                        <w:noProof/>
                      </w:rPr>
                      <m:t>3</m:t>
                    </m:r>
                  </m:den>
                </m:f>
              </m:oMath>
            </m:oMathPara>
          </w:p>
        </w:tc>
      </w:tr>
      <w:tr w:rsidR="004F13A2" w14:paraId="40554535" w14:textId="77777777" w:rsidTr="006A5773">
        <w:trPr>
          <w:trHeight w:val="694"/>
        </w:trPr>
        <w:tc>
          <w:tcPr>
            <w:tcW w:w="6941" w:type="dxa"/>
          </w:tcPr>
          <w:p w14:paraId="61C0E670" w14:textId="66E7063A" w:rsidR="004F13A2" w:rsidRPr="006A5773" w:rsidRDefault="00DA6473" w:rsidP="006A5773">
            <w:pPr>
              <w:jc w:val="both"/>
              <w:rPr>
                <w:noProof/>
              </w:rPr>
            </w:pPr>
            <m:oMathPara>
              <m:oMathParaPr>
                <m:jc m:val="left"/>
              </m:oMathParaP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12</m:t>
                        </m:r>
                      </m:sup>
                    </m:sSup>
                  </m:num>
                  <m:den>
                    <m:r>
                      <w:rPr>
                        <w:rFonts w:ascii="Cambria Math" w:hAnsi="Cambria Math"/>
                        <w:noProof/>
                      </w:rPr>
                      <m:t>574 801 920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10</m:t>
                        </m:r>
                      </m:sup>
                    </m:sSup>
                  </m:num>
                  <m:den>
                    <m:r>
                      <w:rPr>
                        <w:rFonts w:ascii="Cambria Math" w:hAnsi="Cambria Math"/>
                        <w:noProof/>
                      </w:rPr>
                      <m:t>12 096 000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8</m:t>
                        </m:r>
                      </m:sup>
                    </m:sSup>
                  </m:num>
                  <m:den>
                    <m:r>
                      <w:rPr>
                        <w:rFonts w:ascii="Cambria Math" w:hAnsi="Cambria Math"/>
                        <w:noProof/>
                      </w:rPr>
                      <m:t>241 920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6</m:t>
                        </m:r>
                      </m:sup>
                    </m:sSup>
                  </m:num>
                  <m:den>
                    <m:r>
                      <w:rPr>
                        <w:rFonts w:ascii="Cambria Math" w:hAnsi="Cambria Math"/>
                        <w:noProof/>
                      </w:rPr>
                      <m:t>4320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num>
                  <m:den>
                    <m:r>
                      <w:rPr>
                        <w:rFonts w:ascii="Cambria Math" w:hAnsi="Cambria Math"/>
                        <w:noProof/>
                      </w:rPr>
                      <m:t>48</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num>
                  <m:den>
                    <m:r>
                      <w:rPr>
                        <w:rFonts w:ascii="Cambria Math" w:hAnsi="Cambria Math"/>
                        <w:noProof/>
                      </w:rPr>
                      <m:t>6</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num>
                  <m:den>
                    <m:r>
                      <w:rPr>
                        <w:rFonts w:ascii="Cambria Math" w:hAnsi="Cambria Math"/>
                        <w:noProof/>
                      </w:rPr>
                      <m:t>2</m:t>
                    </m:r>
                  </m:den>
                </m:f>
                <m:r>
                  <w:rPr>
                    <w:rFonts w:ascii="Cambria Math" w:hAnsi="Cambria Math"/>
                    <w:noProof/>
                  </w:rPr>
                  <m:t xml:space="preserve"> </m:t>
                </m:r>
              </m:oMath>
            </m:oMathPara>
          </w:p>
        </w:tc>
      </w:tr>
      <w:tr w:rsidR="006A5773" w14:paraId="2814A010" w14:textId="77777777" w:rsidTr="006A5773">
        <w:trPr>
          <w:trHeight w:val="716"/>
        </w:trPr>
        <w:tc>
          <w:tcPr>
            <w:tcW w:w="6941" w:type="dxa"/>
          </w:tcPr>
          <w:p w14:paraId="4CDF282A" w14:textId="1EF3F97D" w:rsidR="006A5773" w:rsidRPr="006A5773" w:rsidRDefault="00DA6473" w:rsidP="006A5773">
            <w:pPr>
              <w:jc w:val="both"/>
              <w:rPr>
                <w:noProof/>
              </w:rPr>
            </w:pPr>
            <m:oMathPara>
              <m:oMathParaPr>
                <m:jc m:val="left"/>
              </m:oMathParaPr>
              <m:oMath>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13</m:t>
                        </m:r>
                      </m:sup>
                    </m:sSup>
                  </m:num>
                  <m:den>
                    <m:r>
                      <w:rPr>
                        <w:rFonts w:ascii="Cambria Math" w:hAnsi="Cambria Math"/>
                        <w:noProof/>
                      </w:rPr>
                      <m:t>622 702 080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11</m:t>
                        </m:r>
                      </m:sup>
                    </m:sSup>
                  </m:num>
                  <m:den>
                    <m:r>
                      <w:rPr>
                        <w:rFonts w:ascii="Cambria Math" w:hAnsi="Cambria Math"/>
                        <w:noProof/>
                      </w:rPr>
                      <m:t>13 305 600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9</m:t>
                        </m:r>
                      </m:sup>
                    </m:sSup>
                  </m:num>
                  <m:den>
                    <m:r>
                      <w:rPr>
                        <w:rFonts w:ascii="Cambria Math" w:hAnsi="Cambria Math"/>
                        <w:noProof/>
                      </w:rPr>
                      <m:t>272 160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7</m:t>
                        </m:r>
                      </m:sup>
                    </m:sSup>
                  </m:num>
                  <m:den>
                    <m:r>
                      <w:rPr>
                        <w:rFonts w:ascii="Cambria Math" w:hAnsi="Cambria Math"/>
                        <w:noProof/>
                      </w:rPr>
                      <m:t>5040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5</m:t>
                        </m:r>
                      </m:sup>
                    </m:sSup>
                  </m:num>
                  <m:den>
                    <m:r>
                      <w:rPr>
                        <w:rFonts w:ascii="Cambria Math" w:hAnsi="Cambria Math"/>
                        <w:noProof/>
                      </w:rPr>
                      <m:t>60</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num>
                  <m:den>
                    <m:r>
                      <w:rPr>
                        <w:rFonts w:ascii="Cambria Math" w:hAnsi="Cambria Math"/>
                        <w:noProof/>
                      </w:rPr>
                      <m:t>8</m:t>
                    </m:r>
                  </m:den>
                </m:f>
                <m:r>
                  <w:rPr>
                    <w:rFonts w:ascii="Cambria Math" w:hAnsi="Cambria Math"/>
                    <w:noProof/>
                  </w:rPr>
                  <m:t xml:space="preserve"> +</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num>
                  <m:den>
                    <m:r>
                      <w:rPr>
                        <w:rFonts w:ascii="Cambria Math" w:hAnsi="Cambria Math"/>
                        <w:noProof/>
                      </w:rPr>
                      <m:t>3</m:t>
                    </m:r>
                  </m:den>
                </m:f>
              </m:oMath>
            </m:oMathPara>
          </w:p>
        </w:tc>
      </w:tr>
    </w:tbl>
    <w:p w14:paraId="03A421B3" w14:textId="77777777" w:rsidR="007D286C" w:rsidRDefault="007D286C" w:rsidP="006D5E48">
      <w:pPr>
        <w:rPr>
          <w:noProof/>
        </w:rPr>
      </w:pPr>
    </w:p>
    <w:p w14:paraId="36B2F3A5" w14:textId="77777777" w:rsidR="007D286C" w:rsidRDefault="007D286C" w:rsidP="006D5E48">
      <w:pPr>
        <w:rPr>
          <w:noProof/>
        </w:rPr>
      </w:pPr>
      <w:r>
        <w:rPr>
          <w:noProof/>
        </w:rPr>
        <w:t>The full expression seen above has been used and the following plots have been determined:</w:t>
      </w:r>
    </w:p>
    <w:p w14:paraId="07E8D77A" w14:textId="77777777" w:rsidR="007D286C" w:rsidRDefault="007D286C" w:rsidP="006D5E48">
      <w:pPr>
        <w:rPr>
          <w:noProof/>
        </w:rPr>
      </w:pPr>
      <w:r>
        <w:rPr>
          <w:noProof/>
        </w:rPr>
        <w:drawing>
          <wp:inline distT="0" distB="0" distL="0" distR="0" wp14:anchorId="54DB788C" wp14:editId="4C2CCBD8">
            <wp:extent cx="4265225" cy="320017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464" cy="3216108"/>
                    </a:xfrm>
                    <a:prstGeom prst="rect">
                      <a:avLst/>
                    </a:prstGeom>
                    <a:noFill/>
                    <a:ln>
                      <a:noFill/>
                    </a:ln>
                  </pic:spPr>
                </pic:pic>
              </a:graphicData>
            </a:graphic>
          </wp:inline>
        </w:drawing>
      </w:r>
    </w:p>
    <w:p w14:paraId="2175659A" w14:textId="77777777" w:rsidR="007D286C" w:rsidRDefault="007D286C" w:rsidP="006D5E48">
      <w:pPr>
        <w:rPr>
          <w:noProof/>
        </w:rPr>
      </w:pPr>
      <w:r>
        <w:rPr>
          <w:noProof/>
        </w:rPr>
        <w:t>In this first plot all contributions are highlighted</w:t>
      </w:r>
    </w:p>
    <w:p w14:paraId="40E52EB6" w14:textId="77777777" w:rsidR="007D286C" w:rsidRDefault="007D286C" w:rsidP="006D5E48">
      <w:pPr>
        <w:rPr>
          <w:noProof/>
        </w:rPr>
      </w:pPr>
      <w:r>
        <w:rPr>
          <w:noProof/>
        </w:rPr>
        <w:br w:type="page"/>
      </w:r>
      <w:r>
        <w:rPr>
          <w:noProof/>
        </w:rPr>
        <w:lastRenderedPageBreak/>
        <w:drawing>
          <wp:inline distT="0" distB="0" distL="0" distR="0" wp14:anchorId="257434B0" wp14:editId="42D6E36C">
            <wp:extent cx="3964259" cy="297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6414" cy="2990983"/>
                    </a:xfrm>
                    <a:prstGeom prst="rect">
                      <a:avLst/>
                    </a:prstGeom>
                    <a:noFill/>
                    <a:ln>
                      <a:noFill/>
                    </a:ln>
                  </pic:spPr>
                </pic:pic>
              </a:graphicData>
            </a:graphic>
          </wp:inline>
        </w:drawing>
      </w:r>
    </w:p>
    <w:p w14:paraId="2AA304BD" w14:textId="77777777" w:rsidR="007D286C" w:rsidRDefault="007D286C" w:rsidP="006D5E48">
      <w:pPr>
        <w:rPr>
          <w:noProof/>
        </w:rPr>
      </w:pPr>
      <w:r>
        <w:rPr>
          <w:noProof/>
        </w:rPr>
        <w:t>Here the full scattering rate is compared for various temperatures showing the esponential increase of the scattering rate one expects with the growing population of the phonon states, which diverges for growing T (z -&gt; 0)</w:t>
      </w:r>
    </w:p>
    <w:p w14:paraId="632F8715" w14:textId="77777777" w:rsidR="006F095B" w:rsidRDefault="007D286C" w:rsidP="006D5E48">
      <w:r>
        <w:rPr>
          <w:noProof/>
        </w:rPr>
        <w:t>Another very clear observation is that, since the emission rate is proportional to N</w:t>
      </w:r>
      <w:r>
        <w:rPr>
          <w:noProof/>
          <w:vertAlign w:val="subscript"/>
        </w:rPr>
        <w:t xml:space="preserve">Q </w:t>
      </w:r>
      <w:r>
        <w:t xml:space="preserve">+1 and the </w:t>
      </w:r>
      <w:proofErr w:type="spellStart"/>
      <w:r>
        <w:t>absoption</w:t>
      </w:r>
      <w:proofErr w:type="spellEnd"/>
      <w:r>
        <w:t xml:space="preserve"> is proportional to N</w:t>
      </w:r>
      <w:r>
        <w:rPr>
          <w:vertAlign w:val="subscript"/>
        </w:rPr>
        <w:t xml:space="preserve">Q, </w:t>
      </w:r>
      <w:r>
        <w:rPr>
          <w:noProof/>
        </w:rPr>
        <w:t xml:space="preserve">as long as the temperature is low enough so that </w:t>
      </w:r>
      <w:r>
        <w:rPr>
          <w:noProof/>
        </w:rPr>
        <w:t>N</w:t>
      </w:r>
      <w:r>
        <w:rPr>
          <w:noProof/>
          <w:vertAlign w:val="subscript"/>
        </w:rPr>
        <w:t>Q</w:t>
      </w:r>
      <w:r>
        <w:rPr>
          <w:noProof/>
          <w:vertAlign w:val="subscript"/>
        </w:rPr>
        <w:t xml:space="preserve"> </w:t>
      </w:r>
      <w:r>
        <w:t xml:space="preserve">is lower or comparable to 1 the ratio </w:t>
      </w:r>
      <w:r>
        <w:rPr>
          <w:noProof/>
        </w:rPr>
        <w:t>N</w:t>
      </w:r>
      <w:r>
        <w:rPr>
          <w:noProof/>
          <w:vertAlign w:val="subscript"/>
        </w:rPr>
        <w:t>Q</w:t>
      </w:r>
      <w:r>
        <w:rPr>
          <w:noProof/>
          <w:vertAlign w:val="subscript"/>
        </w:rPr>
        <w:t>/</w:t>
      </w:r>
      <w:r>
        <w:t>(N</w:t>
      </w:r>
      <w:r>
        <w:rPr>
          <w:vertAlign w:val="subscript"/>
        </w:rPr>
        <w:t xml:space="preserve">Q </w:t>
      </w:r>
      <w:r>
        <w:t xml:space="preserve">+ 1) will be significantly smaller than 1, thus </w:t>
      </w:r>
      <w:r w:rsidR="006F095B">
        <w:t>the spread between emission and absorption rate will be high</w:t>
      </w:r>
    </w:p>
    <w:p w14:paraId="708978F9" w14:textId="77777777" w:rsidR="006F095B" w:rsidRDefault="006F095B" w:rsidP="006D5E48">
      <w:r>
        <w:rPr>
          <w:noProof/>
        </w:rPr>
        <w:drawing>
          <wp:inline distT="0" distB="0" distL="0" distR="0" wp14:anchorId="629B659D" wp14:editId="7E7BE528">
            <wp:extent cx="3455522" cy="2592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69506" cy="2603150"/>
                    </a:xfrm>
                    <a:prstGeom prst="rect">
                      <a:avLst/>
                    </a:prstGeom>
                    <a:noFill/>
                    <a:ln>
                      <a:noFill/>
                    </a:ln>
                  </pic:spPr>
                </pic:pic>
              </a:graphicData>
            </a:graphic>
          </wp:inline>
        </w:drawing>
      </w:r>
    </w:p>
    <w:p w14:paraId="405BF2FA" w14:textId="209FAEB1" w:rsidR="006D5E48" w:rsidRPr="006D5E48" w:rsidRDefault="006F095B" w:rsidP="006D5E48">
      <w:r>
        <w:t>This difference will get small only close to the melting point, where spontaneous emission starts becoming negligible over the total scattering processes.</w:t>
      </w:r>
      <w:r w:rsidR="006D5E48" w:rsidRPr="006D5E48">
        <w:rPr>
          <w:noProof/>
        </w:rPr>
        <w:br w:type="textWrapping" w:clear="all"/>
      </w:r>
    </w:p>
    <w:p w14:paraId="403E7F40" w14:textId="77777777" w:rsidR="006D5E48" w:rsidRDefault="006D5E48" w:rsidP="006D5E48">
      <w:pPr>
        <w:spacing w:after="0"/>
        <w:rPr>
          <w:noProof/>
        </w:rPr>
      </w:pPr>
    </w:p>
    <w:p w14:paraId="06F9F225" w14:textId="6A0A5211" w:rsidR="003B0809" w:rsidRDefault="003B0809" w:rsidP="006D5E48">
      <w:pPr>
        <w:spacing w:after="0"/>
        <w:rPr>
          <w:noProof/>
        </w:rPr>
      </w:pPr>
      <w:r>
        <w:rPr>
          <w:noProof/>
        </w:rPr>
        <w:br w:type="page"/>
      </w:r>
    </w:p>
    <w:p w14:paraId="28A84251" w14:textId="779DBEB3" w:rsidR="003B0809" w:rsidRPr="00AD263C" w:rsidRDefault="006F095B" w:rsidP="00291476">
      <w:pPr>
        <w:autoSpaceDE w:val="0"/>
        <w:autoSpaceDN w:val="0"/>
        <w:adjustRightInd w:val="0"/>
        <w:spacing w:after="0" w:line="240" w:lineRule="auto"/>
      </w:pPr>
      <w:r>
        <w:lastRenderedPageBreak/>
        <w:t>The elastic approximation</w:t>
      </w:r>
      <w:r w:rsidR="00284AA6">
        <w:t xml:space="preserve"> assumes a negligible energy for the scattering phonon</w:t>
      </w:r>
      <w:r w:rsidR="00B206B5">
        <w:t>. This is not anymore valid if higher momentum phonons, carrying significant energies, are involved. The approximation thus fails for higher electron energies where transitions involve higher momentum variations.</w:t>
      </w:r>
      <w:r w:rsidR="00B206B5">
        <w:rPr>
          <w:noProof/>
        </w:rPr>
        <w:drawing>
          <wp:inline distT="0" distB="0" distL="0" distR="0" wp14:anchorId="7837BECE" wp14:editId="68D968FE">
            <wp:extent cx="5937885" cy="445516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4455160"/>
                    </a:xfrm>
                    <a:prstGeom prst="rect">
                      <a:avLst/>
                    </a:prstGeom>
                    <a:noFill/>
                    <a:ln>
                      <a:noFill/>
                    </a:ln>
                  </pic:spPr>
                </pic:pic>
              </a:graphicData>
            </a:graphic>
          </wp:inline>
        </w:drawing>
      </w:r>
    </w:p>
    <w:sectPr w:rsidR="003B0809" w:rsidRPr="00AD263C" w:rsidSect="003B0809">
      <w:pgSz w:w="12240" w:h="15840"/>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DF754" w14:textId="77777777" w:rsidR="00DA6473" w:rsidRDefault="00DA6473" w:rsidP="00137EC2">
      <w:pPr>
        <w:spacing w:after="0" w:line="240" w:lineRule="auto"/>
      </w:pPr>
      <w:r>
        <w:separator/>
      </w:r>
    </w:p>
  </w:endnote>
  <w:endnote w:type="continuationSeparator" w:id="0">
    <w:p w14:paraId="2D21592A" w14:textId="77777777" w:rsidR="00DA6473" w:rsidRDefault="00DA6473" w:rsidP="0013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FA4FD" w14:textId="77777777" w:rsidR="00DA6473" w:rsidRDefault="00DA6473" w:rsidP="00137EC2">
      <w:pPr>
        <w:spacing w:after="0" w:line="240" w:lineRule="auto"/>
      </w:pPr>
      <w:r>
        <w:separator/>
      </w:r>
    </w:p>
  </w:footnote>
  <w:footnote w:type="continuationSeparator" w:id="0">
    <w:p w14:paraId="524FB204" w14:textId="77777777" w:rsidR="00DA6473" w:rsidRDefault="00DA6473" w:rsidP="00137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772C2"/>
    <w:multiLevelType w:val="hybridMultilevel"/>
    <w:tmpl w:val="2D24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3A"/>
    <w:rsid w:val="000355D0"/>
    <w:rsid w:val="000C6D6F"/>
    <w:rsid w:val="001052A2"/>
    <w:rsid w:val="00137EC2"/>
    <w:rsid w:val="00284AA6"/>
    <w:rsid w:val="00291476"/>
    <w:rsid w:val="003B0809"/>
    <w:rsid w:val="004F13A2"/>
    <w:rsid w:val="00505E3A"/>
    <w:rsid w:val="00524EC8"/>
    <w:rsid w:val="006627D3"/>
    <w:rsid w:val="006A5773"/>
    <w:rsid w:val="006D5E48"/>
    <w:rsid w:val="006F095B"/>
    <w:rsid w:val="007D286C"/>
    <w:rsid w:val="007D66FA"/>
    <w:rsid w:val="00821CC3"/>
    <w:rsid w:val="009A086A"/>
    <w:rsid w:val="00AD263C"/>
    <w:rsid w:val="00B206B5"/>
    <w:rsid w:val="00CF2553"/>
    <w:rsid w:val="00DA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8116"/>
  <w15:chartTrackingRefBased/>
  <w15:docId w15:val="{681E5C83-4AC2-464D-8AFA-24290908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E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3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C2"/>
  </w:style>
  <w:style w:type="paragraph" w:styleId="Footer">
    <w:name w:val="footer"/>
    <w:basedOn w:val="Normal"/>
    <w:link w:val="FooterChar"/>
    <w:uiPriority w:val="99"/>
    <w:unhideWhenUsed/>
    <w:rsid w:val="0013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C2"/>
  </w:style>
  <w:style w:type="character" w:customStyle="1" w:styleId="Heading2Char">
    <w:name w:val="Heading 2 Char"/>
    <w:basedOn w:val="DefaultParagraphFont"/>
    <w:link w:val="Heading2"/>
    <w:uiPriority w:val="9"/>
    <w:rsid w:val="00524E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91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5E4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F1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DA52-81CB-44E6-BA77-A06C3FAD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Siviero</dc:creator>
  <cp:keywords/>
  <dc:description/>
  <cp:lastModifiedBy>Mattia Siviero</cp:lastModifiedBy>
  <cp:revision>5</cp:revision>
  <dcterms:created xsi:type="dcterms:W3CDTF">2020-05-14T20:55:00Z</dcterms:created>
  <dcterms:modified xsi:type="dcterms:W3CDTF">2020-05-15T17:38:00Z</dcterms:modified>
</cp:coreProperties>
</file>