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85" w:afterAutospacing="0" w:line="240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Вопросы к экзамену по курсу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85" w:afterAutospacing="0" w:line="240" w:lineRule="auto"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«Микросервисная архитектура»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REST API - балансировка/распределение нагрузки между микросервисами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Структура HTTP </w:t>
      </w:r>
      <w:r>
        <w:rPr>
          <w:highlight w:val="none"/>
        </w:rPr>
        <w:t xml:space="preserve">пакета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методы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request URI + query string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заголовки пакета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body - «тело» запроса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Описать особенности передачи данных в различных частях пакета. Какие из них могут использоваться балансировщиком для дальнейшей маршрутизации.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Протокол REST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команды (методы) прокола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соответствие команд REST методам HTTP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параметров для выполнения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коды ответов HTTP сервера (</w:t>
      </w:r>
      <w:r>
        <w:rPr>
          <w:highlight w:val="none"/>
        </w:rPr>
        <w:t xml:space="preserve">ошибки, успешное выполнение и др.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результаты выполнения запроса, форматы JSON, Base64 и др.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особенности проектирования сервисов в соответствии с протоколом REST. Выделить плюсы и минусы использования протокола REST.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/>
      </w:pPr>
      <w:r>
        <w:rPr>
          <w:highlight w:val="none"/>
        </w:rPr>
      </w:r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Балансировка / распределение нагрузки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Nginx в качестве балансировщика (proxy)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маршрутизация с использованием location (эндпоинты)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условная маршрутизация IF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таблицы сопоставления MAP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группировка  сервисов UPSTRAM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коды ответов HTTP сервера (ошибки, перенаправление и др.)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основные принципы логической маршрутизации на основе сравнения заголовков (методов) запроса. Описать принципы распределения нагрузки с использованием Upstream (round-robin, weight и т.д.).</w:t>
      </w:r>
      <w:r>
        <w:rPr>
          <w:highlight w:val="none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Синхронные и </w:t>
      </w:r>
      <w:r>
        <w:rPr>
          <w:b/>
          <w:bCs/>
        </w:rPr>
        <w:t xml:space="preserve">асинхронные протоколы передачи данных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Сравнительные характеристики синхронных / асинхронных протоколов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установка и поддержание соединения (timeout, keep-alive, ping/pong)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данных в заголовках либо в теле пакета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восстановление соединения (reconnect)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работы синхронных/асинхронных протоколов. Сравнить особенности передачи пакетов данных через разные типы соединений. </w:t>
      </w:r>
      <w:r>
        <w:rPr>
          <w:highlight w:val="none"/>
        </w:rPr>
        <w:t xml:space="preserve">Описать процессы установки/поддержания соединения и данных на примере протокола Websocket.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Протокол RPC (remote procedure call)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принципы проектирования RPC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реализация RPC протокола поверх HTTP 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данных для выполнения RPC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особенности маршрутизации/балансировки RPC 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результатов выполнения запроса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особенности реализации RPC протокола (сравнительная характеристика с REST API). Передача параметров запроса / результатов ответа, форматы сериализации данных (на примере JSON).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Модель обмена сообщениями Publish / Subscribe (публикация / подписка)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принципы работы брокеров 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публикация (Publish) 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подписка (Subscribe) на темы (очереди) </w:t>
      </w:r>
      <w:r>
        <w:rPr>
          <w:highlight w:val="none"/>
        </w:rPr>
        <w:t xml:space="preserve">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модель realtime подписки / доставки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модель durable подписки / доставки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обмена сообщениями между сервисами по модели pub/sub. Особенности использования realtime брокеров сообщений. Особенности использования durable очередей (с возможностью длительного хранения и восстановления истории).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Использование инструментов автоматической генерации кода для проектирования и разработки микросервисных приложений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Использование протокола gRPC и формата Protobuf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стандарт protobuf для описания структур и функций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описание структур в формате protobuf (типы данных, порядок полей и т.д.)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описание функций в формате protobuf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структур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клиентских и серверных приложений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обмена данными между микросервисами с использованием технологии gRPC. Описать особенности процесса проектирования сервисов и использования инструментов автоматической кодогенерации на основе protobuf.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инструментов миграции для управления структурой базы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механизмы миграции реляционных БД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формат хранения файлов миграции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утилит миграции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проектирование архитектуры БД и организация командной работы с использованием механизмов миграции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механизмы работы технологии миграции. Использование утилит миграции, версионирование БД. Какие аспекты, связанные с изменением структуры БД нужно учитывать при применении/откате миграций.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инструментов автогенерации кода для работы с Базами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на основе миграций и SQL-запросов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утилит генерации кода (на примере SQLC)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проектирование архитектуры модулей приложения и организация командной работы с использованием кодогенерации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механизмы работы утилит автоматической генерации кода модулей для реализации функций запросов к БД. Какие аспекты использования автогенерации мы должны учитывать при проектировании архитектуры сервисов и организации командной работы.</w:t>
      </w:r>
      <w:r>
        <w:rPr>
          <w:highlight w:val="none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Аутентификация в микросервисных приложениях. Технологии JWT и OpenId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Процесс аутентификации в соответствии со стандартом OpenId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Схема подтверждения достоверности информации.с тремя узлами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Схема аутентификации (получение токена) с использованием внешнего сервера аутентификации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JWT-токенов в процессах аутентификации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Получение, проверка токена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Срок жизни и процесс обновления токена</w:t>
      </w:r>
      <w:r>
        <w:rPr>
          <w:highlight w:val="none"/>
        </w:rPr>
      </w:r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Стандартные поля JWT токена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Пользовательские поля JWT токена</w:t>
      </w:r>
      <w:r/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Интеграция и федерация сервисов и систем с использованием технологий OpenId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Федерация сервисов (LDAP, Kerberos)</w:t>
      </w:r>
      <w:r/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Интеграция сервисов (на примере Яндекс.ID)</w:t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 </w:t>
        <w:tab/>
        <w:t xml:space="preserve">Использование инструментов мониторинга микросервисных приложений. Технологии OpenTelemetry. Инструменты пакета Grafana.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Инструменты профилирования и трассировки приложений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 профилирования, использование сервиса Pyroscope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 трассировки, использование сервиса Tempo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организация командной работы с инструментами профилирования и трассировки</w:t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общие принципы мониторинга работы приложений. Процессы профилирования и трассировки, инструменты для сбора информации и визуального отображения результатов. Организация командной работы с использованием этих инструментов.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метрик для мониторинга работы приложения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классификация метрик приложения (технические, эксплуатационные, бизнес-метрики и т.д.)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типы метрик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процессы сбора, агрегации и хранения метрик, пакет Prometheus</w:t>
      </w:r>
      <w:r/>
    </w:p>
    <w:p>
      <w:pPr>
        <w:pStyle w:val="921"/>
        <w:numPr>
          <w:ilvl w:val="1"/>
          <w:numId w:val="17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анализ и планирование на основе полученных метрик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общие принципы мониторинга работы приложений. Процессы сбора метрик и анализ работы приложения. Использование системы Alert’ов для оповещения и управления работой компонентов приложения.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Организация командной работы с использованием этих инструментов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системы логирования для сбора и анализа информации о работе приложения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процесс логирования событий в приложениии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уровни логирования (Info, Warn, Error, Debug)</w:t>
      </w:r>
      <w:r>
        <w:rPr>
          <w:highlight w:val="none"/>
        </w:rPr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сбор и отправка логов в систему хранения, пакет Promtail</w:t>
      </w:r>
      <w:r>
        <w:rPr>
          <w:highlight w:val="none"/>
        </w:rPr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хранение и обработка логов, пакет Loki</w:t>
      </w:r>
      <w:r/>
    </w:p>
    <w:p>
      <w:pPr>
        <w:pStyle w:val="921"/>
        <w:numPr>
          <w:ilvl w:val="1"/>
          <w:numId w:val="18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анализ логов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общие принципы логирования событий в приложении. Процессы сбора, хранения и анализа информации о логировании. </w:t>
      </w:r>
      <w:r>
        <w:rPr>
          <w:highlight w:val="none"/>
        </w:rPr>
        <w:t xml:space="preserve">Использование системы Alert’ов для оповещения и управления работой компонентов приложения.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Организация командной работы с использованием этих инструментов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Heading 1"/>
    <w:basedOn w:val="917"/>
    <w:next w:val="917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0">
    <w:name w:val="Heading 2"/>
    <w:basedOn w:val="917"/>
    <w:next w:val="91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17"/>
    <w:next w:val="91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17"/>
    <w:next w:val="91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17"/>
    <w:next w:val="917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17"/>
    <w:next w:val="91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17"/>
    <w:next w:val="917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17"/>
    <w:next w:val="917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17"/>
    <w:next w:val="917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character" w:styleId="869">
    <w:name w:val="Heading 1 Char"/>
    <w:basedOn w:val="868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8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8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8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8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8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8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8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7"/>
    <w:next w:val="917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8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7"/>
    <w:next w:val="917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8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7"/>
    <w:next w:val="917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8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17"/>
    <w:next w:val="917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868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17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868"/>
    <w:link w:val="893"/>
    <w:uiPriority w:val="99"/>
    <w:pPr>
      <w:pBdr/>
      <w:spacing/>
      <w:ind/>
    </w:pPr>
  </w:style>
  <w:style w:type="paragraph" w:styleId="895">
    <w:name w:val="Footer"/>
    <w:basedOn w:val="917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868"/>
    <w:link w:val="895"/>
    <w:uiPriority w:val="99"/>
    <w:pPr>
      <w:pBdr/>
      <w:spacing/>
      <w:ind/>
    </w:p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8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8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No Spacing"/>
    <w:basedOn w:val="917"/>
    <w:uiPriority w:val="1"/>
    <w:qFormat/>
    <w:pPr>
      <w:pBdr/>
      <w:spacing w:after="0" w:line="240" w:lineRule="auto"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2025-05-13T13:14:06Z</dcterms:modified>
</cp:coreProperties>
</file>