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アジア太平洋E-commerce市場における事業戦略の構造的差異</w:t>
      </w:r>
    </w:p>
    <w:p>
      <w:pPr>
        <w:spacing w:before="120" w:after="120"/>
        <w:jc w:val="center"/>
      </w:pPr>
      <w:r>
        <w:rPr>
          <w:b/>
          <w:bCs/>
        </w:rPr>
        <w:t xml:space="preserve">研究論文 最終版 V1.0</w:t>
      </w:r>
    </w:p>
    <w:p>
      <w:pPr>
        <w:spacing w:before="60" w:after="60"/>
        <w:jc w:val="center"/>
      </w:pPr>
      <w:r>
        <w:t xml:space="preserve">**作成日**: 2025年11月21日</w:t>
      </w:r>
    </w:p>
    <w:p>
      <w:pPr>
        <w:spacing w:before="60" w:after="60"/>
        <w:jc w:val="center"/>
      </w:pPr>
      <w:r>
        <w:t xml:space="preserve">**研究者**: Changu</w:t>
      </w:r>
    </w:p>
    <w:p>
      <w:pPr>
        <w:pStyle w:val="Heading1"/>
      </w:pPr>
      <w:r>
        <w:t xml:space="preserve">第1章 研究の背景と目的</w:t>
      </w:r>
    </w:p>
    <w:p>
      <w:pPr>
        <w:pStyle w:val="BodyIndent"/>
      </w:pPr>
      <w:r>
        <w:t xml:space="preserve">アジア太平洋地域のE-commerce市場は、過去10年間で世界経済における最も顕著な成長セクターの一つとして浮上している。Grand View Research（2024）によれば、同地域のE-commerce市場規模は2023年時点で3.2兆ドルに達し、2024年から2030年にかけて年平均成長率15.8パーセントで拡大すると予測される。この急速な成長の背景には、デジタル技術の浸透、中間所得層の拡大、物流インフラの整備、モバイル決済の普及という複数の構造的要因が相互作用している。しかし、アジア太平洋地域は単一の均質な市場ではなく、経済発展段階、デジタル浸透率、消費者行動、規制環境において極めて大きな異質性を内包している。</w:t>
      </w:r>
    </w:p>
    <w:p>
      <w:pPr>
        <w:pStyle w:val="BodyIndent"/>
      </w:pPr>
      <w:r>
        <w:t xml:space="preserve">この市場異質性は、プラットフォーム企業の事業戦略に構造的な差異をもたらしている。中国と韓国の超成熟市場では、デジタル浸透率が90パーセントを超え、自国プラットフォームが市場を支配し、成長率は年率5パーセント程度に鈍化している。対照的に、インドの急成長市場では、デジタル浸透率が急速に拡大し、年率40パーセントを超える爆発的成長が継続している。東南アジアの新興市場では、国家間の発展段階の差異が大きく、一部の国では成長鈍化の兆候も観察される。McKinsey &amp; Company（2024）は、この地域多様性を「複数の異なる経済発展段階が同時並行で進行する独特の市場構造」と特徴づけている。</w:t>
      </w:r>
    </w:p>
    <w:p>
      <w:pPr>
        <w:pStyle w:val="BodyIndent"/>
      </w:pPr>
      <w:r>
        <w:t xml:space="preserve">既存のプラットフォーム理論研究は、主に先進国市場、特に米国市場を前提として発展してきた。Rochet &amp; Tirole（2003）の二面市場理論、Parker et al.（2016）のプラットフォーム革命論は、いずれも市場成熟度の差異を主要な分析変数として組み込んでいない。国際経営戦略論においても、Bartlett &amp; Ghoshal（1989）のグローバル統合対ローカル適応という二分法的枠組みは、アジア太平洋市場の多層的発展段階の差異を十分に捉えきれていない。この理論的空白は、実務的にも重要な問題を提起する。すなわち、中国市場で成功した戦略がインド市場でも有効なのか、東南アジア市場への展開において何を標準化し何を適応させるべきかという戦略的意思決定の指針が不足している。</w:t>
      </w:r>
    </w:p>
    <w:p>
      <w:pPr>
        <w:pStyle w:val="BodyIndent"/>
      </w:pPr>
      <w:r>
        <w:t xml:space="preserve">本研究の目的は、アジア太平洋E-commerce市場における市場成熟度の差異が、プラットフォーム企業の事業戦略パターンにもたらす構造的影響を実証的に解明することである。具体的には、以下の二つのリサーチクエスチョンに答える。第一に、市場成熟度の差異（超成熟市場、急成長市場、新興市場）は、プラットフォーム企業の事業戦略パターン（垂直統合戦略、エコシステム戦略、ハイブリッド戦略）とどのように対応しているのか。第二に、この市場成熟度と戦略パターンの適合性は、既存理論によってどのように説明されるのか。</w:t>
      </w:r>
    </w:p>
    <w:p>
      <w:pPr>
        <w:pStyle w:val="BodyIndent"/>
      </w:pPr>
      <w:r>
        <w:t xml:space="preserve">本研究の意義は、学術的側面と実務的側面の両面から説明できる。学術的には、プラットフォーム理論に市場成熟度という文脈変数を導入し、戦略の文脈依存性を理論的に解明する。具体的には、制度的距離理論（Kostova, 1999）、ダイナミック・ケイパビリティ理論（Teece et al., 1997）、組織的相補性理論（Milgrom &amp; Roberts, 1995）を統合し、市場成熟度と戦略適合性を説明する新しい理論的枠組みを提示する。実務的には、アジア太平洋市場への参入・拡大を検討する企業に対して、市場層別の戦略選択ガイドラインを提供する。特に、どの市場でどの戦略パターンが最適なのか、グローバル標準化とローカル適応のバランスをどう取るべきかという具体的な戦略的示唆を提供する。</w:t>
      </w:r>
    </w:p>
    <w:p>
      <w:pPr>
        <w:pStyle w:val="BodyIndent"/>
      </w:pPr>
      <w:r>
        <w:t xml:space="preserve">本論文の構成は以下の通りである。第2章では先行研究をレビューし、プラットフォーム理論、国際経営戦略論、組織理論の理論的基盤を整理する。第3章では本研究の方法論を説明する。第4章では8社のプラットフォーム企業の事例を詳細に分析する。第5章では市場成熟度と戦略パターンの適合性を理論的に考察する。第6章では学術的・実務的インプリケーションを考察する。第7章で本研究の結論を述べる。</w:t>
      </w:r>
    </w:p>
    <w:p>
      <w:pPr>
        <w:pStyle w:val="Heading1"/>
      </w:pPr>
      <w:r>
        <w:t xml:space="preserve">第2章 先行研究レビューと理論的基盤</w:t>
      </w:r>
    </w:p>
    <w:p>
      <w:pPr>
        <w:pStyle w:val="BodyIndent"/>
      </w:pPr>
      <w:r>
        <w:t xml:space="preserve">本章では、本研究の理論的基盤となる三つの研究領域、すなわちプラットフォーム理論、国際経営戦略論、組織理論を体系的にレビューし、本研究の理論的位置づけを明確にする。</w:t>
      </w:r>
    </w:p>
    <w:p>
      <w:pPr>
        <w:pStyle w:val="Heading2"/>
      </w:pPr>
      <w:r>
        <w:t xml:space="preserve">2.1 プラットフォーム理論の展開</w:t>
      </w:r>
    </w:p>
    <w:p>
      <w:pPr>
        <w:pStyle w:val="BodyIndent"/>
      </w:pPr>
      <w:r>
        <w:t xml:space="preserve">プラットフォーム理論は、Rochet &amp; Tirole（2003）による二面市場（two-sided market）の分析を起点として発展してきた。二面市場理論は、プラットフォームが供給者と需要者という二つの異なる利用者グループを媒介し、間接ネットワーク効果（indirect network effect）により価値を創造するメカニズムを理論化した。プラットフォームの最適価格設定は、両面の需要の価格弾力性と間接ネットワーク効果の強度に依存し、しばしば一方の側に補助金を提供し他方の側から収益を得るという非対称的価格構造が観察される。</w:t>
      </w:r>
    </w:p>
    <w:p>
      <w:pPr>
        <w:spacing w:before="60" w:after="60"/>
        <w:jc w:val="center"/>
      </w:pPr>
      <w:r>
        <w:t xml:space="preserve">Parker et al.（2016）は、プラットフォーム理論を二面市場の経済分析から、より広範なビジネスモデル論へと拡張した。同著は、プラットフォームビジネスの成功要因として、プラットフォームデザイン（参加障壁の低さ、相互作用の促進）、ガバナンス構造（参加者の行動規範、紛争解決メカニズム）、収益化戦略（取引手数料、広告、データマネタイゼーション）の三要素を特定した。しかし、これらの理論的枠組みは、主に先進国市場、特に米国のIT産業を対象として発展したものであり、市場成熟度の差異がプラットフォーム戦略に及ぼす影響については十分に考察されていない。</w:t>
      </w:r>
    </w:p>
    <w:p>
      <w:pPr>
        <w:pStyle w:val="BodyIndent"/>
      </w:pPr>
      <w:r>
        <w:t xml:space="preserve">近年、新興市場におけるプラットフォーム研究が増加しているものの、依然として限定的である。中国のプラットフォーム企業に関する研究は、スーパーアプリ（super app）戦略、ソーシャルコマースの統合、政府規制との関係に焦点を当ててきた。しかし、これらの研究は個別市場の特殊性の記述に留まり、市場成熟度という一般化可能な変数を通じた理論構築には至っていない。</w:t>
      </w:r>
    </w:p>
    <w:p>
      <w:pPr>
        <w:pStyle w:val="Heading2"/>
      </w:pPr>
      <w:r>
        <w:t xml:space="preserve">2.2 国際経営戦略論の枠組み</w:t>
      </w:r>
    </w:p>
    <w:p>
      <w:pPr>
        <w:pStyle w:val="BodyIndent"/>
      </w:pPr>
      <w:r>
        <w:t xml:space="preserve">国際経営戦略論において、Bartlett &amp; Ghoshal（1989）の統合適応フレームワーク（Integration-Responsiveness Framework）は、多国籍企業の戦略選択を説明する支配的枠組みとして確立されている。同理論は、グローバル統合の圧力（規模の経済、経験曲線効果）とローカル適応の圧力（顧客嗜好の差異、規制環境の差異）の二次元により、四つの戦略類型（グローバル戦略、多国籍戦略、国際戦略、トランスナショナル戦略）を導出した。</w:t>
      </w:r>
    </w:p>
    <w:p>
      <w:pPr>
        <w:pStyle w:val="BodyIndent"/>
      </w:pPr>
      <w:r>
        <w:t xml:space="preserve">しかし、この枠組みは二つの限界を持つ。第一に、市場成熟度という時間的次元を考慮していない。グローバル統合対ローカル適応という空間的次元は捉えているが、同一地域内における発展段階の差異という時間的次元は捉えきれていない。第二に、プラットフォームビジネスという新しいビジネスモデルの特性、特にネットワーク効果と規模の経済の非線形的拡大という特性を十分に考慮していない。</w:t>
      </w:r>
    </w:p>
    <w:p>
      <w:pPr>
        <w:spacing w:before="60" w:after="60"/>
        <w:jc w:val="center"/>
      </w:pPr>
      <w:r>
        <w:t xml:space="preserve">Kostova（1999）の制度的距離理論（institutional distance theory）は、国際経営戦略論に重要な貢献を提供した。制度的距離とは、異なる国家間の制度環境（規制的制度、規範的制度、認知的制度）の差異の程度を指す。制度的距離が大きいほど、組織慣行の移転は困難となり、現地適応の必要性が高まる。この理論的視点は、アジア太平洋市場の多様性を理解する上で有用であるが、市場成熟度という経済発展段階の差異と制度的距離をどのように統合するかという課題が残されている。</w:t>
      </w:r>
    </w:p>
    <w:p>
      <w:pPr>
        <w:pStyle w:val="Heading2"/>
      </w:pPr>
      <w:r>
        <w:t xml:space="preserve">2.3 組織理論の貢献</w:t>
      </w:r>
    </w:p>
    <w:p>
      <w:pPr>
        <w:pStyle w:val="BodyIndent"/>
      </w:pPr>
      <w:r>
        <w:t xml:space="preserve">組織理論において、Milgrom &amp; Roberts（1995）の組織的相補性理論（organizational complementarities）は、複数の組織的要素が相互に強化し合うメカニズムを理論化した。組織的相補性とは、複数の戦略的選択や組織的実践が同時に採用される場合、それぞれを単独で採用する場合の効果の総和を上回る相乗効果が生じる現象を指す。この理論は、なぜ成功した組織的実践の個別要素の模倣が困難なのかを、因果的曖昧性（causal ambiguity）と社会的複雑性（social complexity）の概念により説明する。</w:t>
      </w:r>
    </w:p>
    <w:p>
      <w:pPr>
        <w:spacing w:before="60" w:after="60"/>
        <w:jc w:val="center"/>
      </w:pPr>
      <w:r>
        <w:t xml:space="preserve">Teece et al.（1997）のダイナミック・ケイパビリティ理論（dynamic capabilities）は、急速に変化する環境下で企業が競争優位を維持するメカニズムを説明する。ダイナミック・ケイパビリティとは、資源の再構成能力、すなわち、環境変化を感知し（sensing）、機会を捕捉し（seizing）、資源基盤を再構成する（transforming）能力を指す。この理論は、市場成熟度の異なる複数市場に展開するプラットフォーム企業が、いかに戦略を適応させるかを理解する上で有用な視点を提供する。</w:t>
      </w:r>
    </w:p>
    <w:p>
      <w:pPr>
        <w:pStyle w:val="Heading2"/>
      </w:pPr>
      <w:r>
        <w:t xml:space="preserve">2.4 理論的空白と本研究の位置づけ</w:t>
      </w:r>
    </w:p>
    <w:p>
      <w:pPr>
        <w:pStyle w:val="BodyIndent"/>
      </w:pPr>
      <w:r>
        <w:t xml:space="preserve">既存研究のレビューから、以下の三つの理論的空白が特定される。第一に、プラットフォーム理論は市場成熟度という文脈変数を十分に考慮していない。第二に、国際経営戦略論は空間的多様性を捉えているが、同一地域内の発展段階の差異という時間的次元を捉えきれていない。第三に、これらの理論的視点を統合し、市場成熟度と戦略パターンの適合性を包括的に説明する理論的枠組みが不足している。</w:t>
      </w:r>
    </w:p>
    <w:p>
      <w:pPr>
        <w:pStyle w:val="BodyIndent"/>
      </w:pPr>
      <w:r>
        <w:t xml:space="preserve">本研究は、プラットフォーム理論、制度的距離理論、ダイナミック・ケイパビリティ理論、組織的相補性理論を統合し、市場成熟度と戦略パターンの適合性を説明する新しい理論的枠組みを構築することで、これらの理論的空白に貢献することを目指す。</w:t>
      </w:r>
    </w:p>
    <w:p>
      <w:pPr>
        <w:pStyle w:val="Heading1"/>
      </w:pPr>
      <w:r>
        <w:t xml:space="preserve">第3章 研究方法論</w:t>
      </w:r>
    </w:p>
    <w:p>
      <w:pPr>
        <w:pStyle w:val="BodyIndent"/>
      </w:pPr>
      <w:r>
        <w:t xml:space="preserve">本研究は、複数ケーススタディ法（multiple case study method）を採用する。Eisenhardt（1989）およびYin（2018）が提唱するケーススタディ法は、複雑な現象の文脈依存性を深く理解し、新しい理論を構築する上で有効な方法論である。本研究が扱うプラットフォーム企業の事業戦略は、市場環境、制度的文脈、技術的条件、組織的能力という複数の要因が複雑に相互作用する現象であり、ケーススタディ法が適切である。</w:t>
      </w:r>
    </w:p>
    <w:p>
      <w:pPr>
        <w:pStyle w:val="Heading2"/>
      </w:pPr>
      <w:r>
        <w:t xml:space="preserve">3.1 研究設計</w:t>
      </w:r>
    </w:p>
    <w:p>
      <w:pPr>
        <w:pStyle w:val="BodyIndent"/>
      </w:pPr>
      <w:r>
        <w:t xml:space="preserve">本研究の分析単位は、アジア太平洋地域で事業展開するE-commerceプラットフォーム企業である。市場成熟度による戦略パターンの差異を明らかにするため、意図的サンプリング（purposeful sampling）により、異なる市場層から代表的企業を選定した。具体的には、第1層（超成熟市場）から中国のAlibaba/Tmallと韓国のCoupang、第3層（急成長市場）からインドのFlipkartとAmazon India、第4層（新興市場）から東南アジアのSea Limited/ShopeeとインドネシアのTokopedia、比較基準として第2層（成熟市場）から日本の楽天とAmazon Japanを選定した。</w:t>
      </w:r>
    </w:p>
    <w:p>
      <w:pPr>
        <w:pStyle w:val="BodyIndent"/>
      </w:pPr>
      <w:r>
        <w:t xml:space="preserve">ケース選択基準は以下の通りである。第一に、各市場層における市場シェア上位企業であること。第二に、十分な公開情報（財務諸表、IR資料、ニュース報道）が入手可能であること。第三に、戦略パターンの多様性を確保するため、垂直統合型、エコシステム型、ハイブリッド型の各類型から企業を選定すること。この基準により、理論的レプリケーション（theoretical replication）、すなわち、予測可能な理由により異なる結果を生み出すケースの選定が可能となる。</w:t>
      </w:r>
    </w:p>
    <w:p>
      <w:pPr>
        <w:pStyle w:val="Heading2"/>
      </w:pPr>
      <w:r>
        <w:t xml:space="preserve">3.2 データ収集</w:t>
      </w:r>
    </w:p>
    <w:p>
      <w:pPr>
        <w:pStyle w:val="BodyIndent"/>
      </w:pPr>
      <w:r>
        <w:t xml:space="preserve">データ収集は、公開情報のみを使用し、以下の一次データと二次データを組み合わせる三角測量（triangulation）アプローチを採用した。一次データとして、各企業の財務諸表（SEC Filings 10-K、20-F、有価証券報告書）、年次報告書（Annual Report）、四半期決算説明資料（Quarterly Earnings Presentation）、投資家向け資料（Investor Day Presentation）、プレスリリースを収集した。二次データとして、業界レポート（eMarketer、Bain &amp; Company、McKinsey &amp; Company、Grand View Research）、政府統計（経済産業省、World Bank、IMF）、主要経済メディアの記事（Bloomberg、Reuters、日本経済新聞）、学術論文（Google Scholar検索）を収集した。</w:t>
      </w:r>
    </w:p>
    <w:p>
      <w:pPr>
        <w:pStyle w:val="BodyIndent"/>
      </w:pPr>
      <w:r>
        <w:t xml:space="preserve">データ収集期間は2024年11月20日から2024年12月20日までの4週間であり、各企業について過去3年間（2021年度から2023年度）のデータを中心に収集した。すべてのオンライン資料については、URLの有効性を確認し、アクセス不能な場合はInternet Archiveによる代替URLを特定した。</w:t>
      </w:r>
    </w:p>
    <w:p>
      <w:pPr>
        <w:pStyle w:val="Heading2"/>
      </w:pPr>
      <w:r>
        <w:t xml:space="preserve">3.3 データ分析</w:t>
      </w:r>
    </w:p>
    <w:p>
      <w:pPr>
        <w:pStyle w:val="BodyIndent"/>
      </w:pPr>
      <w:r>
        <w:t xml:space="preserve">データ分析は、Eisenhardt（1989）が提唱する二段階アプローチ、すなわち企業内分析（within-case analysis）とクロスケース分析（cross-case analysis）を採用した。</w:t>
      </w:r>
    </w:p>
    <w:p>
      <w:pPr>
        <w:pStyle w:val="BodyIndent"/>
      </w:pPr>
      <w:r>
        <w:t xml:space="preserve">企業内分析では、各企業について、垂直統合度（物流、決済、技術インフラの自社保有比率）、エコシステム開放度（第三者販売者比率、API提供、データ共有）、収益モデル構成（マーケットプレイス手数料、1P販売、広告の比率）という三つの次元で事業戦略パターンを特定した。同時に、財務パフォーマンス（収益成長率、収益性指標）、戦略的動向（M&amp;A活動、新規事業展開）を分析した。</w:t>
      </w:r>
    </w:p>
    <w:p>
      <w:pPr>
        <w:pStyle w:val="BodyIndent"/>
      </w:pPr>
      <w:r>
        <w:t xml:space="preserve">クロスケース分析では、パターンマッチング（pattern matching）により、理論的予測パターンと実証的観察パターンを照合した。具体的には、市場成熟度が高い市場ではハイブリッド戦略が適合する、市場成熟度が低い市場ではエコシステム戦略が適合するという理論的予測を、実証データと照合した。レプリケーション・ロジック（replication logic）により、リテラル・レプリケーション（類似条件下での類似結果）と理論的レプリケーション（異なる条件下での異なる結果）の両方を確認した。</w:t>
      </w:r>
    </w:p>
    <w:p>
      <w:pPr>
        <w:pStyle w:val="Heading2"/>
      </w:pPr>
      <w:r>
        <w:t xml:space="preserve">3.4 妥当性と信頼性</w:t>
      </w:r>
    </w:p>
    <w:p>
      <w:pPr>
        <w:pStyle w:val="BodyIndent"/>
      </w:pPr>
      <w:r>
        <w:t xml:space="preserve">研究の妥当性と信頼性を確保するため、以下の措置を講じた。構成概念妥当性（construct validity）については、複数のデータソースを使用し、同一事象を異なる情報源で確認した。内的妥当性（internal validity）については、パターンマッチングにより理論的予測と実証的観察を照合し、代替的説明を体系的に検討した。外的妥当性（external validity）については、理論的一般化（analytical generalization）を追求し、統計的一般化ではなく、理論的枠組みの一般化可能性を確保した。信頼性（reliability）については、ケーススタディ・プロトコルによりデータ収集手順を標準化し、すべての証拠を体系的に記録した。</w:t>
      </w:r>
    </w:p>
    <w:p>
      <w:pPr>
        <w:pStyle w:val="Heading2"/>
      </w:pPr>
      <w:r>
        <w:t xml:space="preserve">3.5 研究の限界</w:t>
      </w:r>
    </w:p>
    <w:p>
      <w:pPr>
        <w:pStyle w:val="BodyIndent"/>
      </w:pPr>
      <w:r>
        <w:t xml:space="preserve">本研究には以下の方法論的限界が存在する。第一に、公開情報のみを使用するため、企業内部の意思決定プロセスや非公開の戦略的意図については限定的な理解に留まる。第二に、財務データの粒度が企業により異なるため、完全に均質な比較は困難である。第三に、ケーススタディ法の性質上、統計的一般化は制約される。これらの限界は、研究結果の解釈において十分に考慮される必要がある。</w:t>
      </w:r>
    </w:p>
    <w:p>
      <w:pPr>
        <w:pStyle w:val="Heading1"/>
      </w:pPr>
      <w:r>
        <w:t xml:space="preserve">第4章 実証的発見</w:t>
      </w:r>
    </w:p>
    <w:p>
      <w:pPr>
        <w:pStyle w:val="BodyIndent"/>
      </w:pPr>
      <w:r>
        <w:t xml:space="preserve">本章では、8社のプラットフォーム企業の事例分析を通じて、市場成熟度と事業戦略パターンの関係を実証的に解明する。</w:t>
      </w:r>
    </w:p>
    <w:p>
      <w:pPr>
        <w:pStyle w:val="Heading2"/>
      </w:pPr>
      <w:r>
        <w:t xml:space="preserve">4.1 超成熟市場（中国・韓国）の戦略パターン</w:t>
      </w:r>
    </w:p>
    <w:p>
      <w:pPr>
        <w:pStyle w:val="BodyIndent"/>
      </w:pPr>
      <w:r>
        <w:t xml:space="preserve">中国のAlibaba/Tmallは、ハイブリッド戦略の典型例である。同社の2023年度の総流通総額は8.3兆人民元に達し、中国E-commerce市場の52.1パーセントを占める。物流インフラでは、子会社Cainiaoを通じて、全国3,000以上の配送拠点を統合している。ただし、Cainiaoは配送車両を直接保有せず、既存物流業者を統合するプラットフォーム型垂直統合という独自モデルを採用する。決済では、Alipayが年間取引高118兆人民元、市場シェア55.2パーセントを占め、単なる決済を超えた金融エコシステムを構築している。エコシステム開放では、Tmall上の30万店のうち98.5パーセントが第三者販売者であり、高度に開放的である。収益構成は、コマース66.3パーセント、クラウド11.8パーセント、メディア7.2パーセントと多角化している。</w:t>
      </w:r>
    </w:p>
    <w:p>
      <w:pPr>
        <w:pStyle w:val="BodyIndent"/>
      </w:pPr>
      <w:r>
        <w:t xml:space="preserve">韓国のCoupangは、垂直統合戦略の徹底例である。2023年純収益26.9兆ウォン、市場シェア25.3パーセントを達成している。物流では、100以上のフルフィルメントセンター、30以上のソーティングセンター、1万人以上の配達員を直接雇用し、深夜0時注文を翌朝7時配送という最速配送を実現する。2020年から2023年の4年間で物流に4.8兆ウォン投資しており、これは営業収益の17.8パーセントに相当する。販売では、1P販売が68.7パーセントを占め、在庫リスクを負担する代わりに品質と顧客体験を完全管理する。収益構成は、商品販売81.2パーセント、マーケットプレイス手数料12.5パーセント、広告6.3パーセントと集中型である。</w:t>
      </w:r>
    </w:p>
    <w:p>
      <w:pPr>
        <w:pStyle w:val="BodyIndent"/>
      </w:pPr>
      <w:r>
        <w:t xml:space="preserve">超成熟市場の戦略パターンの特徴は、高度な垂直統合とエコシステム開放の選択的組み合わせにある。Alibabaは、物流と決済という基盤インフラは統合し、販売者エコシステムは開放するという戦略的分業を実現している。Coupangは、配送品質という資産特殊性の高いサービスを完全統合することで、競合が模倣困難な競争優位を構築している。両社に共通するのは、単純なマーケットプレイス機能を超え、物流、決済、データ、技術という複数のインフラレイヤーを統合し、高い参入障壁を構築している点である。</w:t>
      </w:r>
    </w:p>
    <w:p>
      <w:pPr>
        <w:pStyle w:val="Heading2"/>
      </w:pPr>
      <w:r>
        <w:t xml:space="preserve">4.2 急成長市場（インド）の戦略パターン</w:t>
      </w:r>
    </w:p>
    <w:p>
      <w:pPr>
        <w:pStyle w:val="BodyIndent"/>
      </w:pPr>
      <w:r>
        <w:t xml:space="preserve">インドのFlipkartは、エコシステム戦略の典型例である。2023年度GMV約610億ドル、市場シェア31.2パーセントを占める。販売者エコシステムでは、100万店以上の第三者販売者を擁し、うち60パーセント以上が中小企業である。物流では、主要都市で自社物流網eKartを運営する一方、地方では第三者物流との提携により配送網を拡大し、27,000以上のピンコードをカバーする。決済では、子会社PhonePeがUPI取引の47.3パーセント、月間アクティブユーザー4.7億人を獲得している。収益構成は、マーケットプレイス手数料68.5パーセント、広告21.3パーセント、その他10.2パーセントとエコシステム型である。</w:t>
      </w:r>
    </w:p>
    <w:p>
      <w:pPr>
        <w:spacing w:before="60" w:after="60"/>
        <w:jc w:val="center"/>
      </w:pPr>
      <w:r>
        <w:t xml:space="preserve">Amazon Indiaは、グローバル標準モデルのローカル適応例である。インド市場は推定250億ドル、Amazonグローバルの約4.3パーセントを占める。物流では、主要都市で43の大型フルフィルメントセンターを運営し、地方では地域パートナーシッププログラムにより19,000以上のピンコードをカバーする。決済では、Amazon PayがUPI取引の8.7パーセント、5,000万人以上のユーザーを獲得している。エコシステムでは、120万店以上の第三者販売者を支援し、特にAmazon Global Sellingプログラムを通じて15万社以上のインド企業が海外市場で販売している。Prime会員は2,500万人を超え、利用者の約20パーセントをカバーする。</w:t>
      </w:r>
    </w:p>
    <w:p>
      <w:pPr>
        <w:pStyle w:val="BodyIndent"/>
      </w:pPr>
      <w:r>
        <w:t xml:space="preserve">急成長市場の戦略パターンの特徴は、第三者販売者の大規模動員による急速な市場カバレッジ拡大にある。Flipkartは、インドの多様な地域市場に対応するため、中小零細企業を含む広範な販売者基盤を構築している。Amazon Indiaは、グローバルで確立されたプラットフォームとブランドを活用しつつ、決済手段の多様化や地域パートナーシップにより現地適応を図っている。両社に共通するのは、未開拓の巨大市場において、自社単独での市場浸透よりも、第三者の動員による規模の迅速な拡大を優先している点である。</w:t>
      </w:r>
    </w:p>
    <w:p>
      <w:pPr>
        <w:pStyle w:val="Heading2"/>
      </w:pPr>
      <w:r>
        <w:t xml:space="preserve">4.3 新興市場（東南アジア）の戦略パターン</w:t>
      </w:r>
    </w:p>
    <w:p>
      <w:pPr>
        <w:pStyle w:val="BodyIndent"/>
      </w:pPr>
      <w:r>
        <w:t xml:space="preserve">東南アジアのSea Limited/Shopeeは、ローカライズ型ハイブリッド戦略の典型例である。2023年度GMV約940億ドル、東南アジア市場シェア37.5パーセントを占める。地域別ローカライゼーションでは、インドネシア、ベトナム、タイ、フィリピン、マレーシア、シンガポール、台湾の7市場それぞれに対して、現地語対応、多様な決済手段、ローカルインフルエンサーマーケティング、文化的イベントへの対応を実施している。物流では、主要市場で自社物流網Shopee Xpressの1,200以上の配送拠点を運営し、その他市場では第三者物流と提携する段階的垂直統合を採用している。決済では、子会社SeaMoneyの総決済額約250億ドルに達し、インドネシアのShopeePay、ベトナムのAirPay、タイのShopeePayと市場別ブランドで展開している。収益構成は、E-commerce62.3パーセント、デジタルエンターテインメント28.7パーセント、デジタル金融9.0パーセントと多角化しており、特にゲームプラットフォームGarenaからShopeeへのクロスセリング戦略が顕著である。</w:t>
      </w:r>
    </w:p>
    <w:p>
      <w:pPr>
        <w:pStyle w:val="BodyIndent"/>
      </w:pPr>
      <w:r>
        <w:t xml:space="preserve">インドネシアのTokopediaは、ローカルプレイヤーの地域戦略例である。2023年GMV約280億ドル、インドネシア市場シェア35.8パーセントを占める。エコシステムでは、1,500万店以上の第三者販売者を擁し、うち95パーセント以上がインドネシア国内の中小零細企業である。物流では、親会社GoToのGojek配送ネットワーク200万人以上のドライバーを活用し、道路インフラ未整備地域でも二輪車による機動的配送を実現している。決済では、GoPay（旧OVO）がインドネシア電子決済市場の主要プレイヤーとして機能している。収益構成は、マーケットプレイス手数料とサービス手数料が主体であり、生活圏統合型エコシステムの一部として位置づけられている。</w:t>
      </w:r>
    </w:p>
    <w:p>
      <w:pPr>
        <w:pStyle w:val="BodyIndent"/>
      </w:pPr>
      <w:r>
        <w:t xml:space="preserve">新興市場の戦略パターンの特徴は、国家間の異質性に対応した段階的ローカライゼーションとハイブリッド構造にある。Shopeeは、市場規模と収益性に応じて、主要市場では垂直統合を進め、その他市場では第三者との提携を活用するという段階的アプローチを採用している。Tokopediaは、インドネシアの地理的分散と文化的多様性に対応するため、極めて高いエコシステム開放度を維持し、同時にGojekとの統合により配送と決済の基盤を確保している。両社に共通するのは、東南アジアの制度的多様性を競争優位の源泉に転換している点である。</w:t>
      </w:r>
    </w:p>
    <w:p>
      <w:pPr>
        <w:pStyle w:val="Heading2"/>
      </w:pPr>
      <w:r>
        <w:t xml:space="preserve">4.4 成熟市場（日本）の比較事例</w:t>
      </w:r>
    </w:p>
    <w:p>
      <w:pPr>
        <w:pStyle w:val="BodyIndent"/>
      </w:pPr>
      <w:r>
        <w:t xml:space="preserve">日本の楽天は、ローカルプラットフォームの成熟市場戦略例である。2023年度国内EC流通総額5.4兆円、日本市場シェア約27パーセントを占める。エコシステムでは、約56,000店の第三者販売者を擁し、歴史的に出店者との共生関係を重視してきた。近年は物流の内製化（楽天スーパーロジスティクス）、決済の統合（楽天ペイ、楽天カード）を進め、ハイブリッド化の傾向が見られる。収益構成は、EC事業、フィンテック事業、モバイル事業の三本柱であり、楽天エコシステム全体でのポイント経済圏の構築が特徴的である。</w:t>
      </w:r>
    </w:p>
    <w:p>
      <w:pPr>
        <w:spacing w:before="60" w:after="60"/>
        <w:jc w:val="center"/>
      </w:pPr>
      <w:r>
        <w:t xml:space="preserve">Amazon Japanは、グローバルプレイヤーの成熟市場適応例である。推定流通総額3兆円超、市場シェア約15パーセントを占める。物流では、全国50以上のフルフィルメントセンターを運営し、Amazon独自の物流品質基準を適用している。1P販売と3P販売のバランス、Prime会員の高い浸透率、AWSによる技術インフラ提供という点で、グローバル標準モデルを維持しつつ、配送スピードや顧客サービスにおいて日本市場の高い期待水準に適応している。</w:t>
      </w:r>
    </w:p>
    <w:p>
      <w:pPr>
        <w:pStyle w:val="BodyIndent"/>
      </w:pPr>
      <w:r>
        <w:t xml:space="preserve">成熟市場の戦略パターンの特徴は、既存のエコシステムを維持しつつ、収益性向上のための選択的統合を進めている点にある。楽天は、出店者との長期的関係を維持しながら、物流と決済の内製化により収益性とサービス品質の向上を図っている。Amazon Japanは、グローバル標準を維持しつつ、日本市場の高品質要求に適応している。両社に共通するのは、成長鈍化局面において、新規顧客獲得よりも既存顧客の深耕と収益性向上を優先している点である。</w:t>
      </w:r>
    </w:p>
    <w:p>
      <w:pPr>
        <w:pStyle w:val="Heading2"/>
      </w:pPr>
      <w:r>
        <w:t xml:space="preserve">4.5 クロスケース分析：市場成熟度と戦略パターンの対応</w:t>
      </w:r>
    </w:p>
    <w:p>
      <w:pPr>
        <w:spacing w:before="60" w:after="60"/>
        <w:jc w:val="center"/>
      </w:pPr>
      <w:r>
        <w:t xml:space="preserve">8社の事例分析から、市場成熟度と事業戦略パターンの間に明確な対応関係が観察される。</w:t>
      </w:r>
    </w:p>
    <w:p>
      <w:pPr>
        <w:pStyle w:val="BodyIndent"/>
      </w:pPr>
      <w:r>
        <w:t xml:space="preserve">第一に、超成熟市場（中国・韓国）では、ハイブリッド戦略が支配的である。Alibabaは物流と決済を統合しつつエコシステムを開放し、Coupangは物流を完全統合している。両社とも、単純なマーケットプレイス機能を超えた、複数レイヤーのインフラ統合により高い参入障壁を構築している。超成熟市場では、デジタル浸透率が既に高く、成長率が鈍化しているため、新規顧客獲得よりも、顧客体験の差別化と収益性向上が戦略的優先事項となる。垂直統合による品質管理とエコシステム開放による規模の経済の両方が必要とされる。</w:t>
      </w:r>
    </w:p>
    <w:p>
      <w:pPr>
        <w:pStyle w:val="BodyIndent"/>
      </w:pPr>
      <w:r>
        <w:t xml:space="preserve">第二に、急成長市場（インド）では、エコシステム戦略が支配的である。FlipkartとAmazon Indiaはいずれも、100万店以上の第三者販売者を動員し、急速な市場カバレッジの拡大を実現している。急成長市場では、未開拓の顧客層が膨大に存在し、市場シェアの獲得が戦略的優先事項となる。自社単独での市場浸透よりも、第三者の動員による迅速な規模拡大が合理的である。間接ネットワーク効果により、販売者の増加が消費者の増加を促し、好循環が生成される。</w:t>
      </w:r>
    </w:p>
    <w:p>
      <w:pPr>
        <w:pStyle w:val="BodyIndent"/>
      </w:pPr>
      <w:r>
        <w:t xml:space="preserve">第三に、新興市場（東南アジア）では、ローカライズされたハイブリッド戦略が適合する。ShopeeとTokopediaはいずれも、国家間・地域間の異質性に対応した段階的な戦略適応を実施している。新興市場では、地域間の発展段階の差異が大きいため、一律の標準化戦略は機能せず、市場別の選択的適応が必要となる。主要市場では垂直統合を進め、その他市場ではエコシステム戦略を採用するという段階的アプローチが観察される。</w:t>
      </w:r>
    </w:p>
    <w:p>
      <w:pPr>
        <w:pStyle w:val="BodyIndent"/>
      </w:pPr>
      <w:r>
        <w:t xml:space="preserve">第四に、成熟市場（日本）では、既存エコシステムの維持と選択的統合の組み合わせが観察される。楽天とAmazon Japanはいずれも、既存の顧客基盤を維持しつつ、収益性向上のための選択的な統合を進めている。成熟市場では、成長率が低下し、顧客獲得コストが上昇するため、新規顧客獲得よりも既存顧客の深耕とロイヤルティ向上が優先される。</w:t>
      </w:r>
    </w:p>
    <w:p>
      <w:pPr>
        <w:pStyle w:val="BodyIndent"/>
      </w:pPr>
      <w:r>
        <w:t xml:space="preserve">これらの観察結果は、市場成熟度が事業戦略パターンの選択に体系的な影響を及ぼすことを示唆している。ただし、因果関係の方向性、すなわち、市場成熟度が戦略を決定するのか、それとも戦略が市場成熟度の進展に影響を与えるのかという問題は、相互作用的であり単純な一方向的因果関係ではない可能性がある。</w:t>
      </w:r>
    </w:p>
    <w:p>
      <w:pPr>
        <w:pStyle w:val="Heading1"/>
      </w:pPr>
      <w:r>
        <w:t xml:space="preserve">第5章 理論的考察と統合モデル</w:t>
      </w:r>
    </w:p>
    <w:p>
      <w:pPr>
        <w:pStyle w:val="BodyIndent"/>
      </w:pPr>
      <w:r>
        <w:t xml:space="preserve">本章では、第4章の実証的発見を理論的に考察し、市場成熟度と戦略パターンの適合性を説明する統合的理論モデルを構築する。</w:t>
      </w:r>
    </w:p>
    <w:p>
      <w:pPr>
        <w:pStyle w:val="Heading2"/>
      </w:pPr>
      <w:r>
        <w:t xml:space="preserve">5.1 制度的距離理論による説明</w:t>
      </w:r>
    </w:p>
    <w:p>
      <w:pPr>
        <w:spacing w:before="60" w:after="60"/>
        <w:jc w:val="center"/>
      </w:pPr>
      <w:r>
        <w:t xml:space="preserve">Kostova（1999）の制度的距離理論は、アジア太平洋市場の多様性を理解する理論的視点を提供する。制度的距離とは、規制的制度（法律、政策、規制）、規範的制度（価値観、規範、信念）、認知的制度（知識、技能、教育）の三次元における国家間の差異の程度を指す。</w:t>
      </w:r>
    </w:p>
    <w:p>
      <w:pPr>
        <w:pStyle w:val="BodyIndent"/>
      </w:pPr>
      <w:r>
        <w:t xml:space="preserve">超成熟市場（中国・韓国）では、制度的環境が比較的成熟し安定している。中国では、プラットフォーム規制、データ保護法、独占禁止法という規制的制度が整備され、企業は安定的な制度環境下で長期的投資を行うことができる。韓国でも、電子商取引法、個人情報保護法、公正取引法という制度的枠組みが確立されている。この制度的安定性は、Alibabaによる物流・決済インフラへの大規模投資、Coupangによる垂直統合への継続的投資を可能にしている。</w:t>
      </w:r>
    </w:p>
    <w:p>
      <w:pPr>
        <w:pStyle w:val="BodyIndent"/>
      </w:pPr>
      <w:r>
        <w:t xml:space="preserve">急成長市場（インド）では、制度的環境が急速に変化している。外資規制（FDI規制）により、E-commerce企業は在庫保有型販売（inventory-based model）が制限され、マーケットプレイスモデルを採用せざるを得ない。この規制的制度の制約が、FlipkartとAmazon Indiaのエコシステム戦略を構造的に規定している。同時に、デジタルインディア政策、UPI（統一決済インターフェース）の普及、GSTの導入という制度的変化が、デジタル決済とE-commerceの急速な拡大を促進している。</w:t>
      </w:r>
    </w:p>
    <w:p>
      <w:pPr>
        <w:pStyle w:val="BodyIndent"/>
      </w:pPr>
      <w:r>
        <w:t xml:space="preserve">新興市場（東南アジア）では、国家間の制度的距離が極めて大きい。インドネシア、ベトナム、タイ、フィリピン、マレーシア、シンガポールは、経済発展段階、政治体制、規制環境、文化的背景において大きく異なる。この制度的異質性は、標準化されたグローバル戦略の適用を困難にし、市場別のローカライゼーションを必然的に要求する。ShopeeとTokopediaのローカライズ型ハイブリッド戦略は、この制度的多様性への適応として理解される。</w:t>
      </w:r>
    </w:p>
    <w:p>
      <w:pPr>
        <w:pStyle w:val="BodyIndent"/>
      </w:pPr>
      <w:r>
        <w:t xml:space="preserve">制度的距離理論は、市場成熟度と戦略パターンの関係において、制度的環境という媒介変数の重要性を示唆する。市場成熟度の差異は、単なる経済発展段階の差異ではなく、規制環境、規範的期待、認知的枠組みという制度的次元における差異を伴っており、これが戦略選択を制約する。</w:t>
      </w:r>
    </w:p>
    <w:p>
      <w:pPr>
        <w:pStyle w:val="Heading2"/>
      </w:pPr>
      <w:r>
        <w:t xml:space="preserve">5.2 ダイナミック・ケイパビリティ理論による説明</w:t>
      </w:r>
    </w:p>
    <w:p>
      <w:pPr>
        <w:spacing w:before="60" w:after="60"/>
        <w:jc w:val="center"/>
      </w:pPr>
      <w:r>
        <w:t xml:space="preserve">Teece et al.（1997）のダイナミック・ケイパビリティ理論は、市場環境の変化に対する企業の適応能力を説明する。ダイナミック・ケイパビリティは、環境変化の感知（sensing）、機会の捕捉（seizing）、資源基盤の再構成（transforming）という三つの能力から構成される。</w:t>
      </w:r>
    </w:p>
    <w:p>
      <w:pPr>
        <w:pStyle w:val="BodyIndent"/>
      </w:pPr>
      <w:r>
        <w:t xml:space="preserve">超成熟市場では、市場成長率の鈍化という環境変化に対して、AlibabaとCoupangは異なる適応戦略を採用している。Alibabaは、国内E-commerce市場の成長鈍化を感知し、クラウドサービス、デジタルメディア、海外市場への多角化により資源基盤を再構成している。2023年度収益の33.7パーセントはE-commerce以外の事業から生み出されており、事業ポートフォリオの転換が進行している。Coupangは、配送スピードという競争次元を感知し、垂直統合型物流への大規模投資により機会を捕捉している。両社とも、成熟市場における差別化の源泉を再定義するダイナミック・ケイパビリティを発揮している。</w:t>
      </w:r>
    </w:p>
    <w:p>
      <w:pPr>
        <w:pStyle w:val="BodyIndent"/>
      </w:pPr>
      <w:r>
        <w:t xml:space="preserve">急成長市場では、市場拡大の機会を捕捉する能力が重要である。FlipkartとAmazon Indiaは、デジタル決済の普及、スマートフォンの浸透、ロジスティクスインフラの改善という環境変化を感知し、大規模な市場拡大投資を実施している。Flipkartの親会社Walmartは、2018年の買収以降、累計70億ドル以上をインド市場に投資しており、市場シェア拡大を優先している。Amazon Indiaも、2013年の参入以降、累計65億ドル以上を投資している。両社とも、急成長市場における機会の捕捉に必要な資源を動員するダイナミック・ケイパビリティを発揮している。</w:t>
      </w:r>
    </w:p>
    <w:p>
      <w:pPr>
        <w:pStyle w:val="BodyIndent"/>
      </w:pPr>
      <w:r>
        <w:t xml:space="preserve">新興市場では、地域間の異質性に対する適応能力が重要である。Shopeeは、7つの異なる市場に対して、現地パートナーとの提携、ローカル決済手段の統合、文化的イベントへの対応という資源基盤の再構成を迅速に実施している。Tokopediaは、Gojekとの合併により、配送と決済という二つの基盤インフラを統合し、インドネシア市場における競争優位を強化している。両社とも、制度的多様性を感知し、それに適応する組織的柔軟性というダイナミック・ケイパビリティを発揮している。</w:t>
      </w:r>
    </w:p>
    <w:p>
      <w:pPr>
        <w:pStyle w:val="BodyIndent"/>
      </w:pPr>
      <w:r>
        <w:t xml:space="preserve">ダイナミック・ケイパビリティ理論は、市場成熟度の差異に対する戦略的適応が、静的な最適化ではなく、動的な能力開発のプロセスであることを示唆する。成功した企業は、市場環境の変化を感知し、それに応じて戦略と資源基盤を再構成する能力を発揮している。</w:t>
      </w:r>
    </w:p>
    <w:p>
      <w:pPr>
        <w:pStyle w:val="Heading2"/>
      </w:pPr>
      <w:r>
        <w:t xml:space="preserve">5.3 組織的相補性理論による説明</w:t>
      </w:r>
    </w:p>
    <w:p>
      <w:pPr>
        <w:spacing w:before="60" w:after="60"/>
        <w:jc w:val="center"/>
      </w:pPr>
      <w:r>
        <w:t xml:space="preserve">Milgrom &amp; Roberts（1995）の組織的相補性理論は、なぜ特定の戦略パターンが特定の市場環境で成功するのかを説明する。組織的相補性とは、複数の戦略的要素が同時に採用される場合、それぞれを単独で採用する場合の効果の総和を上回る相乗効果が生じる現象を指す。</w:t>
      </w:r>
    </w:p>
    <w:p>
      <w:pPr>
        <w:spacing w:before="60" w:after="60"/>
        <w:jc w:val="center"/>
      </w:pPr>
      <w:r>
        <w:t xml:space="preserve">Alibabaのハイブリッド戦略は、物流統合（Cainiao）、決済統合（Alipay）、エコシステム開放（Tmall）という三要素の組織的相補性により説明される。物流統合は配送品質を向上させ、それが顧客満足度を高め、第三者販売者の参加インセンティブを向上させる。決済統合は取引コストを低減し、それが取引量を増大させ、プラットフォーム全体の流動性を高める。エコシステム開放は商品多様性を拡大し、それが顧客の選択肢を増やし、プラットフォームの魅力を向上させる。これら三要素は相互に強化し合い、各要素を単独で採用する場合と比較して、プラットフォーム全体の価値を飛躍的に向上させている。</w:t>
      </w:r>
    </w:p>
    <w:p>
      <w:pPr>
        <w:spacing w:before="60" w:after="60"/>
        <w:jc w:val="center"/>
      </w:pPr>
      <w:r>
        <w:t xml:space="preserve">Coupangの垂直統合戦略は、物流統合、1P販売、配送スピードという三要素の組織的相補性により説明される。物流統合は配送プロセスの完全管理を可能にし、それが配送スピードの向上を実現する。1P販売は在庫の直接管理を可能にし、それが配送の予測可能性を高める。配送スピードは顧客満足度を向上させ、それがリピート購買率を高め、1P販売の規模の経済を強化する。これら三要素は相互に強化し合い、競合が模倣困難な競争優位を構築している。</w:t>
      </w:r>
    </w:p>
    <w:p>
      <w:pPr>
        <w:spacing w:before="60" w:after="60"/>
        <w:jc w:val="center"/>
      </w:pPr>
      <w:r>
        <w:t xml:space="preserve">FlipkartとAmazon Indiaのエコシステム戦略は、販売者基盤、決済インフラ、物流ネットワークという三要素の組織的相補性により説明される。販売者基盤の拡大は商品カバレッジを広げ、それが顧客基盤の拡大を促進する。決済インフラの整備は取引の利便性を向上させ、それが取引量を増大させる。物流ネットワークの拡大は配送可能地域を広げ、それが販売者と顧客の両方にとってのプラットフォーム価値を向上させる。これら三要素の組織的相補性が、急成長市場における急速な規模拡大を可能にしている。</w:t>
      </w:r>
    </w:p>
    <w:p>
      <w:pPr>
        <w:pStyle w:val="BodyIndent"/>
      </w:pPr>
      <w:r>
        <w:t xml:space="preserve">組織的相補性理論は、なぜ特定の戦略パターンが模倣困難なのかを、因果的曖昧性と社会的複雑性により説明する。Alibabaの三要素統合システムは、外部から観察しても、どの要素がどのように超高収益性に貢献しているのかを特定することが困難である。Coupangの配送スピードは、物流インフラへの累積的投資と組織文化という社会的に複雑な資源により支えられており、単純な模倣は不可能である。この因果的曖昧性と社会的複雑性が、持続的競争優位の源泉となっている。</w:t>
      </w:r>
    </w:p>
    <w:p>
      <w:pPr>
        <w:pStyle w:val="Heading2"/>
      </w:pPr>
      <w:r>
        <w:t xml:space="preserve">5.4 統合的理論モデルの構築</w:t>
      </w:r>
    </w:p>
    <w:p>
      <w:pPr>
        <w:pStyle w:val="BodyIndent"/>
      </w:pPr>
      <w:r>
        <w:t xml:space="preserve">制度的距離理論、ダイナミック・ケイパビリティ理論、組織的相補性理論という三つの理論的視点を統合し、市場成熟度と戦略パターンの適合性を説明する統合的理論モデルを構築する。</w:t>
      </w:r>
    </w:p>
    <w:p>
      <w:pPr>
        <w:pStyle w:val="BodyIndent"/>
      </w:pPr>
      <w:r>
        <w:t xml:space="preserve">本研究が提示する統合モデルは、以下の三つの命題から構成される。</w:t>
      </w:r>
    </w:p>
    <w:p>
      <w:pPr>
        <w:pStyle w:val="BodyIndent"/>
      </w:pPr>
      <w:r>
        <w:t xml:space="preserve">命題1（制度的適合性）：市場成熟度の差異は、制度的環境の差異を伴っており、プラットフォーム企業の戦略選択を制約する。超成熟市場では制度的安定性が垂直統合への長期投資を可能にし、新興市場では制度的多様性がローカライゼーション戦略を必然化する。</w:t>
      </w:r>
    </w:p>
    <w:p>
      <w:pPr>
        <w:pStyle w:val="BodyIndent"/>
      </w:pPr>
      <w:r>
        <w:t xml:space="preserve">命題2（動的適応能力）：市場成熟度の変化に対する戦略的適応は、ダイナミック・ケイパビリティの発揮を必要とする。成功した企業は、市場環境の変化を感知し、戦略的機会を捕捉し、資源基盤を再構成する能力を発揮している。</w:t>
      </w:r>
    </w:p>
    <w:p>
      <w:pPr>
        <w:pStyle w:val="BodyIndent"/>
      </w:pPr>
      <w:r>
        <w:t xml:space="preserve">命題3（組織的相補性）：特定の市場環境下で成功する戦略パターンは、複数の戦略的要素の組織的相補性により説明される。超成熟市場ではハイブリッド戦略の相補性が、急成長市場ではエコシステム戦略の相補性が、新興市場ではローカライズ戦略の相補性が、それぞれの市場環境に適合している。</w:t>
      </w:r>
    </w:p>
    <w:p>
      <w:pPr>
        <w:pStyle w:val="BodyIndent"/>
      </w:pPr>
      <w:r>
        <w:t xml:space="preserve">この統合モデルは、市場成熟度、制度的環境、戦略パターン、組織的相補性という四つの要素の相互作用により、プラットフォーム企業の成功を説明する。市場成熟度は制度的環境を規定し、制度的環境は戦略選択を制約する。同時に、企業のダイナミック・ケイパビリティは、制度的制約の中で戦略的適応を可能にする。そして、選択された戦略パターンは、組織的相補性により強化され、持続的競争優位の源泉となる。</w:t>
      </w:r>
    </w:p>
    <w:p>
      <w:pPr>
        <w:pStyle w:val="Heading1"/>
      </w:pPr>
      <w:r>
        <w:t xml:space="preserve">第6章 学術的・実務的インプリケーション</w:t>
      </w:r>
    </w:p>
    <w:p>
      <w:pPr>
        <w:pStyle w:val="Heading2"/>
      </w:pPr>
      <w:r>
        <w:t xml:space="preserve">6.1 学術的インプリケーション</w:t>
      </w:r>
    </w:p>
    <w:p>
      <w:pPr>
        <w:pStyle w:val="BodyIndent"/>
      </w:pPr>
      <w:r>
        <w:t xml:space="preserve">本研究は、プラットフォーム理論、国際経営戦略論、組織理論に対して、以下の四つの学術的貢献を提供する。</w:t>
      </w:r>
    </w:p>
    <w:p>
      <w:pPr>
        <w:pStyle w:val="BodyIndent"/>
      </w:pPr>
      <w:r>
        <w:t xml:space="preserve">第一に、プラットフォーム理論に市場成熟度という文脈変数を導入し、戦略の文脈依存性を理論的に解明した。既存のプラットフォーム理論は、主に先進国市場を前提として発展してきたが、本研究は、市場成熟度の差異がプラットフォーム戦略に体系的な影響を及ぼすことを実証的に示した。この発見は、プラットフォーム理論の一般化可能性を高めるとともに、理論の適用範囲を拡張する。</w:t>
      </w:r>
    </w:p>
    <w:p>
      <w:pPr>
        <w:pStyle w:val="BodyIndent"/>
      </w:pPr>
      <w:r>
        <w:t xml:space="preserve">第二に、国際経営戦略論のグローバル統合対ローカル適応という二分法的枠組みを超え、市場成熟度に応じた段階的適応モデルを提示した。Bartlett &amp; Ghoshal（1989）の統合適応フレームワークは空間的多様性を捉えているが、時間的次元、すなわち発展段階の差異を十分に考慮していなかった。本研究は、同一地域内における発展段階の差異が、異なる国家間の文化的距離と同等かそれ以上に重要であることを示した。</w:t>
      </w:r>
    </w:p>
    <w:p>
      <w:pPr>
        <w:pStyle w:val="BodyIndent"/>
      </w:pPr>
      <w:r>
        <w:t xml:space="preserve">第三に、制度的距離理論、ダイナミック・ケイパビリティ理論、組織的相補性理論を統合し、市場成熟度と戦略適合性を説明する新しい理論的枠組みを構築した。既存研究では、これらの理論はそれぞれ独立して適用されてきたが、本研究は、三理論の統合により、より包括的な説明力を持つ理論モデルを提示した。</w:t>
      </w:r>
    </w:p>
    <w:p>
      <w:pPr>
        <w:pStyle w:val="BodyIndent"/>
      </w:pPr>
      <w:r>
        <w:t xml:space="preserve">第四に、アジア太平洋市場という研究対象を通じて、非西洋文脈における理論検証と理論構築を行った。経営学研究は依然として西洋中心的バイアスを持つが、本研究は、アジア太平洋市場の独自性を理論化することで、経営学の地理的多様性を拡大する。</w:t>
      </w:r>
    </w:p>
    <w:p>
      <w:pPr>
        <w:pStyle w:val="Heading2"/>
      </w:pPr>
      <w:r>
        <w:t xml:space="preserve">6.2 実務的インプリケーション</w:t>
      </w:r>
    </w:p>
    <w:p>
      <w:pPr>
        <w:pStyle w:val="BodyIndent"/>
      </w:pPr>
      <w:r>
        <w:t xml:space="preserve">本研究は、アジア太平洋市場への参入・拡大を検討する企業に対して、以下の三つの実務的示唆を提供する。</w:t>
      </w:r>
    </w:p>
    <w:p>
      <w:pPr>
        <w:pStyle w:val="BodyIndent"/>
      </w:pPr>
      <w:r>
        <w:t xml:space="preserve">第一に、市場層別の戦略選択ガイドラインとして、超成熟市場ではハイブリッド戦略、急成長市場ではエコシステム戦略、新興市場ではローカライズ戦略が適合するという基本原則を提示した。ただし、この原則は決定論的な処方箋ではなく、企業の資源能力、既存の組織能力、競合環境を考慮した戦略的判断が必要である。</w:t>
      </w:r>
    </w:p>
    <w:p>
      <w:pPr>
        <w:pStyle w:val="BodyIndent"/>
      </w:pPr>
      <w:r>
        <w:t xml:space="preserve">第二に、グローバル標準化とローカル適応のバランスに関して、物流と決済という基盤インフラは段階的に統合し、販売者エコシステムと顧客接点は現地適応するという戦略的分業を推奨する。Amazon IndiaとShopeeの事例は、グローバル企業がローカル適応に成功するためには、何を標準化し何を適応させるかという戦略的選択が重要であることを示している。</w:t>
      </w:r>
    </w:p>
    <w:p>
      <w:pPr>
        <w:pStyle w:val="BodyIndent"/>
      </w:pPr>
      <w:r>
        <w:t xml:space="preserve">第三に、市場参入のタイミングと投資優先順位に関して、急成長市場では市場シェア獲得を優先し短期的収益性を犠牲にすることが合理的であり、超成熟市場では差別化と収益性向上を優先することが合理的であるという判断基準を提示した。Walmart���FlipkartとAlibabaの戦略的選択は、市場成長段階に応じた異なる投資優先順位を反映している。</w:t>
      </w:r>
    </w:p>
    <w:p>
      <w:pPr>
        <w:pStyle w:val="Heading2"/>
      </w:pPr>
      <w:r>
        <w:t xml:space="preserve">6.3 政策的インプリケーション</w:t>
      </w:r>
    </w:p>
    <w:p>
      <w:pPr>
        <w:pStyle w:val="BodyIndent"/>
      </w:pPr>
      <w:r>
        <w:t xml:space="preserve">本研究は、E-commerce市場の健全な発展を促進する政策立案者に対しても示唆を提供する。</w:t>
      </w:r>
    </w:p>
    <w:p>
      <w:pPr>
        <w:pStyle w:val="BodyIndent"/>
      </w:pPr>
      <w:r>
        <w:t xml:space="preserve">第一に、プラットフォーム規制は、市場成熟度に応じて段階的に導入することが望ましい。超成熟市場では、市場支配力の濫用防止、データ保護、公正競争の確保が政策的優先事項となる。中国の独占禁止法強化、韓国の公正取引規制は、この文脈で理解される。急成長市場では、市場拡大とイノベーション促進を阻害しない緩やかな規制が望ましい。インドのFDI規制は、外資の参入を促進しつつ国内企業を保護するバランスを模索している。</w:t>
      </w:r>
    </w:p>
    <w:p>
      <w:pPr>
        <w:pStyle w:val="BodyIndent"/>
      </w:pPr>
      <w:r>
        <w:t xml:space="preserve">第二に、デジタルインフラの整備、特に決済インフラとロジスティクスインフラの整備が、E-commerce市場の健全な発展に不可欠である。インドのUPI普及は、政府主導のデジタル決済インフラ整備がE-commerce拡大の触媒となることを示している。</w:t>
      </w:r>
    </w:p>
    <w:p>
      <w:pPr>
        <w:pStyle w:val="BodyIndent"/>
      </w:pPr>
      <w:r>
        <w:t xml:space="preserve">第三に、中小企業のデジタル化支援が、包摂的なE-commerce発展に重要である。Flipkart、Shopee、Tokopediaの事例は、第三者販売者エコシステムが中小企業に新しい市場アクセスを提供することを示している。政策的には、中小企業のデジタルスキル向上、資金アクセス改善、プラットフォームとの公正な取引条件確保が重要である。</w:t>
      </w:r>
    </w:p>
    <w:p>
      <w:pPr>
        <w:pStyle w:val="Heading1"/>
      </w:pPr>
      <w:r>
        <w:t xml:space="preserve">第7章 結論、研究の限界、今後の展望</w:t>
      </w:r>
    </w:p>
    <w:p>
      <w:pPr>
        <w:pStyle w:val="Heading2"/>
      </w:pPr>
      <w:r>
        <w:t xml:space="preserve">7.1 研究の要約</w:t>
      </w:r>
    </w:p>
    <w:p>
      <w:pPr>
        <w:pStyle w:val="BodyIndent"/>
      </w:pPr>
      <w:r>
        <w:t xml:space="preserve">本研究は、アジア太平洋E-commerce市場における市場成熟度の差異が、プラットフォーム企業の事業戦略パターンにもたらす構造的影響を実証的に解明した。8社のプラットフォーム企業の詳細な事例分析を通じて、超成熟市場ではハイブリッド戦略、急成長市場ではエコシステム戦略、新興市場ではローカライズ型ハイブリッド戦略という明確な対応関係を特定した。</w:t>
      </w:r>
    </w:p>
    <w:p>
      <w:pPr>
        <w:pStyle w:val="BodyIndent"/>
      </w:pPr>
      <w:r>
        <w:t xml:space="preserve">理論的には、制度的距離理論、ダイナミック・ケイパビリティ理論、組織的相補性理論を統合し、市場成熟度と戦略適合性を説明する新しい理論的枠組みを構築した。この統合モデルは、市場成熟度が制度的環境を規定し、制度的環境が戦略選択を制約するという因果連鎖を明示すると同時に、企業のダイナミック・ケイパビリティが制度的制約の中で戦略的適応を可能にし、組織的相補性が持続的競争優位の源泉となるというメカニズムを解明した。</w:t>
      </w:r>
    </w:p>
    <w:p>
      <w:pPr>
        <w:pStyle w:val="Heading2"/>
      </w:pPr>
      <w:r>
        <w:t xml:space="preserve">7.2 理論的貢献の再確認</w:t>
      </w:r>
    </w:p>
    <w:p>
      <w:pPr>
        <w:pStyle w:val="BodyIndent"/>
      </w:pPr>
      <w:r>
        <w:t xml:space="preserve">本研究の理論的貢献は、三つの次元から理解される。第一に、プラットフォーム理論に市場成熟度という文脈変数を導入し、戦略の文脈依存性を理論化した。第二に、国際経営戦略論のグローバル統合対ローカル適応という二分法を超え、市場成熟度に応じた段階的適応モデルを提示した。第三に、複数の理論的視点を統合し、より包括的な説明力を持つ理論モデルを構築した。</w:t>
      </w:r>
    </w:p>
    <w:p>
      <w:pPr>
        <w:pStyle w:val="Heading2"/>
      </w:pPr>
      <w:r>
        <w:t xml:space="preserve">7.3 研究の限界</w:t>
      </w:r>
    </w:p>
    <w:p>
      <w:pPr>
        <w:pStyle w:val="BodyIndent"/>
      </w:pPr>
      <w:r>
        <w:t xml:space="preserve">本研究には以下の限界が存在する。第一に、公開情報のみを使用したため、企業内部の意思決定プロセスや非公開の戦略的意図については限定的な理解に留まる。第二に、財務データの粒度が企業により異なり、完全に均質な定量的比較は困難であった。第三に、ケーススタディ法の性質上、統計的一般化には制約がある。第四に、分析期間が2021年から2023年に限定されており、長期的な戦略変化の追跡は今後の課題である。第五に、D2Cブランドの分析は限定的であり、プラットフォームとブランドの相互作用については十分に検討できなかった。</w:t>
      </w:r>
    </w:p>
    <w:p>
      <w:pPr>
        <w:pStyle w:val="Heading2"/>
      </w:pPr>
      <w:r>
        <w:t xml:space="preserve">7.4 今後の研究課題</w:t>
      </w:r>
    </w:p>
    <w:p>
      <w:pPr>
        <w:pStyle w:val="BodyIndent"/>
      </w:pPr>
      <w:r>
        <w:t xml:space="preserve">本研究が開いた研究課題として、以下の四つを提示する。</w:t>
      </w:r>
    </w:p>
    <w:p>
      <w:pPr>
        <w:pStyle w:val="BodyIndent"/>
      </w:pPr>
      <w:r>
        <w:t xml:space="preserve">第一に、市場成熟度の測定と操作化の精緻化である。本研究は、デジタル浸透率、成長率、主要プレイヤーという複数の指標により市場成熟度を分類したが、より体系的な測定尺度の開発が必要である。特に、制度的成熟度、技術的成熟度、消費者成熟度という複数の次元を統合した多次元尺度の開発が望まれる。</w:t>
      </w:r>
    </w:p>
    <w:p>
      <w:pPr>
        <w:pStyle w:val="BodyIndent"/>
      </w:pPr>
      <w:r>
        <w:t xml:space="preserve">第二に、戦略パターンと財務パフォーマンスの定量的分析である。本研究は、戦略パターンと市場成熟度の対応関係を質的に分析したが、戦略パターンが財務パフォーマンス（収益成長率、収益性、市場価値）に及ぼす影響を定量的に検証する研究が必要である。特に、パネルデータ分析により因果関係をより厳密に検証することが望まれる。</w:t>
      </w:r>
    </w:p>
    <w:p>
      <w:pPr>
        <w:pStyle w:val="BodyIndent"/>
      </w:pPr>
      <w:r>
        <w:t xml:space="preserve">第三に、プラットフォームとブランドの共進化の分析である。本研究はプラットフォーム企業を分析対象としたが、プラットフォーム上で成長するD2Cブランドとプラットフォームの相互依存関係、競争関係、共進化のダイナミクスを分析する研究が必要である。特に、プラットフォーム依存度の高いブランドが、いかにして自律性を確保し持続的成長を実現するかという問題は、実務的にも学術的にも重要である。</w:t>
      </w:r>
    </w:p>
    <w:p>
      <w:pPr>
        <w:pStyle w:val="BodyIndent"/>
      </w:pPr>
      <w:r>
        <w:t xml:space="preserve">第四に、市場成熟度の変化と戦略転換の動態分析である。本研究は、ある時点における市場成熟度と戦略パターンの対応関係を分析したが、市場が成熟化するプロセスにおいて、企業がいかに戦略を転換するかという動態的プロセスの分析が必要である。特に、急成長市場から成熟市場への移行期において、エコシステム戦略からハイブリッド戦略への転換がどのように実現されるのかという問題は、今後の重要な研究課題である。</w:t>
      </w:r>
    </w:p>
    <w:p>
      <w:pPr>
        <w:pStyle w:val="Heading2"/>
      </w:pPr>
      <w:r>
        <w:t xml:space="preserve">7.5 結びに代えて</w:t>
      </w:r>
    </w:p>
    <w:p>
      <w:pPr>
        <w:pStyle w:val="BodyIndent"/>
      </w:pPr>
      <w:r>
        <w:t xml:space="preserve">アジア太平洋E-commerce市場は、グローバル経済における最も動的で多様性に富んだ市場である。本研究が示したように、この地域の市場異質性は、プラットフォーム企業に独自の戦略的課題と機会を提示している。市場成熟度の差異を理解し、それに適合した戦略を選択することは、この地域における持続的成功の鍵となる。本研究が、学術的にも実務的にも、この理解の深化に貢献することを願う。</w:t>
      </w:r>
    </w:p>
    <w:p>
      <w:pPr>
        <w:pStyle w:val="Heading1"/>
      </w:pPr>
      <w:r>
        <w:t xml:space="preserve">参考文献</w:t>
      </w:r>
    </w:p>
    <w:p>
      <w:pPr>
        <w:pStyle w:val="Heading2"/>
      </w:pPr>
      <w:r>
        <w:t xml:space="preserve">主要理論文献</w:t>
      </w:r>
    </w:p>
    <w:p>
      <w:pPr>
        <w:spacing w:before="60" w:after="60"/>
        <w:jc w:val="center"/>
      </w:pPr>
      <w:r>
        <w:t xml:space="preserve">Barney, J. (1991) "Firm Resources and Sustained Competitive Advantage," Journal of Management, 17(1), pp.99-120.</w:t>
      </w:r>
    </w:p>
    <w:p>
      <w:pPr>
        <w:spacing w:before="60" w:after="60"/>
        <w:jc w:val="center"/>
      </w:pPr>
      <w:r>
        <w:t xml:space="preserve">Bartlett, C. A. &amp; Ghoshal, S. (1989) Managing Across Borders: The Transnational Solution, Harvard Business School Press.</w:t>
      </w:r>
    </w:p>
    <w:p>
      <w:pPr>
        <w:spacing w:before="60" w:after="60"/>
        <w:jc w:val="center"/>
      </w:pPr>
      <w:r>
        <w:t xml:space="preserve">Eisenhardt, K. M. (1989) "Building Theories from Case Study Research," Academy of Management Review, 14(4), pp.532-550.</w:t>
      </w:r>
    </w:p>
    <w:p>
      <w:pPr>
        <w:spacing w:before="60" w:after="60"/>
        <w:jc w:val="center"/>
      </w:pPr>
      <w:r>
        <w:t xml:space="preserve">Kostova, T. (1999) "Transnational Transfer of Strategic Organizational Practices: A Contextual Perspective," Academy of Management Review, 24(2), pp.308-324.</w:t>
      </w:r>
    </w:p>
    <w:p>
      <w:pPr>
        <w:spacing w:before="60" w:after="60"/>
        <w:jc w:val="center"/>
      </w:pPr>
      <w:r>
        <w:t xml:space="preserve">Milgrom, P. &amp; Roberts, J. (1995) "Complementarities and Fit: Strategy, Structure, and Organizational Change in Manufacturing," Journal of Accounting and Economics, 19(2-3), pp.179-208.</w:t>
      </w:r>
    </w:p>
    <w:p>
      <w:pPr>
        <w:spacing w:before="60" w:after="60"/>
        <w:jc w:val="center"/>
      </w:pPr>
      <w:r>
        <w:t xml:space="preserve">Parker, G. G., Van Alstyne, M. W., &amp; Choudary, S. P. (2016) Platform Revolution: How Networked Markets Are Transforming the Economy, W. W. Norton &amp; Company.</w:t>
      </w:r>
    </w:p>
    <w:p>
      <w:pPr>
        <w:spacing w:before="60" w:after="60"/>
        <w:jc w:val="center"/>
      </w:pPr>
      <w:r>
        <w:t xml:space="preserve">Rochet, J. C. &amp; Tirole, J. (2003) "Platform Competition in Two-Sided Markets," Journal of the European Economic Association, 1(4), pp.990-1029.</w:t>
      </w:r>
    </w:p>
    <w:p>
      <w:pPr>
        <w:spacing w:before="60" w:after="60"/>
        <w:jc w:val="center"/>
      </w:pPr>
      <w:r>
        <w:t xml:space="preserve">Teece, D. J., Pisano, G., &amp; Shuen, A. (1997) "Dynamic Capabilities and Strategic Management," Strategic Management Journal, 18(7), pp.509-533.</w:t>
      </w:r>
    </w:p>
    <w:p>
      <w:pPr>
        <w:spacing w:before="60" w:after="60"/>
        <w:jc w:val="center"/>
      </w:pPr>
      <w:r>
        <w:t xml:space="preserve">Yin, R. K. (2018) Case Study Research and Applications: Design and Methods, 6th ed., SAGE Publications.</w:t>
      </w:r>
    </w:p>
    <w:p>
      <w:pPr>
        <w:pStyle w:val="Heading2"/>
      </w:pPr>
      <w:r>
        <w:t xml:space="preserve">企業IR資料</w:t>
      </w:r>
    </w:p>
    <w:p>
      <w:pPr>
        <w:spacing w:before="60" w:after="60"/>
        <w:jc w:val="center"/>
      </w:pPr>
      <w:r>
        <w:t xml:space="preserve">Alibaba Group (2024) "Annual Report 2024," Alibaba Group Holding Limited. https://www.alibabagroup.com/en/ir/reports (最終アクセス: 2025年11月20日)</w:t>
      </w:r>
    </w:p>
    <w:p>
      <w:pPr>
        <w:spacing w:before="60" w:after="60"/>
        <w:jc w:val="center"/>
      </w:pPr>
      <w:r>
        <w:t xml:space="preserve">Amazon.com, Inc. (2024) "Annual Report 2023," Amazon.com, Inc. https://ir.aboutamazon.com/annual-reports (最終アクセス: 2025年11月20日)</w:t>
      </w:r>
    </w:p>
    <w:p>
      <w:pPr>
        <w:spacing w:before="60" w:after="60"/>
        <w:jc w:val="center"/>
      </w:pPr>
      <w:r>
        <w:t xml:space="preserve">Coupang, Inc. (2024) "Form 10-K for Fiscal Year 2023," U.S. Securities and Exchange Commission. https://investors.coupang.com/financials/sec-filings (最終アクセス: 2025年11月20日)</w:t>
      </w:r>
    </w:p>
    <w:p>
      <w:pPr>
        <w:spacing w:before="60" w:after="60"/>
        <w:jc w:val="center"/>
      </w:pPr>
      <w:r>
        <w:t xml:space="preserve">GoTo Group (2024) "Financial Reports," PT GoTo Gojek Tokopedia Tbk. https://www.goto-impact.com/investors (最終アクセス: 2025年11月20日)</w:t>
      </w:r>
    </w:p>
    <w:p>
      <w:pPr>
        <w:pStyle w:val="BodyIndent"/>
      </w:pPr>
      <w:r>
        <w:t xml:space="preserve">楽天グループ株式会社 (2024) 「2024年3月期 有価証券報告書」https://corp.rakuten.co.jp/investors/documents/results.html (最終アクセス: 2025年11月20日)</w:t>
      </w:r>
    </w:p>
    <w:p>
      <w:pPr>
        <w:spacing w:before="60" w:after="60"/>
        <w:jc w:val="center"/>
      </w:pPr>
      <w:r>
        <w:t xml:space="preserve">Sea Limited (2024) "Annual Report 2023," Sea Limited. https://www.sea.com/investor-relations/annual-reports (最終アクセス: 2025年11月20日)</w:t>
      </w:r>
    </w:p>
    <w:p>
      <w:pPr>
        <w:spacing w:before="60" w:after="60"/>
        <w:jc w:val="center"/>
      </w:pPr>
      <w:r>
        <w:t xml:space="preserve">Walmart Inc. (2024) "Annual Report 2024," Walmart Inc. https://corporate.walmart.com/investors (最終アクセス: 2025年11月20日)</w:t>
      </w:r>
    </w:p>
    <w:p>
      <w:pPr>
        <w:pStyle w:val="Heading2"/>
      </w:pPr>
      <w:r>
        <w:t xml:space="preserve">業界レポート</w:t>
      </w:r>
    </w:p>
    <w:p>
      <w:pPr>
        <w:spacing w:before="60" w:after="60"/>
        <w:jc w:val="center"/>
      </w:pPr>
      <w:r>
        <w:t xml:space="preserve">Bain &amp; Company (2024) "The Future of Retail in Southeast Asia," Bain &amp; Company Southeast Asia. https://www.bain.com/insights/future-of-retail-southeast-asia/ (最終アクセス: 2025年11月20日)</w:t>
      </w:r>
    </w:p>
    <w:p>
      <w:pPr>
        <w:spacing w:before="60" w:after="60"/>
        <w:jc w:val="center"/>
      </w:pPr>
      <w:r>
        <w:t xml:space="preserve">eMarketer (2024) "Asia-Pacific Ecommerce Forecast 2024," eMarketer Inc. https://www.emarketer.com/content/asia-pacific-ecommerce-forecast-2024 (最終アクセス: 2025年11月20日)</w:t>
      </w:r>
    </w:p>
    <w:p>
      <w:pPr>
        <w:spacing w:before="60" w:after="60"/>
        <w:jc w:val="center"/>
      </w:pPr>
      <w:r>
        <w:t xml:space="preserve">Grand View Research (2024) "E-commerce Market Size, Share &amp; Trends Analysis Report By Model (B2B, B2C), By Region, 2024-2030," Grand View Research, Inc. https://www.grandviewresearch.com/industry-analysis/e-commerce-market (最終アクセス: 2025年11月20日)</w:t>
      </w:r>
    </w:p>
    <w:p>
      <w:pPr>
        <w:spacing w:before="60" w:after="60"/>
        <w:jc w:val="center"/>
      </w:pPr>
      <w:r>
        <w:t xml:space="preserve">McKinsey &amp; Company (2024) "The Future of Asia: Five Megatrends Defining the Region," McKinsey Global Institute. https://www.mckinsey.com/featured-insights/future-of-asia (最終アクセス: 2025年11月20日)</w:t>
      </w:r>
    </w:p>
    <w:p>
      <w:pPr>
        <w:pStyle w:val="Heading2"/>
      </w:pPr>
      <w:r>
        <w:t xml:space="preserve">政府統計・国際機関</w:t>
      </w:r>
    </w:p>
    <w:p>
      <w:pPr>
        <w:pStyle w:val="BodyIndent"/>
      </w:pPr>
      <w:r>
        <w:t xml:space="preserve">経済産業省 (2023) 『電子商取引実態調査報告書2023年版』経済産業省商務情報政策局. https://www.meti.go.jp/policy/it_policy/statistics/outlook/2023.html (最終アクセス: 2025年11月20日)</w:t>
      </w:r>
    </w:p>
    <w:p>
      <w:pPr>
        <w:spacing w:before="60" w:after="60"/>
        <w:jc w:val="center"/>
      </w:pPr>
      <w:r>
        <w:t xml:space="preserve">International Monetary Fund (2024) "Regional Economic Outlook: Asia and Pacific," International Monetary Fund. https://www.imf.org/en/Publications/REO/APAC (最終アクセス: 2025年11月20日)</w:t>
      </w:r>
    </w:p>
    <w:p>
      <w:pPr>
        <w:spacing w:before="60" w:after="60"/>
        <w:jc w:val="center"/>
      </w:pPr>
      <w:r>
        <w:t xml:space="preserve">World Bank (2024) "Digital Economy Data," World Bank Open Data. https://data.worldbank.org/topic/digital-economy (最終アクセス: 2025年11月20日)</w:t>
      </w:r>
    </w:p>
    <w:p>
      <w:pPr>
        <w:spacing w:before="120" w:after="120"/>
        <w:jc w:val="center"/>
      </w:pPr>
      <w:r>
        <w:rPr>
          <w:b/>
          <w:bCs/>
        </w:rPr>
        <w:t xml:space="preserve">論文終了</w:t>
      </w:r>
    </w:p>
    <w:p>
      <w:pPr>
        <w:spacing w:before="60" w:after="60"/>
        <w:jc w:val="center"/>
      </w:pPr>
      <w:r>
        <w:t xml:space="preserve">**総文字数**: 約30,000字</w:t>
      </w:r>
    </w:p>
    <w:p>
      <w:pPr>
        <w:spacing w:before="60" w:after="60"/>
        <w:jc w:val="center"/>
      </w:pPr>
      <w:r>
        <w:t xml:space="preserve">**作成日**: 2025年11月21日</w:t>
      </w:r>
    </w:p>
    <w:p>
      <w:pPr>
        <w:spacing w:before="60" w:after="60"/>
        <w:jc w:val="center"/>
      </w:pPr>
      <w:r>
        <w:t xml:space="preserve">**研究者**: Changu</w:t>
      </w:r>
    </w:p>
    <w:p>
      <w:pPr>
        <w:spacing w:before="60" w:after="60"/>
        <w:jc w:val="center"/>
      </w:pPr>
      <w:r>
        <w:t xml:space="preserve">**バージョン**: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1"/>
        <w:szCs w:val="21"/>
      </w:rPr>
    </w:rPrDefault>
    <w:pPrDefault>
      <w:pPr>
        <w:spacing w:line="360" w:before="0"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MS Mincho" w:cs="MS Mincho" w:eastAsia="MS Mincho" w:hAnsi="MS Mincho"/>
      <w:b/>
      <w:bCs/>
      <w:color w:val="000000"/>
      <w:sz w:val="32"/>
      <w:szCs w:val="32"/>
    </w:rPr>
  </w:style>
  <w:style w:type="paragraph" w:styleId="Heading1">
    <w:name w:val="Heading 1"/>
    <w:basedOn w:val="Normal"/>
    <w:next w:val="Normal"/>
    <w:qFormat/>
    <w:pPr>
      <w:spacing w:before="480" w:after="240"/>
      <w:ind w:firstLine="0"/>
      <w:outlineLvl w:val="0"/>
    </w:pPr>
    <w:rPr>
      <w:rFonts w:ascii="MS Mincho" w:cs="MS Mincho" w:eastAsia="MS Mincho" w:hAnsi="MS Mincho"/>
      <w:b/>
      <w:bCs/>
      <w:color w:val="000000"/>
      <w:sz w:val="28"/>
      <w:szCs w:val="28"/>
    </w:rPr>
  </w:style>
  <w:style w:type="paragraph" w:styleId="Heading2">
    <w:name w:val="Heading 2"/>
    <w:basedOn w:val="Normal"/>
    <w:next w:val="Normal"/>
    <w:qFormat/>
    <w:pPr>
      <w:spacing w:before="360" w:after="180"/>
      <w:ind w:firstLine="0"/>
      <w:outlineLvl w:val="1"/>
    </w:pPr>
    <w:rPr>
      <w:rFonts w:ascii="MS Mincho" w:cs="MS Mincho" w:eastAsia="MS Mincho" w:hAnsi="MS Mincho"/>
      <w:b/>
      <w:bCs/>
      <w:color w:val="000000"/>
      <w:sz w:val="24"/>
      <w:szCs w:val="24"/>
    </w:rPr>
  </w:style>
  <w:style w:type="paragraph" w:styleId="Heading3">
    <w:name w:val="Heading 3"/>
    <w:basedOn w:val="Normal"/>
    <w:next w:val="Normal"/>
    <w:qFormat/>
    <w:pPr>
      <w:spacing w:before="240" w:after="120"/>
      <w:ind w:firstLine="0"/>
      <w:outlineLvl w:val="2"/>
    </w:pPr>
    <w:rPr>
      <w:rFonts w:ascii="MS Mincho" w:cs="MS Mincho" w:eastAsia="MS Mincho" w:hAnsi="MS Mincho"/>
      <w:b/>
      <w:bCs/>
      <w:color w:val="000000"/>
      <w:sz w:val="22"/>
      <w:szCs w:val="22"/>
    </w:rPr>
  </w:style>
  <w:style w:type="paragraph" w:styleId="BodyIndent">
    <w:name w:val="Body Indent"/>
    <w:basedOn w:val="Normal"/>
    <w:pPr>
      <w:spacing w:before="0" w:after="180" w:line="360"/>
      <w:ind w:firstLine="420"/>
    </w:pPr>
    <w:rPr>
      <w:rFonts w:ascii="MS Mincho" w:cs="MS Mincho" w:eastAsia="MS Mincho" w:hAnsi="MS Mincho"/>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2025-11-21T02:47:42.853Z</dcterms:created>
  <dcterms:modified xsi:type="dcterms:W3CDTF">2025-11-21T02:47:42.853Z</dcterms:modified>
</cp:coreProperties>
</file>

<file path=docProps/custom.xml><?xml version="1.0" encoding="utf-8"?>
<Properties xmlns="http://schemas.openxmlformats.org/officeDocument/2006/custom-properties" xmlns:vt="http://schemas.openxmlformats.org/officeDocument/2006/docPropsVTypes"/>
</file>