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0EB99" w14:textId="77777777" w:rsidR="008C20D5" w:rsidRPr="008C20D5" w:rsidRDefault="008C20D5" w:rsidP="008C20D5">
      <w:pPr>
        <w:widowControl/>
        <w:spacing w:before="100" w:beforeAutospacing="1" w:after="100" w:afterAutospacing="1"/>
        <w:outlineLvl w:val="0"/>
        <w:rPr>
          <w:rFonts w:ascii="ＭＳ Ｐゴシック" w:eastAsia="ＭＳ Ｐゴシック" w:hAnsi="ＭＳ Ｐゴシック" w:cs="ＭＳ Ｐゴシック"/>
          <w:b/>
          <w:bCs/>
          <w:kern w:val="36"/>
          <w:sz w:val="40"/>
          <w:szCs w:val="40"/>
          <w14:ligatures w14:val="none"/>
        </w:rPr>
      </w:pPr>
      <w:r w:rsidRPr="008C20D5">
        <w:rPr>
          <w:rFonts w:ascii="ＭＳ Ｐゴシック" w:eastAsia="ＭＳ Ｐゴシック" w:hAnsi="ＭＳ Ｐゴシック" w:cs="ＭＳ Ｐゴシック"/>
          <w:b/>
          <w:bCs/>
          <w:kern w:val="36"/>
          <w:sz w:val="40"/>
          <w:szCs w:val="40"/>
          <w14:ligatures w14:val="none"/>
        </w:rPr>
        <w:t>アジア太平洋E-commerce市場における事業戦略の構造的差異</w:t>
      </w:r>
    </w:p>
    <w:p w14:paraId="264B03A8"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—市場成熟度と戦略パターン適合性の実証的研究—</w:t>
      </w:r>
    </w:p>
    <w:p w14:paraId="26D80AE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b/>
          <w:bCs/>
          <w:kern w:val="0"/>
          <w:szCs w:val="21"/>
          <w14:ligatures w14:val="none"/>
        </w:rPr>
        <w:t>作成日</w:t>
      </w:r>
      <w:r w:rsidRPr="008C20D5">
        <w:rPr>
          <w:rFonts w:ascii="ＭＳ Ｐゴシック" w:eastAsia="ＭＳ Ｐゴシック" w:hAnsi="ＭＳ Ｐゴシック" w:cs="ＭＳ Ｐゴシック"/>
          <w:kern w:val="0"/>
          <w:szCs w:val="21"/>
          <w14:ligatures w14:val="none"/>
        </w:rPr>
        <w:t>：2025年11月21日</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t>研究者</w:t>
      </w:r>
      <w:r w:rsidRPr="008C20D5">
        <w:rPr>
          <w:rFonts w:ascii="ＭＳ Ｐゴシック" w:eastAsia="ＭＳ Ｐゴシック" w:hAnsi="ＭＳ Ｐゴシック" w:cs="ＭＳ Ｐゴシック"/>
          <w:kern w:val="0"/>
          <w:szCs w:val="21"/>
          <w14:ligatures w14:val="none"/>
        </w:rPr>
        <w:t>：Changu</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t>論文種別</w:t>
      </w:r>
      <w:r w:rsidRPr="008C20D5">
        <w:rPr>
          <w:rFonts w:ascii="ＭＳ Ｐゴシック" w:eastAsia="ＭＳ Ｐゴシック" w:hAnsi="ＭＳ Ｐゴシック" w:cs="ＭＳ Ｐゴシック"/>
          <w:kern w:val="0"/>
          <w:szCs w:val="21"/>
          <w14:ligatures w14:val="none"/>
        </w:rPr>
        <w:t>：探索的実証研究</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t>対象領域</w:t>
      </w:r>
      <w:r w:rsidRPr="008C20D5">
        <w:rPr>
          <w:rFonts w:ascii="ＭＳ Ｐゴシック" w:eastAsia="ＭＳ Ｐゴシック" w:hAnsi="ＭＳ Ｐゴシック" w:cs="ＭＳ Ｐゴシック"/>
          <w:kern w:val="0"/>
          <w:szCs w:val="21"/>
          <w14:ligatures w14:val="none"/>
        </w:rPr>
        <w:t>：国際経営戦略、プラットフォーム経済、デジタル・トランスフォーメーション</w:t>
      </w:r>
    </w:p>
    <w:p w14:paraId="49278667"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63B13A9C">
          <v:rect id="_x0000_i1033" alt="" style="width:425.2pt;height:.05pt;mso-width-percent:0;mso-height-percent:0;mso-width-percent:0;mso-height-percent:0" o:hralign="center" o:hrstd="t" o:hr="t" fillcolor="#a0a0a0" stroked="f">
            <v:textbox inset="5.85pt,.7pt,5.85pt,.7pt"/>
          </v:rect>
        </w:pict>
      </w:r>
    </w:p>
    <w:p w14:paraId="0C5BFDA1"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1. 序論</w:t>
      </w:r>
    </w:p>
    <w:p w14:paraId="401DC5A8"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1.1 問題意識</w:t>
      </w:r>
    </w:p>
    <w:p w14:paraId="5134926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現代のグローバル・ビジネスにおいて、E-commerceは経済活動の中核的な構成要素となっている。特にアジア太平洋地域は、世界のE-commerce市場の最大の成長エンジンとして注目を集めている。Expert Market Researchの報告によれば、アジア太平洋地域のE-commerce市場規模は2024年時点で2.90兆米ドルに達し、2034年までに9.67兆米ドルへ拡大すると予測されており、年平均成長率12.8パーセントという高い成長軌道を描いている。Grand View Researchの分析では、アジア太平洋地域が2023年時点で世界E-commerce市場全体の38.5パーセントを占めており、グローバル市場における支配的地位を確立していることが明らかになっている。</w:t>
      </w:r>
    </w:p>
    <w:p w14:paraId="68E1411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しかしながら、「アジア太平洋E-commerce市場」という単一の概念でこの広大な地域を捉えることは、重要な戦略的差異を見落とす危険性をはらんでいる。中国は既に超成熟市場として飽和に近い状態にあり、デジタル決済浸透率が90パーセントを超え、O2O統合が日常生活の隅々まで浸透している。韓国もまた、Coupangの「ロケット配送」に代表される極めて高度な物流インフラと、Naverに象徴される独自のプラットフォーム・エコシステムを確立している。他方、インドは2024年に小売売上高が9.5パーセント増加すると予測され、世界で三番目に成長が速い小売市場として急速な拡大を続けている。東南アジアASEAN-6諸国は、Shopee、Lazada、TikTok Shopといった多様なプラットフォームが競合する、極めてダイナミックな市場環境を形成している。</w:t>
      </w:r>
    </w:p>
    <w:p w14:paraId="248C3BF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この顕著な市場間の異質性は、企業の事業戦略にどのような含意をもたらすのか。中国で成功した戦略モデルは、そのままインドや東南アジアに適用可能なのか。市場成熟度の違いは、プラットフォーム企業が採用すべき垂直統合度やエコシステム開放度にどのような影響を与えるのか。さらに、D2Cブランドは、異なる市場層においてどのような成長軌道を選択すべきなのか。これらの問いは、単なる実務的課題にとどまらず、国際経営戦略論における理論的探究の対象となる重要な研究課題である。</w:t>
      </w:r>
    </w:p>
    <w:p w14:paraId="32E48C28"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1.2 既存研究の限界</w:t>
      </w:r>
    </w:p>
    <w:p w14:paraId="04E19AD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プラットフォーム・ビジネスモデルに関する既存研究は、主として先進国市場を前提として理論構築が行われてきた。Rochet &amp; Tirole（2003）の双方向市場理論は、プラットフォームが二つ以上の異なる顧客グループを結びつけ、相互の価値を増幅させるメカニズムを説明した画期的な理論的貢献であった。Parker, Van Alstyne &amp; Choudary（2016）は、プラットフォームが「パイプライン型ビジネス」から「プラットフォーム型ビジネス」への転換を主導する革命的な力であることを論じた。しかし、これらの理論的枠組みは、市場成熟度という変数を明示的に考慮しておらず、アジア太平洋地域のような発展段階の異なる市場が並存する状況における戦略的選択を十分に説明できない。</w:t>
      </w:r>
    </w:p>
    <w:p w14:paraId="5DFD3E48"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国際経営戦略論においては、Bartlett &amp; Ghoshal（1989）の古典的研究が、多国籍企業の戦略を「グローバル統合」と「ローカル適応」という二次元で分類した。この枠組みは長年にわたり国際戦略の分析に広く用いられてきたが、デジタル・プラットフォーム時代における戦略的選択の複雑性を捉えるには限界がある。特に、プラットフォーム企業が直面する垂直統合とエコシステム開放のトレードオフ、あるいは市場成長率と収益性のバランスといった、現代的な戦略ジレンマに対する理論的解答を提供していない。</w:t>
      </w:r>
    </w:p>
    <w:p w14:paraId="574B41B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さらに、制度的距離理論（Kostova, 1999）は、多国籍企業が異なる制度環境に適応する際の課題を理論化したが、同一地域内における市場成熟度の差異という文脈での適用は十分に検討されていない。動的能力理論（Teece, Pisano &amp; Shuen, 1997）は、環境変化に対する組織の適応能力を説明したが、急速に変化するデジタル市場における具体的な戦略選択パターンの実証的研究は限定的である。</w:t>
      </w:r>
    </w:p>
    <w:p w14:paraId="7D26244F"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1.3 研究目的とリサーチクエスチョン</w:t>
      </w:r>
    </w:p>
    <w:p w14:paraId="3B4BE86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の目的は、アジア太平洋E-commerce市場における市場成熟度の差異が、プラットフォーム企業の事業戦略パターンとD2Cブランドの成長軌道にどのような構造的差異をもたらすのかを、実証的に解明することである。具体的には、以下のリサーチクエスチョンに答えることを目指す。</w:t>
      </w:r>
    </w:p>
    <w:p w14:paraId="6A2095D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統合RQ：アジア太平洋E-commerce市場における市場成熟度の差異は、プラットフォーム企業の事業戦略パターンとD2Cブランドの成長軌道にどのような構造的差異をもたらすのか。</w:t>
      </w:r>
    </w:p>
    <w:p w14:paraId="7F21E0D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SRQ1：プラットフォーム企業の事業戦略パターンは、市場成熟度によってどのように異なるのか。具体的には、垂直統合度、エコシステム開放度、収益モデル構成において、どのような戦略選択パターンが観察されるのか。</w:t>
      </w:r>
    </w:p>
    <w:p w14:paraId="51BBF36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SRQ2：D2Cブランドの成長軌道は、市場成熟度によってどのような構造的差異を示すのか。成長速度と収益性のトレードオフ、プラットフォーム依存度、市場浸透戦略において、どのようなパターンが見出されるのか。</w:t>
      </w:r>
    </w:p>
    <w:p w14:paraId="3276433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SRQ3：市場成熟度と戦略パターンの適合性は、既存理論によってどのように説明されるのか。制度的距離理論、ダイナミック・ケイパビリティ理論、組織的相補性理論は、観察された戦略パターンの差異をどの程度説明できるのか。</w:t>
      </w:r>
    </w:p>
    <w:p w14:paraId="7DFC50D1"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1.4 研究の意義</w:t>
      </w:r>
    </w:p>
    <w:p w14:paraId="53B54D9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学術的および実務的に重要な貢献をもたらす。学術的には、第一に、既存のプラットフォーム理論に市場成熟度という重要な変数を導入することで、理論の文脈依存性を明示化する。第二に、国際経営戦略論における二分法を超え、市場成熟度に応じた段階的適応モデルという、より精緻化された理論的枠組みを提示する。第三に、制度的距離理論とダイナミック・ケイパビリティ理論を統合し、市場成熟度×戦略パターンの適合性フレームワークを構築する。第四に、複数ケーススタディ法による深層的分析を通じて、戦略選択の因果メカニズムを解明し、理論構築に寄与する。</w:t>
      </w:r>
    </w:p>
    <w:p w14:paraId="6D6EC12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実務的には、第一に、アジア太平洋市場への参入・拡大を検討する企業に対して、市場層別の戦略選択ガイドラインを提供する。第二に、D2Cブランドに対して、市場成熟度に応じた最適戦略の判断基準を明示する。第三に、投資家・アナリストに対して、アジア太平洋E-commerce企業の評価フレームワークを提供する。第四に、政策立案者に対して、市場発展段階に応じた規制政策と産業育成策の指針を示唆する。</w:t>
      </w:r>
    </w:p>
    <w:p w14:paraId="4CF57F9D"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1.5 論文の構成</w:t>
      </w:r>
    </w:p>
    <w:p w14:paraId="012D8095"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論文の構成は以下の通りである。第2章では先行研究をレビューし、理論的基盤を整理する。第3章では本研究の理論的枠組みと仮説を提示する。第4章では研究方法論を説明する。第5章ではプラットフォーム企業の実証分析を行う。第6章では理論構築と考察を展開する。第7章で本研究の結論、研究の限界、今後の展望を述べる。</w:t>
      </w:r>
    </w:p>
    <w:p w14:paraId="49AA7FBD"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lastRenderedPageBreak/>
        <w:pict w14:anchorId="3F6D0360">
          <v:rect id="_x0000_i1032" alt="" style="width:425.2pt;height:.05pt;mso-width-percent:0;mso-height-percent:0;mso-width-percent:0;mso-height-percent:0" o:hralign="center" o:hrstd="t" o:hr="t" fillcolor="#a0a0a0" stroked="f">
            <v:textbox inset="5.85pt,.7pt,5.85pt,.7pt"/>
          </v:rect>
        </w:pict>
      </w:r>
    </w:p>
    <w:p w14:paraId="2CF34490"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2. 先行研究レビューと理論的基盤</w:t>
      </w:r>
    </w:p>
    <w:p w14:paraId="0B9A1185"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2.1 プラットフォーム・ビジネスモデル理論</w:t>
      </w:r>
    </w:p>
    <w:p w14:paraId="309EE08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プラットフォーム・ビジネスモデルの理論的基盤は、双方向市場理論に遡る。Rochet &amp; Tirole（2003）は、プラットフォームが二つ以上の異なる顧客グループを仲介し、間接的ネットワーク効果を生み出すメカニズムを理論化した。この理論によれば、プラットフォームの価値は、一方の顧客グループの参加が他方のグループにとっての価値を高めるという相互依存関係によって決定される。例えば、E-commerceプラットフォームにおいては、販売者の増加が消費者にとっての選択肢を増やし、消費者の増加が販売者にとっての潜在顧客を拡大する。</w:t>
      </w:r>
    </w:p>
    <w:p w14:paraId="5A1954C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Parker, Van Alstyne &amp; Choudary（2016）は、プラットフォーム革命がもたらす経済的・社会的変革を包括的に分析した。彼らは、従来の「パイプライン型ビジネス」が製品やサービスを一方向的に提供するのに対し、「プラットフォーム型ビジネス」は参加者間の相互作用を促進することで価値を創造すると論じた。この視点は、E-commerceプラットフォームの戦略分析において極めて重要である。なぜなら、プラットフォームの競争優位は、単に製品やサービスの質だけでなく、エコシステム全体の健全性と成長性に依存するからである。</w:t>
      </w:r>
    </w:p>
    <w:p w14:paraId="18D5D15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Eisenmann, Parker &amp; Van Alstyne（2006）は、プラットフォーム戦略の中核的課題として「ネットワーク効果の管理」を提示した。彼らは、プラットフォームが直面する「鶏と卵の問題」、すなわち、販売者を集めるには消費者が必要であり、消費者を集めるには販売者が必要であるというジレンマを解決するための戦略的選択肢を論じた。この課題は、特に新規市場参入時において決定的に重要である。</w:t>
      </w:r>
    </w:p>
    <w:p w14:paraId="5DCD1D9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しかしながら、これらの理論的貢献には重要な限界がある。第一に、既存研究は主として先進国市場を前提としており、発展段階の異なる市場における戦略的差異を十分に考慮していない。第二に、プラットフォーム戦略の「垂直統合 vs エコシステム開放」という戦略選択のトレードオフについて、市場成熟度がどのように影響するかという問いに答えていない。第三に、プラットフォーム理論は普遍的メカニズムの解明に焦点を当てており、文脈特殊的な戦略適合性の実証的研究が不足している。</w:t>
      </w:r>
    </w:p>
    <w:p w14:paraId="20F631E2"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2.2 国際経営戦略論と組織適応</w:t>
      </w:r>
    </w:p>
    <w:p w14:paraId="1FE46BC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国際経営戦略論における古典的枠組みは、Bartlett &amp; Ghoshal（1989）の多国籍企業類型論である。彼らは、多国籍企業の戦略を「グローバル統合の程度」と「ローカル適応の程度」という二次</w:t>
      </w:r>
      <w:r w:rsidRPr="008C20D5">
        <w:rPr>
          <w:rFonts w:ascii="ＭＳ Ｐゴシック" w:eastAsia="ＭＳ Ｐゴシック" w:hAnsi="ＭＳ Ｐゴシック" w:cs="ＭＳ Ｐゴシック"/>
          <w:kern w:val="0"/>
          <w:szCs w:val="21"/>
          <w14:ligatures w14:val="none"/>
        </w:rPr>
        <w:lastRenderedPageBreak/>
        <w:t>元で分類し、「国際企業」「多国籍企業」「グローバル企業」「トランスナショナル企業」という四類型を提示した。この枠組みは、企業が直面する「効率性」と「適応性」のトレードオフを明確化した点で画期的であった。</w:t>
      </w:r>
    </w:p>
    <w:p w14:paraId="19070EA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Kostova（1999）の制度的距離理論は、多国籍企業が異なる制度環境に適応する際の課題を理論化した。彼女は、制度的距離を「規制的距離」「規範的距離」「認知的距離」という三次元で捉え、距離が大きいほど適応コストが高まることを示した。この理論は、アジア太平洋市場における戦略的差異を説明する上で有用な視点を提供する。なぜなら、中国、インド、東南アジアは、規制環境、商習慣、消費者行動において顕著な差異を示すからである。</w:t>
      </w:r>
    </w:p>
    <w:p w14:paraId="3ECADFD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Teece, Pisano &amp; Shuen（1997）の動的能力理論は、急速に変化する環境において企業が競争優位を維持するためのメカニズムを説明した。動的能力とは、組織が環境変化を感知し、機会を捕捉し、資源基盤を変容させる能力を指す。この理論は、デジタル市場の急速な変化に適応するプラットフォーム企業の戦略分析において特に適切である。</w:t>
      </w:r>
    </w:p>
    <w:p w14:paraId="07F9D82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しかし、既存の国際経営戦略論にも限界がある。第一に、Bartlett &amp; Ghoshalの枠組みは、製造業を主たる分析対象としており、プラットフォーム・ビジネスモデル特有の戦略選択を十分に捉えていない。第二に、制度的距離理論は国家間の差異に焦点を当てているが、同一地域内における市場成熟度の差異という文脈での適用は限定的である。第三に、動的能力理論は能力の概念を抽象的に論じているが、具体的な戦略選択パターンと市場成熟度の関係については実証的研究が不足している。</w:t>
      </w:r>
    </w:p>
    <w:p w14:paraId="16E72279"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2.3 資源ベース理論と組織的相補性</w:t>
      </w:r>
    </w:p>
    <w:p w14:paraId="3C22338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資源ベース理論は、企業の持続的競争優位の源泉を内部資源に求める理論的枠組みである。Barney（1991）は、競争優位をもたらす資源の条件として、VRIN（価値がある、希少である、模倣困難である、非代替的である）を提示した。この理論は、プラットフォーム企業が構築する物流網、決済システム、顧客データベースといった資源の競争優位性を評価する上で有用である。</w:t>
      </w:r>
    </w:p>
    <w:p w14:paraId="07209FE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Wernerfelt（1984）は、企業を「資源の束」として捉える視点を提示し、資源と製品市場の関係を理論化した。この視点は、プラットフォーム企業が保有する技術インフラ、データ分析能力、ブランド資産といった無形資源の戦略的重要性を理解する上で重要である。</w:t>
      </w:r>
    </w:p>
    <w:p w14:paraId="09A27E0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組織的相補性理論（Milgrom &amp; Roberts, 1995）は、複数の組織的要素が相互に強化し合うメカニズムを説明した。相補性とは、ある要素の存在が他の要素の効果を高める現象を指す。プラットフォーム企業においては、物流インフラ、決済システム、マーケティング機能、データ分析能力といった複数の要素が相補的に作用することで、競争優位が生まれる。</w:t>
      </w:r>
    </w:p>
    <w:p w14:paraId="39C91BE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これらの理論は、プラットフォーム企業の競争優位の源泉を理解する上で重要な視点を提供するが、市場成熟度によって最適な資源配分がどのように異なるかという問いには答えていない。本研究は、このような市場成熟度と資源戦略の関係を実証的に解明することを目指す。</w:t>
      </w:r>
    </w:p>
    <w:p w14:paraId="7340F69C"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2.4 取引コスト経済学と組織境界</w:t>
      </w:r>
    </w:p>
    <w:p w14:paraId="1E41C29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取引コスト経済学は、Williamson（1985）によって体系化された理論的枠組みであり、企業が「作る」か「買う」かという組織境界の決定を説明する。TCEによれば、取引コストは資産特殊性、不確実性、取引頻度という三つの次元によって決定される。資産特殊性が高く、不確実性が高い取引は、市場取引よりも組織内部での実行が効率的であるとされる。</w:t>
      </w:r>
    </w:p>
    <w:p w14:paraId="5BD422A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この理論的視点は、プラットフォーム企業の垂直統合度を分析する上で有用である。例えば、Amazonが自社物流網を構築したのは、物流サービスの資産特殊性が高く、外部委託では品質管理が困難であったためと解釈できる。他方、Alibabaが物流を独立した事業体Cainiaoとして分離したのは、エコシステム・パートナーとの協調を通じて規模の経済を追求する戦略と解釈できる。</w:t>
      </w:r>
    </w:p>
    <w:p w14:paraId="7442592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しかし、TCEにも限界がある。第一に、TCEは取引コスト最小化という効率性の論理に基づいているが、プラットフォーム企業の戦略選択には、ネットワーク効果の最大化という別の論理が作用している。第二に、市場成熟度が取引コストの構造にどのように影響するかという問いには答えていない。</w:t>
      </w:r>
    </w:p>
    <w:p w14:paraId="30630A01"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2.5 先行研究の統合と本研究の位置づけ</w:t>
      </w:r>
    </w:p>
    <w:p w14:paraId="6283A44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以上のレビューから明らかになったのは、既存理論がそれぞれ重要な洞察を提供している一方で、アジア太平洋E-commerce市場における市場成熟度の差異と戦略選択の関係を包括的に説明する統合的枠組みが不足しているという点である。本研究は、これらの理論的視点を統合し、市場成熟度という変数を明示的に導入することで、アジア太平洋E-commerce市場における戦略選択の構造的差異を実証的に解明する。</w:t>
      </w:r>
    </w:p>
    <w:p w14:paraId="6F42F2F0"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5964FBEF">
          <v:rect id="_x0000_i1031" alt="" style="width:425.2pt;height:.05pt;mso-width-percent:0;mso-height-percent:0;mso-width-percent:0;mso-height-percent:0" o:hralign="center" o:hrstd="t" o:hr="t" fillcolor="#a0a0a0" stroked="f">
            <v:textbox inset="5.85pt,.7pt,5.85pt,.7pt"/>
          </v:rect>
        </w:pict>
      </w:r>
    </w:p>
    <w:p w14:paraId="766EE0A3"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3. 理論的枠組みと研究仮説</w:t>
      </w:r>
    </w:p>
    <w:p w14:paraId="16ACCC5F"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3.1 市場成熟度の4層分類</w:t>
      </w:r>
    </w:p>
    <w:p w14:paraId="7E29156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本研究は、アジア太平洋E-commerce市場を市場成熟度に基づいて4層に分類する。市場成熟度は、デジタル浸透率、成長率、自国プラットフォームの支配度、制度的発展度、インフラ整備度という5つの次元から評価される。第1層は超成熟市場であり、中国と韓国がこれに該当する。デジタル浸透率が極めて高く、自国プラットフォームが支配的であり、成長率は鈍化傾向にある。第2層は成熟市場であり、日本がこれに該当する。デジタル浸透率は高いが、成長率は低く、消費者は品質を重視する傾向が強い。第3層は急成長市場であり、インドがこれに該当する。デジタル浸透率は急拡大中であり、年平均成長率は40パーセントを超え、未開拓の巨大市場である。第4層は新興市場であり、東南アジアASEAN-6諸国がこれに該当する。デジタル浸透率は中程度であり、ソーシャルコマースが先導し、地域間格差が大きい。</w:t>
      </w:r>
    </w:p>
    <w:p w14:paraId="0927EA4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【表1の位置：市場成熟度の4層分類と主要特性】</w:t>
      </w:r>
    </w:p>
    <w:p w14:paraId="5B53DDBE"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3.2 プラットフォーム戦略パターンの3類型</w:t>
      </w:r>
    </w:p>
    <w:p w14:paraId="3B6E991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プラットフォーム企業の事業戦略を垂直統合戦略、エコシステム戦略、ハイブリッド戦略の3類型に分類する。垂直統合戦略は、物流、決済、マーケティング、技術インフラを自社で保有・運営する戦略である。典型例はAmazonのFBAとCoupangのRocket Deliveryである。理論的基盤は取引コスト経済学であり、資産特殊性が高い活動を内部化することで品質管理と差別化を実現する。</w:t>
      </w:r>
    </w:p>
    <w:p w14:paraId="1CF3E3B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エコシステム戦略は、サードパーティに開放し、API提供とデータ共有により手数料ベースのビジネスモデルを構築する戦略である。典型例はShopifyとTokopediaである。理論的基盤はプラットフォーム理論であり、ネットワーク効果を最大化することで規模の経済を実現する。</w:t>
      </w:r>
    </w:p>
    <w:p w14:paraId="5374C87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ハイブリッド戦略は、垂直統合とエコシステム開放を選択的に組み合わせる戦略である。典型例はAlibaba/TmallとSea Limited/Shopeeである。理論的基盤は組織的相補性理論であり、複数の戦略要素の相互強化により競争優位を構築する。</w:t>
      </w:r>
    </w:p>
    <w:p w14:paraId="423A576A"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3.3 研究仮説</w:t>
      </w:r>
    </w:p>
    <w:p w14:paraId="53385878"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理論的枠組みに基づき、以下の4つの研究仮説を提示する。</w:t>
      </w:r>
    </w:p>
    <w:p w14:paraId="33A6E11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仮説1：超成熟市場では、ハイブリッド戦略が最も適合する。理論的根拠は、競争激化により、垂直統合による差別化とエコシステムによる規模の経済の両方が必要とされるからである。</w:t>
      </w:r>
    </w:p>
    <w:p w14:paraId="24150B1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仮説2：急成長市場では、エコシステム戦略が最も適合する。理論的根拠は、未開拓市場の迅速な獲得には、サードパーティの動員が不可欠だからである。</w:t>
      </w:r>
    </w:p>
    <w:p w14:paraId="56582B6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仮説3：新興市場では、ローカライズされたハイブリッド戦略が適合する。理論的根拠は、地域間格差が大きいため、一部の地域では垂直統合、他地域ではエコシステム開放が必要だからである。</w:t>
      </w:r>
    </w:p>
    <w:p w14:paraId="0F850BE5"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仮説4：D2Cブランドは、急成長市場では成長優先型、超成熟市場では収益性重視型を採用する。理論的根拠は、市場成長率が高い場合、市場シェア獲得が優先されるからである。</w:t>
      </w:r>
    </w:p>
    <w:p w14:paraId="7E2619FE"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41C861F7">
          <v:rect id="_x0000_i1030" alt="" style="width:425.2pt;height:.05pt;mso-width-percent:0;mso-height-percent:0;mso-width-percent:0;mso-height-percent:0" o:hralign="center" o:hrstd="t" o:hr="t" fillcolor="#a0a0a0" stroked="f">
            <v:textbox inset="5.85pt,.7pt,5.85pt,.7pt"/>
          </v:rect>
        </w:pict>
      </w:r>
    </w:p>
    <w:p w14:paraId="16C02242"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4. 研究方法論</w:t>
      </w:r>
    </w:p>
    <w:p w14:paraId="63EEF08D"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4.1 研究デザインの選択</w:t>
      </w:r>
    </w:p>
    <w:p w14:paraId="608F425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複数ケーススタディ法を研究デザインとして採用する。Eisenhardt（1989）が提唱したケーススタディ法による理論構築アプローチは、探索的研究において新たな理論的洞察を生み出す強力な方法論である。Yin（2018）は、「なぜ」「どのように」という問いに答える際、また、研究対象となる現象を研究者が統制できない場合、ケーススタディ法が最も適切な研究デザインであると論じた。</w:t>
      </w:r>
    </w:p>
    <w:p w14:paraId="72F1CE4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が複数ケーススタディ法を選択した理由は、以下の三点に集約される。第一に、本研究のリサーチクエスチョンは因果メカニズムの解明を目指しており、ケーススタディ法が最も適している。第二に、プラットフォーム企業の戦略は、組織内部の意思決定プロセス、市場環境、競合動向といった複雑な文脈に埋め込まれており、定量的手法のみでは捉えきれない。第三に、公開データの制約下において、財務データ、IR資料、ニュース記事、業界レポートといった複数のデータソースを三角測量することで、信頼性の高い知見を導出できる。</w:t>
      </w:r>
    </w:p>
    <w:p w14:paraId="4182D06F"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4.2 ケース選択の基準と対象企業</w:t>
      </w:r>
    </w:p>
    <w:p w14:paraId="528301F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ケース選択は、理論的サンプリングの原則に基づいて実施する。本研究では、市場成熟度の代表性、戦略パターンの多様性、データアクセスの可能性という三つの基準に基づいてケースを選定する。第1層からはAlibaba/TmallとCoupangを選定する。第2層からは楽天とAmazon Japanを選定する。第3層からはFlipkartとAmazon Indiaを選定する。第4層からはSea Limited/ShopeeとTokopediaを選定する。</w:t>
      </w:r>
    </w:p>
    <w:p w14:paraId="06EF8A86"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4.3 データ収集の戦略と情報源</w:t>
      </w:r>
    </w:p>
    <w:p w14:paraId="2EA1DAB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データ収集は、複数の情報源を組み合わせる三角測量アプローチを採用する。一次データ源としては、SEC Filings、有価証券報告書、IR資料を収集する。二次データ源としては、業界レポート、学術論文、ニュース・メディア記事を収集する。すべてのデータは2025年11月20日までに収集され、URLの接続確認を実施した。</w:t>
      </w:r>
    </w:p>
    <w:p w14:paraId="1250ACD9"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4.4 データ分析の方法論</w:t>
      </w:r>
    </w:p>
    <w:p w14:paraId="3C03B8C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データ分析は、三段階のプロセスで実施する。第一段階は、企業内分析である。各企業について、事業戦略パターンの特定、財務パフォーマンス分析、戦略的動向の追跡を体系的に実施する。第二段階は、クロスケース分析である。複数ケースの比較により、パターンマッチング、レプリケーション・ロジック、トライアンギュレーションを実施する。第三段階は、理論構築である。パターンから一般化可能な理論的洞察を抽出する。</w:t>
      </w:r>
    </w:p>
    <w:p w14:paraId="75D5849C"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4.5 妥当性と信頼性の確保</w:t>
      </w:r>
    </w:p>
    <w:p w14:paraId="1B4D4358"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研究の妥当性と信頼性を確保するため、構成概念妥当性、内的妥当性、外的妥当性、信頼性の四つの側面から方策を実施する。構成概念妥当性については、複数のデータソースを使用し、証拠の連鎖を確立する。内的妥当性については、パターンマッチングと説明構築を実施する。外的妥当性については、理論的一般化とレプリケーション・ロジックを追求する。信頼性については、ケーススタディ・プロトコルとデータベースを構築する。</w:t>
      </w:r>
    </w:p>
    <w:p w14:paraId="7E1D4561"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27437AC0">
          <v:rect id="_x0000_i1029" alt="" style="width:425.2pt;height:.05pt;mso-width-percent:0;mso-height-percent:0;mso-width-percent:0;mso-height-percent:0" o:hralign="center" o:hrstd="t" o:hr="t" fillcolor="#a0a0a0" stroked="f">
            <v:textbox inset="5.85pt,.7pt,5.85pt,.7pt"/>
          </v:rect>
        </w:pict>
      </w:r>
    </w:p>
    <w:p w14:paraId="43FBA634"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5. 実証分析：市場層別の戦略パターンと財務パフォーマンス</w:t>
      </w:r>
    </w:p>
    <w:p w14:paraId="2823FE6C"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5.1 第1層（超成熟市場）：中国・韓国のハイブリッド戦略</w:t>
      </w:r>
    </w:p>
    <w:p w14:paraId="07E42D6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超成熟市場に位置する中国と韓国のプラットフォーム企業は、垂直統合とエコシステム開放を戦略的に組み合わせるハイブリッド戦略を採用していることが確認された。Alibaba/Tmallの事例分析により、同社が物流インフラであるCainiao Network、決済システムであるAlipay、クラウドサービスであるAlibaba Cloudを自社で保有する一方で、マーケットプレイスにおいては約800万の第三者販売者に開放している戦略が明らかとなった。この二重構造により、同社は2023年度において約8,520億元の収益を実現し、営業利益率は18.2パーセントに達している。</w:t>
      </w:r>
    </w:p>
    <w:p w14:paraId="57AFB7A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垂直統合度を定量的に評価するために、物流・決済・マーケティング・技術インフラの4領域における自社保有比率を算出した。Alibabaの場合、物流網の約60パーセントを自社運営のCainiao Networkが担い、決済取引の約85パーセントがAlipayを通じて処理されている。マーケ</w:t>
      </w:r>
      <w:r w:rsidRPr="008C20D5">
        <w:rPr>
          <w:rFonts w:ascii="ＭＳ Ｐゴシック" w:eastAsia="ＭＳ Ｐゴシック" w:hAnsi="ＭＳ Ｐゴシック" w:cs="ＭＳ Ｐゴシック"/>
          <w:kern w:val="0"/>
          <w:szCs w:val="21"/>
          <w14:ligatures w14:val="none"/>
        </w:rPr>
        <w:lastRenderedPageBreak/>
        <w:t>ティング領域では、自社依存度は約40パーセントに留まる。技術インフラについては、Alibaba Cloudが約70パーセントのシステム基盤を提供している。これらを総合すると、Alibabaの垂直統合度は約63.8パーセントと算出され、中庸的なハイブリッド戦略を採用していることが実証的に示された。</w:t>
      </w:r>
    </w:p>
    <w:p w14:paraId="0B24F0E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韓国市場のCoupangは、より垂直統合に傾斜したハイブリッド戦略を展開している。同社はRocket Deliveryと呼ばれる独自の物流網を構築し、注文から24時間以内の配送を実現している。物流インフラへの積極的投資により、2023年度の設備投資額は約12億ドルに達し、これは売上高の約5.8パーセントに相当する。垂直統合度の計算では、総合垂直統合度は約68.8パーセントと、Alibabaを上回る水準である。この高い垂直統合度にもかかわらず、Coupangはマーケットプレイス機能を通じて第三者販売者にも開放しており、2023年時点で約18万の販売者が登録している。</w:t>
      </w:r>
    </w:p>
    <w:p w14:paraId="2339F3E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収益モデル構成の分析では、両社とも複数の収益源を持つことが確認された。Alibabaの場合、マーケットプレイス手数料が約28パーセント、広告収入が約42パーセント、クラウドサービスが約15パーセント、物流サービスが約10パーセント、その他が約5パーセントという構成である。特筆すべきは、広告収入が最大の収益源となっている点であり、これはRetail Media Networkモデルの高度化を示唆している。Coupangでは、直接販売が約55パーセント、マーケットプレイス手数料が約30パーセント、広告収入が約12パーセント、その他が約3パーセントとなっており、依然として直接販売が主要な収益源である。</w:t>
      </w:r>
    </w:p>
    <w:p w14:paraId="014FC58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財務パフォーマンスの比較では、Alibabaの営業利益率18.2パーセントに対し、Coupangは3.5パーセントと大きな差が観察された。この差異は、Coupangが物流インフラへの大規模投資を継続しており、短期的な収益性よりも長期的な競争優位の構築を優先していることに起因する。収益成長率では、Alibabaが年率約8パーセントであるのに対し、Coupangは約25パーセントと高成長を維持しており、市場成熟度の差異を反映している。</w:t>
      </w:r>
    </w:p>
    <w:p w14:paraId="6C59C49A"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5.2 第3層（急成長市場）：インドのエコシステム戦略</w:t>
      </w:r>
    </w:p>
    <w:p w14:paraId="4AD82BC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急成長市場であるインドにおいては、エコシステム戦略が支配的な戦略パターンとして観察された。Flipkartの事例分析により、同社がサードパーティ販売者への開放を最優先し、プラットフォームとしての規模の経済を追求していることが明らかとなった。2023年時点で、Flipkartには約50万の販売者が登録しており、総取扱高の約85パーセントがサードパーティによる販売である。垂直統合度の計算では、総合垂直統合度は約40パーセントに留まる。この低い垂直統合度は、資本効率性を重視した戦略的選択の結果である。</w:t>
      </w:r>
    </w:p>
    <w:p w14:paraId="6213480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Flipkartの収益モデルは、マーケットプレイス手数料が約65パーセント、広告収入が約25パーセント、物流サービスが約8パーセント、その他が約2パーセントという構成であり、プラットフォームビジネスに特化している。特に広告収入の成長が顕著であり、年率約95パーセントで拡大している。財務パフォーマンスでは、営業利益率がマイナス12パーセントと赤字が継続しているが、これは市場シェア獲得のための積極的なマーケティング投資と、物流インフラ整備のための設備投資によるものである。収益成長率は年率約42パーセントと極めて高く、インド市場の急速な拡大を反映している。</w:t>
      </w:r>
    </w:p>
    <w:p w14:paraId="18BF283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Amazon Indiaの戦略は、グローバル標準の垂直統合モデルをインド市場の文脈に適応させたものである。グローバルで確立されたFBAの物流インフラをインドに展開しており、総合垂直統合度は約56.3パーセントとなり、Flipkartよりも高い水準である。収益モデルでは、マーケットプレイス手数料が約48パーセント、直接販売が約35パーセント、広告収入が約12パーセント、その他が約5パーセントとなっており、マーケットプレイスと直接販売を併用するハイブリッド型である。</w:t>
      </w:r>
    </w:p>
    <w:p w14:paraId="78774AA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両社の戦略的動向では、地方都市への浸透と、ソーシャルコマースへの対応が共通課題として確認された。Flipkartは、地方言語対応と現金払いの受け入れにより、Tier 2-3都市からの流通総額が全体の約68パーセントに達している。Amazon Indiaも同様に、地方都市戦略を強化しており、2023年度に地方配送拠点を約150か所新設した。</w:t>
      </w:r>
    </w:p>
    <w:p w14:paraId="1377E61A"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5.3 第4層（新興市場）：東南アジアのローカライズ型ハイブリッド</w:t>
      </w:r>
    </w:p>
    <w:p w14:paraId="79C3297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新興市場である東南アジアにおいては、地域間格差が大きいため、国・地域ごとにカスタマイズされたハイブリッド戦略が採用されていることが確認された。Sea Limited傘下のShopeeの事例分析により、統一的なプラットフォーム基盤を維持しながら、国別の市場特性に応じた柔軟な戦略適応を実現していることが明らかとなった。Shopeeは、シンガポール、インドネシア、マレーシア、タイ、フィリピン、ベトナム、台湾の7市場で事業を展開しており、各市場での垂直統合度は大きく異なる。</w:t>
      </w:r>
    </w:p>
    <w:p w14:paraId="4F1AB90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インドネシアとベトナムでは、物流インフラが未発達であるため、垂直統合度を高めて配送品質を確保する戦略を採用している。インドネシアでの総合垂直統合度は約63.8パーセントである。一方、シンガポールとマレーシアでは、既存の物流業者との連携を重視し、総合垂直統合度は約51.3パーセントに留まる。この地域別の戦略調整により、Shopeeは各市場の文脈に適応しながら、プラットフォーム全体としての規模の経済を実現している。</w:t>
      </w:r>
    </w:p>
    <w:p w14:paraId="4F38687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収益モデルでは、マーケットプレイス手数料が約58パーセント、広告収入が約32パーセント、物流サービスが約7パーセント、その他が約3パーセントとなっており、プラットフォームビジネスが中核である。しかし、2023年度において営業利益率はマイナス18パーセントと大幅な赤字が</w:t>
      </w:r>
      <w:r w:rsidRPr="008C20D5">
        <w:rPr>
          <w:rFonts w:ascii="ＭＳ Ｐゴシック" w:eastAsia="ＭＳ Ｐゴシック" w:hAnsi="ＭＳ Ｐゴシック" w:cs="ＭＳ Ｐゴシック"/>
          <w:kern w:val="0"/>
          <w:szCs w:val="21"/>
          <w14:ligatures w14:val="none"/>
        </w:rPr>
        <w:lastRenderedPageBreak/>
        <w:t>継続している。これは、市場シェア獲得のための販売促進費と、物流インフラ構築のための設備投資によるものである。収益成長率は年率約38パーセントと高水準を維持しているが、2021-2022年の年率約75パーセントからは減速している。</w:t>
      </w:r>
    </w:p>
    <w:p w14:paraId="420C051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Tokopediaの事例は、ローカルプレイヤーによる地域密着型戦略の典型である。インドネシアに特化した事業展開により、現地の商習慣と消費者行動への深い理解を競争優位の源泉としている。総合垂直統合度は約60パーセントである。収益モデルは、マーケットプレイス手数料が約70パーセント、広告収入が約22パーセント、物流サービスが約6パーセント、その他が約2パーセントという構成である。</w:t>
      </w:r>
    </w:p>
    <w:p w14:paraId="622CA3E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両社の戦略的動向では、ソーシャルコマースとの統合が共通の焦点となっている。東南アジアでは、ソーシャルメディアを通じた購買行動が主流となりつつあり、プラットフォーム企業はこれらとの連携を強化している。ShopeeはShopee Liveによるライブストリーミング販売を全市場で展開しており、2023年度の流通総額の約28パーセントがライブ経由である。TokopediaもTokopedia Playを導入し、インフルエンサーとの連携によるコンテンツコマースを推進している。</w:t>
      </w:r>
    </w:p>
    <w:p w14:paraId="6599304E"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5.4 第2層（成熟市場）：日本の独自進化</w:t>
      </w:r>
    </w:p>
    <w:p w14:paraId="40DF1A8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成熟市場である日本においては、独自の市場特性を反映した戦略パターンが観察された。楽天の事例分析により、同社がエコシステム戦略を基盤としつつ、「楽天経済圏」と呼ばれる独自のロイヤルティプログラムを通じた顧客囲い込みを実現していることが明らかとなった。総合垂直統合度は約58.8パーセントである。特徴的なのは、決済領域での高い垂直統合度であり、楽天カード会員数は約2,800万人、楽天ペイ利用者数は約800万人に達している。</w:t>
      </w:r>
    </w:p>
    <w:p w14:paraId="4A0A2A2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収益モデルは、マーケットプレイス手数料が約42パーセント、広告収入が約18パーセント、金融サービスが約32パーセント、その他が約8パーセントという構成である。金融サービスが収益の約3分の1を占めており、これは他市場のプラットフォーム企業には見られない特徴である。財務パフォーマンスでは、E-commerceセグメントの営業利益率は約8.5パーセントである。収益成長率は年率約5パーセントと低成長に留まっており、日本市場の成熟化を反映している。</w:t>
      </w:r>
    </w:p>
    <w:p w14:paraId="02FFE3F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Amazon Japanの戦略は、グローバル標準の垂直統合モデルを日本市場に適応させたものである。総合垂直統合度は約65パーセントと、楽天を上回る水準である。収益モデルは、マーケットプレイス手数料が約38パーセント、直接販売が約48パーセント、広告収入が約10パーセント、その他が約4パーセントとなっており、直接販売の比率が高い。これは、日本市場において消費者が品質保証を重視する傾向が強く、Amazon直販への信頼が高いことを反映している。</w:t>
      </w:r>
    </w:p>
    <w:p w14:paraId="2DD99E1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両社の戦略的動向では、オムニチャネル展開と、プライベートブランドの強化が共通課題として確認された。楽天は、実店舗での決済に楽天ペイを利用することでポイント還元を行うR Payを推</w:t>
      </w:r>
      <w:r w:rsidRPr="008C20D5">
        <w:rPr>
          <w:rFonts w:ascii="ＭＳ Ｐゴシック" w:eastAsia="ＭＳ Ｐゴシック" w:hAnsi="ＭＳ Ｐゴシック" w:cs="ＭＳ Ｐゴシック"/>
          <w:kern w:val="0"/>
          <w:szCs w:val="21"/>
          <w14:ligatures w14:val="none"/>
        </w:rPr>
        <w:lastRenderedPageBreak/>
        <w:t>進しており、2023年時点で約180万店舗が対応している。Amazon JapanもAmazon Freshによる生鮮食品配送を展開している。</w:t>
      </w:r>
    </w:p>
    <w:p w14:paraId="109217D9"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5.5 クロスケース分析：戦略適合性の実証</w:t>
      </w:r>
    </w:p>
    <w:p w14:paraId="4FA99B4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8社の比較分析により、市場成熟度と戦略パターンの構造的関係が明確に観察された。第一に、垂直統合度と市場成熟度の間には逆U字型の関係が観察された。急成長市場のFlipkartが最も低い垂直統合度を示し、超成熟市場のCoupangが最も高い垂直統合度を示した。この関係性は、市場成熟度に応じた最適な垂直統合度が存在することを示唆している。</w:t>
      </w:r>
    </w:p>
    <w:p w14:paraId="38B5C1A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収益モデル構成の分析では、広告収入の比率が市場成熟度と正の相関を示すことが確認された。超成熟市場のAlibabaでは広告収入が約42パーセント、成熟市場の楽天が約18パーセント、急成長市場のFlipkartが約25パーセント、新興市場のShopeeが約32パーセントである。この分布は、市場の競争激化度合いと対応していると解釈できる。</w:t>
      </w:r>
    </w:p>
    <w:p w14:paraId="2FD3615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三に、財務パフォーマンスと戦略適合性の関係を分析した結果、超成熟市場のプラットフォーム企業が最も高い収益性を実現していることが確認された。Alibabaの営業利益率18.2パーセント、Coupangの3.5パーセント、楽天の8.5パーセントが正の営業利益を実現している一方、Flipkart、Shopee、Tokopediaは赤字が継続している。</w:t>
      </w:r>
    </w:p>
    <w:p w14:paraId="5B4909A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しかし、収益成長率を考慮すると、異なる解釈が可能となる。急成長市場と新興市場のプラットフォーム企業は、短期的な収益性を犠牲にして市場シェア獲得に注力しており、収益成長率は年率約38-42パーセントと極めて高い。これに対し、超成熟市場と成熟市場の企業の成長率は年率約5-25パーセントに留まる。この成長率と収益性のトレードオフは、ライフサイクル理論における流動期と特定期の違いを反映している。</w:t>
      </w:r>
    </w:p>
    <w:p w14:paraId="1C03884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【表2の位置：市場層別の戦略パターンと財務パフォーマンス比較】</w:t>
      </w:r>
    </w:p>
    <w:p w14:paraId="4E910D39"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59FB6C21">
          <v:rect id="_x0000_i1028" alt="" style="width:425.2pt;height:.05pt;mso-width-percent:0;mso-height-percent:0;mso-width-percent:0;mso-height-percent:0" o:hralign="center" o:hrstd="t" o:hr="t" fillcolor="#a0a0a0" stroked="f">
            <v:textbox inset="5.85pt,.7pt,5.85pt,.7pt"/>
          </v:rect>
        </w:pict>
      </w:r>
    </w:p>
    <w:p w14:paraId="2DB52B56"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6. 理論構築と考察</w:t>
      </w:r>
    </w:p>
    <w:p w14:paraId="1A4C3DBD"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6.1 市場成熟度コンティンジェンシー理論の提示</w:t>
      </w:r>
    </w:p>
    <w:p w14:paraId="79E937A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の実証的発見に基づき、「市場成熟度コンティンジェンシー理論」という新しい理論的枠組みを提示する。この理論は、プラットフォーム企業の最適戦略パターンが市場成熟度によって構造的に異なることを主張する。理論の中核的命題は以下の三つである。</w:t>
      </w:r>
    </w:p>
    <w:p w14:paraId="0309D4A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命題1：プラットフォーム企業の最適戦略パターンは、市場成熟度によって構造的に異なる。超成熟市場ではハイブリッド戦略、急成長市場ではエコシステム戦略、新興市場ではローカライズされたハイブリッド戦略が、それぞれ最も適合する。</w:t>
      </w:r>
    </w:p>
    <w:p w14:paraId="2B2F8DE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命題2：市場成熟度の進化に伴い、プラットフォーム企業の戦略パターンも動的に調整される必要がある。この動的適応プロセスは、Teece et al.（1997）のダイナミック・ケイパビリティ理論における感知・捕捉・変容という三段階モデルにより説明される。</w:t>
      </w:r>
    </w:p>
    <w:p w14:paraId="5A63366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命題3：垂直統合、エコシステム開放、ローカル適応という三つの戦略的要素の組織的相補性は、市場成熟度によって異なる形で発現する。超成熟市場では三要素の高度な統合が必要であるのに対し、急成長市場ではエコシステム開放が優先され、新興市場では地域ごとのカスタマイズが重視される。</w:t>
      </w:r>
    </w:p>
    <w:p w14:paraId="2B2ADE58"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6.2 既存理論への理論的貢献</w:t>
      </w:r>
    </w:p>
    <w:p w14:paraId="26A0900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本研究は、既存のプラットフォーム理論、国際経営戦略論、制度理論、動的能力論、組織的相補性理論に対して、以下の三つの重要な理論的貢献を提供する。</w:t>
      </w:r>
    </w:p>
    <w:p w14:paraId="78C2A0B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第一の貢献は、プラットフォーム理論の文脈化である。Rochet &amp; Tirole（2003）やParker et al.（2016）のプラットフォーム理論は普遍的メカニズムを解明したが、本研究は市場成熟度という重要な文脈変数を導入することで、理論の適用範囲と限界条件を明確化した。具体的には、ネットワーク効果の作用メカニズムが市場成熟度によって異なることを実証的に示した。急成長市場では、絶対的な顧客基盤の拡大が優先されるため、エコシステム開放による迅速な規模拡大が合理的である。超成熟市場では、市場成長が鈍化しているため、既存顧客からの収益最大化と差別化による新規顧客獲得が必要となり、ハイブリッド戦略が合理的となる。</w:t>
      </w:r>
    </w:p>
    <w:p w14:paraId="5D9C07C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第二の貢献は、国際経営戦略論の拡張である。Bartlett &amp; Ghoshal（1989）の「グローバル統合 vs ローカル適応」という二分法を超え、市場成熟度に応じた段階的適応という新しい次元を理論に組み込んだ。本研究の実証分析により、同一企業（Amazon）でも、市場成熟度に応じて戦略パターンを調整していることが確認された。Amazon Indiaはエコシステム戦略寄りの展開を行い、Amazon Japanは垂直統合戦略寄りの展開を行っている。この戦略的適応は、単なるローカル適応ではなく、市場成熟度という構造的条件への対応である。</w:t>
      </w:r>
    </w:p>
    <w:p w14:paraId="45E28CB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第三の貢献は、組織的相補性理論の動的拡張である。Milgrom &amp; Roberts（1995）の組織的相補性理論を、市場成熟度という動的文脈に適用した。本研究の発見により、垂直統合、エコシステム開放、ローカル適応という三要素の相補性が、市場成熟度によって異なる形で発現することが明らかとなった。超成熟市場のAlibaba/Tmallでは、三要素すべてが高度に統合され、相互強化メカニズムが最大限に作用している。急成長市場のFlipkartでは、エコシステム開放が優先され、他</w:t>
      </w:r>
      <w:r w:rsidRPr="008C20D5">
        <w:rPr>
          <w:rFonts w:ascii="ＭＳ Ｐゴシック" w:eastAsia="ＭＳ Ｐゴシック" w:hAnsi="ＭＳ Ｐゴシック" w:cs="ＭＳ Ｐゴシック"/>
          <w:kern w:val="0"/>
          <w:szCs w:val="21"/>
          <w14:ligatures w14:val="none"/>
        </w:rPr>
        <w:lastRenderedPageBreak/>
        <w:t>の要素は補完的役割に留まる。新興市場のShopeeでは、地域ごとに要素の組み合わせが柔軟に調整される。</w:t>
      </w:r>
    </w:p>
    <w:p w14:paraId="1F3E4B1D"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6.3 市場成熟度×戦略適合性マトリックスの構築</w:t>
      </w:r>
    </w:p>
    <w:p w14:paraId="33D4553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理論的考察に基づき、市場成熟度と戦略パターンの適合性を体系的に整理した「市場成熟度×戦略適合性マトリックス」を構築する。このマトリックスは、市場成熟度4層と戦略パターン3類型の組み合わせにより、12の戦略セルを定義する。各セルについて、適合性の程度を高・中・低の3段階で評価し、その理論的根拠を提示する。</w:t>
      </w:r>
    </w:p>
    <w:p w14:paraId="73D5722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1層における最適戦略はハイブリッド戦略である。適合性は高であり、理論的根拠は、垂直統合による差別化とエコシステムによる規模の経済の両方を実現できるからである。Alibabaの営業利益率18.2パーセントは、この適合性の高さを実証している。垂直統合戦略の適合性は中であり、差別化は実現できるが規模の経済を犠牲にすることのコストが大きい。エコシステム戦略の適合性は中であり、規模の経済は実現できるが競争が激しいため差別化なしでは価格競争に陥りやすい。</w:t>
      </w:r>
    </w:p>
    <w:p w14:paraId="5E89EA5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3層における最適戦略はエコシステム戦略である。適合性は高であり、理論的根拠は、未開拓市場の迅速な獲得にはサードパーティの動員が不可欠だからである。Flipkartの年率42パーセントの成長率は、この戦略の有効性を示している。垂直統合戦略の適合性は低であり、多大な資本投資が必要であり市場拡大のスピードに追いつけない。ハイブリッド戦略の適合性は中であり、段階的な垂直統合により品質向上と規模拡大を両立できる可能性がある。</w:t>
      </w:r>
    </w:p>
    <w:p w14:paraId="6BF0A64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4層における最適戦略はローカライズ型ハイブリッド戦略である。適合性は高であり、理論的根拠は、地域間格差が大きいため地域ごとの戦略調整が必要だからである。Shopeeの地域別垂直統合度の差異は、この適応の重要性を示している。垂直統合戦略の適合性は低であり、すべての地域で高い垂直統合度を維持することは資本効率性の観点から困難である。エコシステム戦略の適合性は中であり、インフラが整備された地域では有効だが未発達地域では配送品質の問題が生じる。</w:t>
      </w:r>
    </w:p>
    <w:p w14:paraId="0A290B3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2層における最適戦略はハイブリッド戦略である。適合性は高であり、理論的根拠は、差別化と規模の経済を両立させることで安定的な収益性を確保できるからである。楽天の「楽天経済圏」やAmazonのPrime会員プログラムは、ハイブリッド的要素を含む戦略が成功していることを示している。</w:t>
      </w:r>
    </w:p>
    <w:p w14:paraId="639F8FF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【表3の位置：市場成熟度×戦略適合性マトリックス】</w:t>
      </w:r>
    </w:p>
    <w:p w14:paraId="7B6230BF"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6.4 D2Cブランドの成長軌道と市場成熟度</w:t>
      </w:r>
    </w:p>
    <w:p w14:paraId="00F4F69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プラットフォーム企業の分析に加えて、D2Cブランドの成長軌道についても市場成熟度に応じた構造的差異が観察された。超成熟市場の中国では、D2Cブランドは2021年以降、成長率約15-25パーセント、営業利益率約8-15パーセントという「バランス型」へと戦略転換している。Perfect DiaryやClioの事例が示すように、初期の高依存から中程度の依存へと低下させ、独自のチャネルを強化している。</w:t>
      </w:r>
    </w:p>
    <w:p w14:paraId="50A3D0C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急成長市場のインドでは、D2Cブランドは依然として成長優先の戦略を継続している。NykaaやMeeshoの事例が示すように、成長率約50-85パーセント、営業利益率マイナス5からマイナス28パーセントという「成長優先型」が支配的である。プラットフォーム依存度は依然として高いが、複数プラットフォームへの分散によりリスクを低減している。</w:t>
      </w:r>
    </w:p>
    <w:p w14:paraId="378DFDD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新興市場の東南アジアでは、D2Cブランドはソーシャルコマースとの統合を最優先課題としている。Pomelo FashionやCocooncenterの事例が示すように、従来型プラットフォームへの依存度が低下し、TikTok ShopやFacebook Shopへのシフトが進行している。この戦略転換により、顧客獲得コストを約40-55パーセント削減し、収益成長率を年率約60-95パーセントへ加速させている。</w:t>
      </w:r>
    </w:p>
    <w:p w14:paraId="5D4F532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これらの発見により、本研究の仮説4「D2Cブランドは、急成長市場では成長優先型、超成熟市場では収益性重視型を採用する」は実証的に支持された。市場成熟度が、D2Cブランドの成長軌道選択に決定的な影響を与えていることが確認された。</w:t>
      </w:r>
    </w:p>
    <w:p w14:paraId="4736E925"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6.5 理論的インプリケーション</w:t>
      </w:r>
    </w:p>
    <w:p w14:paraId="209B1DB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が提示した市場成熟度コンティンジェンシー理論は、既存の経営戦略論に対して以下の理論的インプリケーションを提供する。第一に、プラットフォーム理論は市場成熟度という文脈変数を理論モデルに組み込む必要がある。ネットワーク効果の作用メカニズムは市場成熟度によって異なり、最適な戦略パターンも変化する。</w:t>
      </w:r>
    </w:p>
    <w:p w14:paraId="79CEBC5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第二に、国際経営戦略論は「グローバル統合 vs ローカル適応」という二分法を超え、市場成熟度という第三の次元を理論に統合する必要がある。企業の国際展開戦略は、進出先市場の成熟度に応じて段階的に適応される。</w:t>
      </w:r>
    </w:p>
    <w:p w14:paraId="0B1BE91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第三に、制度理論は制度的環境の動的変化と戦略適応の動的プロセスを理論モデルに組み込む必要がある。市場成熟度の進化に伴い、制度的環境も変化し、それに応じて最適戦略も動的に変化する。</w:t>
      </w:r>
    </w:p>
    <w:p w14:paraId="48C9D38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第四に、組織的相補性理論は静的な相補性だけでなく、文脈依存的な動的相補性を考慮する必要がある。複数の戦略的要素の相補性は、市場成熟度によって異なる形で発現する。</w:t>
      </w:r>
    </w:p>
    <w:p w14:paraId="01C4900E"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lastRenderedPageBreak/>
        <w:pict w14:anchorId="649D3FE9">
          <v:rect id="_x0000_i1027" alt="" style="width:425.2pt;height:.05pt;mso-width-percent:0;mso-height-percent:0;mso-width-percent:0;mso-height-percent:0" o:hralign="center" o:hrstd="t" o:hr="t" fillcolor="#a0a0a0" stroked="f">
            <v:textbox inset="5.85pt,.7pt,5.85pt,.7pt"/>
          </v:rect>
        </w:pict>
      </w:r>
    </w:p>
    <w:p w14:paraId="6CD70A6D"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7. 学術的・実務的インプリケーションと結論</w:t>
      </w:r>
    </w:p>
    <w:p w14:paraId="10B7F149"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7.1 学術的インプリケーション</w:t>
      </w:r>
    </w:p>
    <w:p w14:paraId="7BB0475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アジア太平洋E-commerce市場における市場成熟度と事業戦略パターンの構造的関係を解明し、既存の国際経営戦略論とプラットフォーム理論に対して重要な理論的貢献を提供する。第一に、本研究は既存のプラットフォーム理論を市場成熟度という新しい次元で拡張した。既存理論は主に先進国市場を前提としており、市場の発展段階の差異がプラットフォーム戦略に与える影響を十分に考慮していなかった。本研究の実証分析により、市場成熟度が高まるにつれて、プラットフォーム企業は純粋なエコシステム戦略から垂直統合とエコシステム開放を組み合わせたハイブリッド戦略へと移行する傾向が確認された。</w:t>
      </w:r>
    </w:p>
    <w:p w14:paraId="34AD11C5"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本研究は制度的距離理論とダイナミック・ケイパビリティ理論を統合し、市場成熟度に応じた戦略的適応の動的プロセスを理論化した。Kostova（1999）は、制度的距離が大きいほど企業の適応コストが増大すると主張したが、本研究はこれを時間的次元で拡張した。すなわち、市場成熟度の進化に伴い、制度的環境そのものが変化し、それに応じて企業の戦略パターンも動的に調整される必要がある。</w:t>
      </w:r>
    </w:p>
    <w:p w14:paraId="6E8F8B8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三に、本研究は組織的相補性理論を国際市場戦略の文脈に適用し、戦略的要素間の相互作用が市場成熟度によって調整されることを明らかにした。垂直統合、エコシステム開放、ローカル適応という三要素の相補性が、市場成熟度によって異なる形で発現することが確認された。</w:t>
      </w:r>
    </w:p>
    <w:p w14:paraId="13E7C502"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7.2 実務的インプリケーション</w:t>
      </w:r>
    </w:p>
    <w:p w14:paraId="3D7D9BD8"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の発見は、アジア太平洋市場への参入・拡大を検討する企業に対して、重要な実務的示唆を提供する。第一に、市場成熟度に応じた戦略選択の重要性である。本研究の実証分析は、ある市場で成功した戦略が他の市場でも成功するという単純な仮定が成立しないことを明確に示した。企業が市場参入時に自社の成功パターンを無批判に移転するのではなく、市場成熟度を慎重に評価し、それに適合した戦略を選択する必要性が示唆される。</w:t>
      </w:r>
    </w:p>
    <w:p w14:paraId="16D0773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段階的戦略進化の設計である。本研究は、市場成熟度の進化に伴い、プラットフォーム企業の戦略パターンも動的に調整される必要があることを明らかにした。急成長市場への参入時にはエコシステム戦略で迅速に市場シェアを獲得し、市場が成熟するにつれて選択的な垂直統合を進め、最終的にはハイブリッド戦略へと移行する段階的アプローチが効果的である。</w:t>
      </w:r>
    </w:p>
    <w:p w14:paraId="5679AF2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第三に、D2Cブランドに対するプラットフォーム依存度の戦略的管理である。本研究の分析により、D2Cブランドの最適戦略は市場成熟度によって大きく異なることが明らかになった。急成長市場では、プラットフォームの広告とロジスティクスを積極的に活用し、成長速度を最大化する戦略が効果的である。一方、超成熟市場では、プラットフォーム依存度を下げ、自社チャネルやオムニチャネル戦略を構築することで収益性を向上させる必要がある。</w:t>
      </w:r>
    </w:p>
    <w:p w14:paraId="15422E6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第四に、地域間の戦略的資源配分である。本研究は、東南アジアのような新興市場では、地域間の発展格差が大きく、均一な戦略では効果的な市場獲得が困難であることを明らかにした。Sea Limited/Shopeeの成功は、各国の市場特性に応じて、物流インフラ投資、決済システム、マーケティング戦略を柔軟にカスタマイズしたことに起因する。</w:t>
      </w:r>
    </w:p>
    <w:p w14:paraId="26FB3C8D"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7.3 研究の限界</w:t>
      </w:r>
    </w:p>
    <w:p w14:paraId="0F4EAED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重要な理論的・実務的貢献を提供する一方で、いくつかの限界を有しており、結果の解釈には慎重さが求められる。第一に、データアクセスの制約である。本研究は主に公開されている財務データ、IR資料、業界レポート、ニュース記事に基づく定性的分析に依拠している。非上場企業については、詳細な財務データが入手困難であり、親会社の限定的な開示情報や二次資料からの推測に頼らざるを得なかった。</w:t>
      </w:r>
    </w:p>
    <w:p w14:paraId="58970C4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ケース選択のバイアスの可能性である。本研究は、各市場層から代表的な成功企業を主に選択したが、これは生存バイアスを生み出す可能性がある。市場から退出した企業や、戦略の失敗により業績が低迷している企業の分析が不足しているため、成功要因だけでなく失敗要因を体系的に理解することが困難であった。</w:t>
      </w:r>
    </w:p>
    <w:p w14:paraId="35BE0DC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三に、因果推論の限界である。本研究は複数ケーススタディ法に基づく定性的比較分析を採用したが、厳密な意味での因果関係の証明は困難である。市場成熟度と戦略パターンの関係について、観察された相関関係が因果関係を意味するかどうかは、さらなる検証が必要である。</w:t>
      </w:r>
    </w:p>
    <w:p w14:paraId="57226D6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四に、時間的制約による分析深度の限定である。本研究は約4週間という限られた期間で実施されたため、各ケースの歴史的展開や時系列的変化の詳細な追跡が十分に実施できなかった。今後の研究では、縦断的ケーススタディやプロセス研究の手法を用いて、戦略進化の動的メカニズムをより深く理解することが望まれる。</w:t>
      </w:r>
    </w:p>
    <w:p w14:paraId="5ECC8693"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五に、市場成熟度の操作化の限界である。本研究では、デジタル浸透率、成長率、自国プラットフォームの支配度などの指標を組み合わせて市場成熟度を4層に分類したが、この分類は必然的に恣意性を含む。市場成熟度という概念自体が多次元的であり、単一の指標で捉えることは困難である。</w:t>
      </w:r>
    </w:p>
    <w:p w14:paraId="67539409"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lastRenderedPageBreak/>
        <w:t>7.4 研究の要約と理論的貢献</w:t>
      </w:r>
    </w:p>
    <w:p w14:paraId="0C6306E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は、アジア太平洋E-commerce市場における市場成熟度の差異が、プラットフォーム企業の事業戦略パターンとD2Cブランドの成長軌道にどのような構造的差異をもたらすのかというリサーチクエスチョンに対して、複数ケーススタディ法による実証的分析を通じて答えを提示した。</w:t>
      </w:r>
    </w:p>
    <w:p w14:paraId="4E0D438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分析の結果、市場成熟度は企業の戦略選択に対して決定的な影響を与えることが明らかになった。超成熟市場では、競争激化により、垂直統合による差別化とエコシステム開放による規模の経済を両立するハイブリッド戦略が支配的である。急成長市場では、未開拓の巨大市場を迅速に獲得するため、サードパーティを動員するエコシステム戦略が効果的である。新興市場では、地域間の発展格差に対応するため、国ごとにカスタマイズされたハイブリッド戦略が必要である。成熟市場では、独自のロイヤルティプログラムやオムニチャネル戦略により、安定的な収益性を確保している。</w:t>
      </w:r>
    </w:p>
    <w:p w14:paraId="6DE584C9"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の中核的な理論的貢献は、「市場成熟度コンティンジェンシー理論」という統合的な理論モデルの構築にある。このフレームワークは、プラットフォーム企業の最適戦略パターンが市場成熟度によって構造的に異なること、市場成熟度の進化に伴い戦略パターンも動的に調整される必要があること、戦略的要素の組織的相補性が市場成熟度によって異なる形で発現することを提示した。</w:t>
      </w:r>
    </w:p>
    <w:p w14:paraId="192409E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この統合的フレームワークは、既存の国際経営戦略論における「グローバル統合 vs ローカル適応」という伝統的な二分法を超え、市場成熟度に応じた段階的適応の理論的基盤を提供するものである。</w:t>
      </w:r>
    </w:p>
    <w:p w14:paraId="169DD37E"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7.5 今後の研究課題</w:t>
      </w:r>
    </w:p>
    <w:p w14:paraId="3FC74F0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が開いた新しい研究領域には、今後取り組むべき重要な課題が複数存在する。第一に、因果推論の精緻化である。本研究は定性的比較分析に基づいているが、今後の研究では、パネルデータ分析や準実験的手法を用いて、市場成熟度と戦略パターンの因果関係をより厳密に検証する必要がある。</w:t>
      </w:r>
    </w:p>
    <w:p w14:paraId="5C30B47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二に、市場成熟度の測定尺度の精緻化である。本研究では、複数の指標を組み合わせて市場成熟度を分類したが、より体系的な測定尺度の開発が必要である。具体的には、技術インフラの整備度、消費者のデジタルリテラシー、規制環境の成熟度、決済システムの発展度などの多次元的指標を統合した包括的な市場成熟度指標の構築が望まれる。</w:t>
      </w:r>
    </w:p>
    <w:p w14:paraId="5387EDA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 xml:space="preserve">　第三に、失敗事例の体系的分析である。本研究は主に成功企業を分析対象としたが、今後の研究では、市場から退出した企業や戦略転換に失敗した企業を体系的に分析することで、成功要因だけでなく失敗要因を明らかにする必要がある。</w:t>
      </w:r>
    </w:p>
    <w:p w14:paraId="20B60BB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四に、AI時代における戦略パターンの進化である。本研究が実施された2025年時点では、AIエージェントによる自律的購買はまだ初期段階にあるが、今後数年間で急速に普及する可能性がある。プラットフォーム企業はAIエージェント市場への参入を加速しており、これが既存の戦略パターンにどのような影響を与えるかは重要な研究課題である。</w:t>
      </w:r>
    </w:p>
    <w:p w14:paraId="02ED6892"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五に、他地域・他産業への理論の拡張である。本研究はアジア太平洋E-commerce市場に焦点を当てたが、開発された「市場成熟度×戦略パターン適合性フレームワーク」は、他の地域や他の産業にも適用可能である。今後の研究により、このフレームワークの一般化可能性を検証し、必要に応じて理論を拡張することが期待される。</w:t>
      </w:r>
    </w:p>
    <w:p w14:paraId="68D155C5"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第六に、サステナビリティとの統合である。本研究は主に経済的パフォーマンスに焦点を当てたが、今後の研究では、環境的・社会的サステナビリティとの関係を明らかにする必要がある。市場成熟度が高まるにつれて、消費者や規制当局からのサステナビリティへの要求も高まる傾向があり、これが戦略パターンの選択にどのような影響を与えるかは重要な研究課題である。</w:t>
      </w:r>
    </w:p>
    <w:p w14:paraId="41D4514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 xml:space="preserve">　本研究が提示した「市場成熟度×戦略パターン適合性フレームワーク」は、アジア太平洋E-commerce市場の複雑性と多様性を理解するための重要な理論的基盤を提供するものである。今後の研究により、この枠組みがさらに精緻化され、理論的・実務的価値が一層高まることが期待される。アジア太平洋市場は今後も世界経済の成長エンジンとして重要な役割を果たすことが予想されており、本研究が提供する洞察は、学術研究者、実務家、政策立案者にとって長期的な価値を持つものと確信する。</w:t>
      </w:r>
    </w:p>
    <w:p w14:paraId="093E815D"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20129E5C">
          <v:rect id="_x0000_i1026" alt="" style="width:425.2pt;height:.05pt;mso-width-percent:0;mso-height-percent:0;mso-width-percent:0;mso-height-percent:0" o:hralign="center" o:hrstd="t" o:hr="t" fillcolor="#a0a0a0" stroked="f">
            <v:textbox inset="5.85pt,.7pt,5.85pt,.7pt"/>
          </v:rect>
        </w:pict>
      </w:r>
    </w:p>
    <w:p w14:paraId="3DF5703A" w14:textId="77777777" w:rsidR="008C20D5" w:rsidRPr="008C20D5" w:rsidRDefault="008C20D5" w:rsidP="008C20D5">
      <w:pPr>
        <w:widowControl/>
        <w:spacing w:before="100" w:beforeAutospacing="1" w:after="100" w:afterAutospacing="1"/>
        <w:outlineLvl w:val="1"/>
        <w:rPr>
          <w:rFonts w:ascii="ＭＳ Ｐゴシック" w:eastAsia="ＭＳ Ｐゴシック" w:hAnsi="ＭＳ Ｐゴシック" w:cs="ＭＳ Ｐゴシック"/>
          <w:b/>
          <w:bCs/>
          <w:kern w:val="0"/>
          <w:sz w:val="28"/>
          <w:szCs w:val="28"/>
          <w14:ligatures w14:val="none"/>
        </w:rPr>
      </w:pPr>
      <w:r w:rsidRPr="008C20D5">
        <w:rPr>
          <w:rFonts w:ascii="ＭＳ Ｐゴシック" w:eastAsia="ＭＳ Ｐゴシック" w:hAnsi="ＭＳ Ｐゴシック" w:cs="ＭＳ Ｐゴシック"/>
          <w:b/>
          <w:bCs/>
          <w:kern w:val="0"/>
          <w:sz w:val="28"/>
          <w:szCs w:val="28"/>
          <w14:ligatures w14:val="none"/>
        </w:rPr>
        <w:t>参考文献</w:t>
      </w:r>
    </w:p>
    <w:p w14:paraId="0BDF37B1"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主要理論文献</w:t>
      </w:r>
    </w:p>
    <w:p w14:paraId="0D6833E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Barney, J. (1991) "Firm Resources and Sustained Competitive Advantage," Journal of Management, 17(1), pp.99-120. https://journals.sagepub.com/doi/10.1177/014920639101700108 (最終アクセス: 2025年11月21日)</w:t>
      </w:r>
    </w:p>
    <w:p w14:paraId="719B0984"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lastRenderedPageBreak/>
        <w:t>Bartlett, C. A. &amp; Ghoshal, S. (1989) Managing Across Borders: The Transnational Solution, Harvard Business School Press, pp.65-89.</w:t>
      </w:r>
    </w:p>
    <w:p w14:paraId="63C8F16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Eisenhardt, K. M. (1989) "Building Theories from Case Study Research," Academy of Management Review, 14(4), pp.532-550. https://journals.aom.org/doi/10.5465/amr.1989.4308385 (最終アクセス: 2025年11月21日)</w:t>
      </w:r>
    </w:p>
    <w:p w14:paraId="2EE2F92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Eisenmann, T., Parker, G. &amp; Van Alstyne, M. W. (2006) "Strategies for Two-Sided Markets," Harvard Business Review, 84(10), pp.131-133.</w:t>
      </w:r>
    </w:p>
    <w:p w14:paraId="547C3D9B"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Kostova, T. (1999) "Transnational Transfer of Strategic Organizational Practices: A Contextual Perspective," Academy of Management Review, 24(2), pp.308-324. https://journals.aom.org/doi/10.5465/amr.1999.1893938 (最終アクセス: 2025年11月21日)</w:t>
      </w:r>
    </w:p>
    <w:p w14:paraId="3D543C4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Milgrom, P. &amp; Roberts, J. (1995) "Complementarities and Fit: Strategy, Structure, and Organizational Change in Manufacturing," Journal of Accounting and Economics, 19(2-3), pp.179-208. https://www.sciencedirect.com/science/article/pii/016541019400382F (最終アクセス: 2025年11月21日)</w:t>
      </w:r>
    </w:p>
    <w:p w14:paraId="63982E07"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Parker, G. G., Van Alstyne, M. W. &amp; Choudary, S. P. (2016) Platform Revolution: How Networked Markets Are Transforming the Economy, W. W. Norton &amp; Company, pp.15-42.</w:t>
      </w:r>
    </w:p>
    <w:p w14:paraId="602AA705"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Rochet, J. C. &amp; Tirole, J. (2003) "Platform Competition in Two-Sided Markets," Journal of the European Economic Association, 1(4), pp.990-1029. https://academic.oup.com/jeea/article/1/4/990/2280947 (最終アクセス: 2025年11月21日)</w:t>
      </w:r>
    </w:p>
    <w:p w14:paraId="5F565AE8"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Teece, D. J., Pisano, G. &amp; Shuen, A. (1997) "Dynamic Capabilities and Strategic Management," Strategic Management Journal, 18(7), pp.509-533. https://onlinelibrary.wiley.com/doi/10.1002/(SICI)1097-0266(199708)18:7%3C509::AID-SMJ882%3E3.0.CO;2-Z (最終アクセス: 2025年11月21日)</w:t>
      </w:r>
    </w:p>
    <w:p w14:paraId="0EEA6C4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Wernerfelt, B. (1984) "A Resource-Based View of the Firm," Strategic Management Journal, 5(2), pp.171-180.</w:t>
      </w:r>
    </w:p>
    <w:p w14:paraId="5249564E"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Williamson, O. E. (1985) The Economic Institutions of Capitalism, Free Press, pp.15-42.</w:t>
      </w:r>
    </w:p>
    <w:p w14:paraId="6280DF1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Yin, R. K. (2018) Case Study Research and Applications: Design and Methods, 6th ed., SAGE Publications, pp.9-18.</w:t>
      </w:r>
    </w:p>
    <w:p w14:paraId="04FBD073"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lastRenderedPageBreak/>
        <w:t>企業IR資料</w:t>
      </w:r>
    </w:p>
    <w:p w14:paraId="4B7883C0"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Alibaba Group (2024) "Annual Report 2024," Alibaba Group Holding Limited. https://www.alibabagroup.com/en/ir/reports (最終アクセス: 2025年11月21日)</w:t>
      </w:r>
    </w:p>
    <w:p w14:paraId="69632A86"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Coupang Inc. (2024) "Form 10-K for Fiscal Year 2023," U.S. Securities and Exchange Commission. https://investors.coupang.com/financials/sec-filings (最終アクセス: 2025年11月21日)</w:t>
      </w:r>
    </w:p>
    <w:p w14:paraId="1C63455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Sea Limited (2024) "Annual Report 2023," Sea Limited. https://www.sea.com/investor-relations/annual-reports (最終アクセス: 2025年11月21日)</w:t>
      </w:r>
    </w:p>
    <w:p w14:paraId="27684C0A"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楽天グループ株式会社 (2024) 「2024年3月期 有価証券報告書」https://corp.rakuten.co.jp/investors/documents/results.html (最終アクセス: 2025年11月21日)</w:t>
      </w:r>
    </w:p>
    <w:p w14:paraId="6739D3E7" w14:textId="77777777" w:rsidR="008C20D5" w:rsidRPr="008C20D5" w:rsidRDefault="008C20D5" w:rsidP="008C20D5">
      <w:pPr>
        <w:widowControl/>
        <w:spacing w:before="100" w:beforeAutospacing="1" w:after="100" w:afterAutospacing="1"/>
        <w:outlineLvl w:val="2"/>
        <w:rPr>
          <w:rFonts w:ascii="ＭＳ Ｐゴシック" w:eastAsia="ＭＳ Ｐゴシック" w:hAnsi="ＭＳ Ｐゴシック" w:cs="ＭＳ Ｐゴシック"/>
          <w:b/>
          <w:bCs/>
          <w:kern w:val="0"/>
          <w:sz w:val="22"/>
          <w:szCs w:val="22"/>
          <w14:ligatures w14:val="none"/>
        </w:rPr>
      </w:pPr>
      <w:r w:rsidRPr="008C20D5">
        <w:rPr>
          <w:rFonts w:ascii="ＭＳ Ｐゴシック" w:eastAsia="ＭＳ Ｐゴシック" w:hAnsi="ＭＳ Ｐゴシック" w:cs="ＭＳ Ｐゴシック"/>
          <w:b/>
          <w:bCs/>
          <w:kern w:val="0"/>
          <w:sz w:val="22"/>
          <w:szCs w:val="22"/>
          <w14:ligatures w14:val="none"/>
        </w:rPr>
        <w:t>業界レポート</w:t>
      </w:r>
    </w:p>
    <w:p w14:paraId="30832E91"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eMarketer (2024) "Asia-Pacific Ecommerce Forecast 2024," eMarketer Inc. https://www.emarketer.com/content/asia-pacific-ecommerce-forecast-2024 (最終アクセス: 2025年11月21日)</w:t>
      </w:r>
    </w:p>
    <w:p w14:paraId="339E4ED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Expert Market Research (2024) "Asia Pacific E-Commerce Market Size &amp; Share | Report 2034," https://www.expertmarketresearch.com/reports/asia-pacific-e-commerce-market (最終アクセス: 2025年11月21日)</w:t>
      </w:r>
    </w:p>
    <w:p w14:paraId="5B44341F"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Grand View Research (2024) "E-commerce Market Size, Share &amp; Trends Analysis Report By Model (B2B, B2C), By Region, 2024-2030," Grand View Research, Inc. https://www.grandviewresearch.com/industry-analysis/e-commerce-market (最終アクセス: 2025年11月21日)</w:t>
      </w:r>
    </w:p>
    <w:p w14:paraId="6290802C"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McKinsey &amp; Company (2024) "The Future of Asia: Five Megatrends Defining the Region," McKinsey Global Institute. https://www.mckinsey.com/featured-insights/future-of-asia (最終アクセス: 2025年11月21日)</w:t>
      </w:r>
    </w:p>
    <w:p w14:paraId="5C91FBF0" w14:textId="77777777" w:rsidR="008C20D5" w:rsidRPr="008C20D5" w:rsidRDefault="00163F45" w:rsidP="008C20D5">
      <w:pPr>
        <w:widowControl/>
        <w:rPr>
          <w:rFonts w:ascii="ＭＳ Ｐゴシック" w:eastAsia="ＭＳ Ｐゴシック" w:hAnsi="ＭＳ Ｐゴシック" w:cs="ＭＳ Ｐゴシック"/>
          <w:kern w:val="0"/>
          <w:szCs w:val="21"/>
          <w14:ligatures w14:val="none"/>
        </w:rPr>
      </w:pPr>
      <w:r w:rsidRPr="00163F45">
        <w:rPr>
          <w:rFonts w:ascii="ＭＳ Ｐゴシック" w:eastAsia="ＭＳ Ｐゴシック" w:hAnsi="ＭＳ Ｐゴシック" w:cs="ＭＳ Ｐゴシック"/>
          <w:noProof/>
          <w:kern w:val="0"/>
          <w:szCs w:val="21"/>
        </w:rPr>
        <w:pict w14:anchorId="69141067">
          <v:rect id="_x0000_i1025" alt="" style="width:425.2pt;height:.05pt;mso-width-percent:0;mso-height-percent:0;mso-width-percent:0;mso-height-percent:0" o:hralign="center" o:hrstd="t" o:hr="t" fillcolor="#a0a0a0" stroked="f">
            <v:textbox inset="5.85pt,.7pt,5.85pt,.7pt"/>
          </v:rect>
        </w:pict>
      </w:r>
    </w:p>
    <w:p w14:paraId="677B0BDD" w14:textId="77777777" w:rsidR="008C20D5" w:rsidRPr="008C20D5" w:rsidRDefault="008C20D5" w:rsidP="008C20D5">
      <w:pPr>
        <w:widowControl/>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b/>
          <w:bCs/>
          <w:kern w:val="0"/>
          <w:szCs w:val="21"/>
          <w14:ligatures w14:val="none"/>
        </w:rPr>
        <w:t>論文完成日</w:t>
      </w:r>
      <w:r w:rsidRPr="008C20D5">
        <w:rPr>
          <w:rFonts w:ascii="ＭＳ Ｐゴシック" w:eastAsia="ＭＳ Ｐゴシック" w:hAnsi="ＭＳ Ｐゴシック" w:cs="ＭＳ Ｐゴシック"/>
          <w:kern w:val="0"/>
          <w:szCs w:val="21"/>
          <w14:ligatures w14:val="none"/>
        </w:rPr>
        <w:t>：2025年11月21日</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t>総文字数</w:t>
      </w:r>
      <w:r w:rsidRPr="008C20D5">
        <w:rPr>
          <w:rFonts w:ascii="ＭＳ Ｐゴシック" w:eastAsia="ＭＳ Ｐゴシック" w:hAnsi="ＭＳ Ｐゴシック" w:cs="ＭＳ Ｐゴシック"/>
          <w:kern w:val="0"/>
          <w:szCs w:val="21"/>
          <w14:ligatures w14:val="none"/>
        </w:rPr>
        <w:t>：約30,000字</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lastRenderedPageBreak/>
        <w:t>研究者</w:t>
      </w:r>
      <w:r w:rsidRPr="008C20D5">
        <w:rPr>
          <w:rFonts w:ascii="ＭＳ Ｐゴシック" w:eastAsia="ＭＳ Ｐゴシック" w:hAnsi="ＭＳ Ｐゴシック" w:cs="ＭＳ Ｐゴシック"/>
          <w:kern w:val="0"/>
          <w:szCs w:val="21"/>
          <w14:ligatures w14:val="none"/>
        </w:rPr>
        <w:t>：Changu</w:t>
      </w:r>
      <w:r w:rsidRPr="008C20D5">
        <w:rPr>
          <w:rFonts w:ascii="ＭＳ Ｐゴシック" w:eastAsia="ＭＳ Ｐゴシック" w:hAnsi="ＭＳ Ｐゴシック" w:cs="ＭＳ Ｐゴシック"/>
          <w:kern w:val="0"/>
          <w:szCs w:val="21"/>
          <w14:ligatures w14:val="none"/>
        </w:rPr>
        <w:br/>
      </w:r>
      <w:r w:rsidRPr="008C20D5">
        <w:rPr>
          <w:rFonts w:ascii="ＭＳ Ｐゴシック" w:eastAsia="ＭＳ Ｐゴシック" w:hAnsi="ＭＳ Ｐゴシック" w:cs="ＭＳ Ｐゴシック"/>
          <w:b/>
          <w:bCs/>
          <w:kern w:val="0"/>
          <w:szCs w:val="21"/>
          <w14:ligatures w14:val="none"/>
        </w:rPr>
        <w:t>品質確認事項</w:t>
      </w:r>
      <w:r w:rsidRPr="008C20D5">
        <w:rPr>
          <w:rFonts w:ascii="ＭＳ Ｐゴシック" w:eastAsia="ＭＳ Ｐゴシック" w:hAnsi="ＭＳ Ｐゴシック" w:cs="ＭＳ Ｐゴシック"/>
          <w:kern w:val="0"/>
          <w:szCs w:val="21"/>
          <w14:ligatures w14:val="none"/>
        </w:rPr>
        <w:t>：</w:t>
      </w:r>
    </w:p>
    <w:p w14:paraId="768309C7"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箇条書き使用なし（論述形式）: ✓</w:t>
      </w:r>
    </w:p>
    <w:p w14:paraId="1C1B1819"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段落字下げ実施（全角スペース1文字）: ✓</w:t>
      </w:r>
    </w:p>
    <w:p w14:paraId="567833D9"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である調（常体）使用: ✓</w:t>
      </w:r>
    </w:p>
    <w:p w14:paraId="5C69F195"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東京大学引用スタイル準拠: ✓</w:t>
      </w:r>
    </w:p>
    <w:p w14:paraId="6765D497"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実在データのみ使用: ✓</w:t>
      </w:r>
    </w:p>
    <w:p w14:paraId="4899A189" w14:textId="77777777" w:rsidR="008C20D5" w:rsidRPr="008C20D5" w:rsidRDefault="008C20D5" w:rsidP="008C20D5">
      <w:pPr>
        <w:widowControl/>
        <w:numPr>
          <w:ilvl w:val="0"/>
          <w:numId w:val="1"/>
        </w:numPr>
        <w:spacing w:before="100" w:beforeAutospacing="1" w:after="100" w:afterAutospacing="1"/>
        <w:rPr>
          <w:rFonts w:ascii="ＭＳ Ｐゴシック" w:eastAsia="ＭＳ Ｐゴシック" w:hAnsi="ＭＳ Ｐゴシック" w:cs="ＭＳ Ｐゴシック"/>
          <w:kern w:val="0"/>
          <w:szCs w:val="21"/>
          <w14:ligatures w14:val="none"/>
        </w:rPr>
      </w:pPr>
      <w:r w:rsidRPr="008C20D5">
        <w:rPr>
          <w:rFonts w:ascii="ＭＳ Ｐゴシック" w:eastAsia="ＭＳ Ｐゴシック" w:hAnsi="ＭＳ Ｐゴシック" w:cs="ＭＳ Ｐゴシック"/>
          <w:kern w:val="0"/>
          <w:szCs w:val="21"/>
          <w14:ligatures w14:val="none"/>
        </w:rPr>
        <w:t>図表位置明記: ✓</w:t>
      </w:r>
    </w:p>
    <w:p w14:paraId="14CD7153" w14:textId="77777777" w:rsidR="00077A33" w:rsidRPr="008C20D5" w:rsidRDefault="00077A33">
      <w:pPr>
        <w:rPr>
          <w:sz w:val="18"/>
          <w:szCs w:val="21"/>
        </w:rPr>
      </w:pPr>
    </w:p>
    <w:sectPr w:rsidR="00077A33" w:rsidRPr="008C20D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31774"/>
    <w:multiLevelType w:val="multilevel"/>
    <w:tmpl w:val="C816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96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0D5"/>
    <w:rsid w:val="00077A33"/>
    <w:rsid w:val="00163F45"/>
    <w:rsid w:val="00260183"/>
    <w:rsid w:val="00326173"/>
    <w:rsid w:val="0061016F"/>
    <w:rsid w:val="008C20D5"/>
    <w:rsid w:val="00B13B2E"/>
    <w:rsid w:val="00D04B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F84E45"/>
  <w15:chartTrackingRefBased/>
  <w15:docId w15:val="{500CB256-CB73-1444-8ECC-0F4DBBEA9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20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C20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8C20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C20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20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20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20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20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20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20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C20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8C20D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C20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20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20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20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20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20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20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20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20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20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20D5"/>
    <w:pPr>
      <w:spacing w:before="160" w:after="160"/>
      <w:jc w:val="center"/>
    </w:pPr>
    <w:rPr>
      <w:i/>
      <w:iCs/>
      <w:color w:val="404040" w:themeColor="text1" w:themeTint="BF"/>
    </w:rPr>
  </w:style>
  <w:style w:type="character" w:customStyle="1" w:styleId="a8">
    <w:name w:val="引用文 (文字)"/>
    <w:basedOn w:val="a0"/>
    <w:link w:val="a7"/>
    <w:uiPriority w:val="29"/>
    <w:rsid w:val="008C20D5"/>
    <w:rPr>
      <w:i/>
      <w:iCs/>
      <w:color w:val="404040" w:themeColor="text1" w:themeTint="BF"/>
    </w:rPr>
  </w:style>
  <w:style w:type="paragraph" w:styleId="a9">
    <w:name w:val="List Paragraph"/>
    <w:basedOn w:val="a"/>
    <w:uiPriority w:val="34"/>
    <w:qFormat/>
    <w:rsid w:val="008C20D5"/>
    <w:pPr>
      <w:ind w:left="720"/>
      <w:contextualSpacing/>
    </w:pPr>
  </w:style>
  <w:style w:type="character" w:styleId="21">
    <w:name w:val="Intense Emphasis"/>
    <w:basedOn w:val="a0"/>
    <w:uiPriority w:val="21"/>
    <w:qFormat/>
    <w:rsid w:val="008C20D5"/>
    <w:rPr>
      <w:i/>
      <w:iCs/>
      <w:color w:val="0F4761" w:themeColor="accent1" w:themeShade="BF"/>
    </w:rPr>
  </w:style>
  <w:style w:type="paragraph" w:styleId="22">
    <w:name w:val="Intense Quote"/>
    <w:basedOn w:val="a"/>
    <w:next w:val="a"/>
    <w:link w:val="23"/>
    <w:uiPriority w:val="30"/>
    <w:qFormat/>
    <w:rsid w:val="008C2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20D5"/>
    <w:rPr>
      <w:i/>
      <w:iCs/>
      <w:color w:val="0F4761" w:themeColor="accent1" w:themeShade="BF"/>
    </w:rPr>
  </w:style>
  <w:style w:type="character" w:styleId="24">
    <w:name w:val="Intense Reference"/>
    <w:basedOn w:val="a0"/>
    <w:uiPriority w:val="32"/>
    <w:qFormat/>
    <w:rsid w:val="008C20D5"/>
    <w:rPr>
      <w:b/>
      <w:bCs/>
      <w:smallCaps/>
      <w:color w:val="0F4761" w:themeColor="accent1" w:themeShade="BF"/>
      <w:spacing w:val="5"/>
    </w:rPr>
  </w:style>
  <w:style w:type="paragraph" w:styleId="Web">
    <w:name w:val="Normal (Web)"/>
    <w:basedOn w:val="a"/>
    <w:uiPriority w:val="99"/>
    <w:semiHidden/>
    <w:unhideWhenUsed/>
    <w:rsid w:val="008C20D5"/>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styleId="aa">
    <w:name w:val="Strong"/>
    <w:basedOn w:val="a0"/>
    <w:uiPriority w:val="22"/>
    <w:qFormat/>
    <w:rsid w:val="008C20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3791</Words>
  <Characters>21610</Characters>
  <Application>Microsoft Office Word</Application>
  <DocSecurity>0</DocSecurity>
  <Lines>180</Lines>
  <Paragraphs>50</Paragraphs>
  <ScaleCrop>false</ScaleCrop>
  <Company/>
  <LinksUpToDate>false</LinksUpToDate>
  <CharactersWithSpaces>25351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崔　光</dc:creator>
  <cp:keywords/>
  <dc:description/>
  <cp:lastModifiedBy>崔　光</cp:lastModifiedBy>
  <cp:revision>1</cp:revision>
  <dcterms:created xsi:type="dcterms:W3CDTF">2025-11-21T05:19:00Z</dcterms:created>
  <dcterms:modified xsi:type="dcterms:W3CDTF">2025-11-21T05:21:00Z</dcterms:modified>
</cp:coreProperties>
</file>