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4C446" w14:textId="77777777" w:rsidR="00454687" w:rsidRPr="00454687" w:rsidRDefault="00454687" w:rsidP="00454687">
      <w:pPr>
        <w:widowControl/>
        <w:spacing w:before="100" w:beforeAutospacing="1" w:after="100" w:afterAutospacing="1"/>
        <w:outlineLvl w:val="0"/>
        <w:rPr>
          <w:rFonts w:ascii="ＭＳ 明朝" w:eastAsia="ＭＳ 明朝" w:hAnsi="ＭＳ 明朝" w:cs="ＭＳ Ｐゴシック"/>
          <w:b/>
          <w:bCs/>
          <w:kern w:val="36"/>
          <w:sz w:val="40"/>
          <w:szCs w:val="40"/>
          <w14:ligatures w14:val="none"/>
        </w:rPr>
      </w:pPr>
      <w:r w:rsidRPr="00454687">
        <w:rPr>
          <w:rFonts w:ascii="ＭＳ 明朝" w:eastAsia="ＭＳ 明朝" w:hAnsi="ＭＳ 明朝" w:cs="ＭＳ Ｐゴシック"/>
          <w:b/>
          <w:bCs/>
          <w:kern w:val="36"/>
          <w:sz w:val="40"/>
          <w:szCs w:val="40"/>
          <w14:ligatures w14:val="none"/>
        </w:rPr>
        <w:t>アジア太平洋E-commerce市場における事業戦略の構造的差異</w:t>
      </w:r>
    </w:p>
    <w:p w14:paraId="07BA5DDE" w14:textId="77777777" w:rsidR="00454687" w:rsidRPr="00454687" w:rsidRDefault="00454687" w:rsidP="00454687">
      <w:pPr>
        <w:widowControl/>
        <w:spacing w:before="100" w:beforeAutospacing="1" w:after="100" w:afterAutospacing="1"/>
        <w:outlineLvl w:val="1"/>
        <w:rPr>
          <w:rFonts w:ascii="ＭＳ 明朝" w:eastAsia="ＭＳ 明朝" w:hAnsi="ＭＳ 明朝" w:cs="ＭＳ Ｐゴシック"/>
          <w:b/>
          <w:bCs/>
          <w:kern w:val="0"/>
          <w:sz w:val="28"/>
          <w:szCs w:val="28"/>
          <w14:ligatures w14:val="none"/>
        </w:rPr>
      </w:pPr>
      <w:r w:rsidRPr="00454687">
        <w:rPr>
          <w:rFonts w:ascii="ＭＳ 明朝" w:eastAsia="ＭＳ 明朝" w:hAnsi="ＭＳ 明朝" w:cs="ＭＳ Ｐゴシック"/>
          <w:b/>
          <w:bCs/>
          <w:kern w:val="0"/>
          <w:sz w:val="28"/>
          <w:szCs w:val="28"/>
          <w14:ligatures w14:val="none"/>
        </w:rPr>
        <w:t>市場成熟度が生み出す戦略パターンの多様性と適合性</w:t>
      </w:r>
    </w:p>
    <w:p w14:paraId="13AFB61D"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b/>
          <w:bCs/>
          <w:kern w:val="0"/>
          <w:szCs w:val="21"/>
          <w14:ligatures w14:val="none"/>
        </w:rPr>
        <w:t>完全版学術論文（30,000字）</w:t>
      </w:r>
      <w:r w:rsidRPr="00454687">
        <w:rPr>
          <w:rFonts w:ascii="ＭＳ 明朝" w:eastAsia="ＭＳ 明朝" w:hAnsi="ＭＳ 明朝" w:cs="ＭＳ Ｐゴシック"/>
          <w:kern w:val="0"/>
          <w:szCs w:val="21"/>
          <w14:ligatures w14:val="none"/>
        </w:rPr>
        <w:br/>
      </w:r>
      <w:r w:rsidRPr="00454687">
        <w:rPr>
          <w:rFonts w:ascii="ＭＳ 明朝" w:eastAsia="ＭＳ 明朝" w:hAnsi="ＭＳ 明朝" w:cs="ＭＳ Ｐゴシック"/>
          <w:b/>
          <w:bCs/>
          <w:kern w:val="0"/>
          <w:szCs w:val="21"/>
          <w14:ligatures w14:val="none"/>
        </w:rPr>
        <w:t>作成日</w:t>
      </w:r>
      <w:r w:rsidRPr="00454687">
        <w:rPr>
          <w:rFonts w:ascii="ＭＳ 明朝" w:eastAsia="ＭＳ 明朝" w:hAnsi="ＭＳ 明朝" w:cs="ＭＳ Ｐゴシック"/>
          <w:kern w:val="0"/>
          <w:szCs w:val="21"/>
          <w14:ligatures w14:val="none"/>
        </w:rPr>
        <w:t>：2025年11月22日</w:t>
      </w:r>
      <w:r w:rsidRPr="00454687">
        <w:rPr>
          <w:rFonts w:ascii="ＭＳ 明朝" w:eastAsia="ＭＳ 明朝" w:hAnsi="ＭＳ 明朝" w:cs="ＭＳ Ｐゴシック"/>
          <w:kern w:val="0"/>
          <w:szCs w:val="21"/>
          <w14:ligatures w14:val="none"/>
        </w:rPr>
        <w:br/>
      </w:r>
      <w:r w:rsidRPr="00454687">
        <w:rPr>
          <w:rFonts w:ascii="ＭＳ 明朝" w:eastAsia="ＭＳ 明朝" w:hAnsi="ＭＳ 明朝" w:cs="ＭＳ Ｐゴシック"/>
          <w:b/>
          <w:bCs/>
          <w:kern w:val="0"/>
          <w:szCs w:val="21"/>
          <w14:ligatures w14:val="none"/>
        </w:rPr>
        <w:t>研究者</w:t>
      </w:r>
      <w:r w:rsidRPr="00454687">
        <w:rPr>
          <w:rFonts w:ascii="ＭＳ 明朝" w:eastAsia="ＭＳ 明朝" w:hAnsi="ＭＳ 明朝" w:cs="ＭＳ Ｐゴシック"/>
          <w:kern w:val="0"/>
          <w:szCs w:val="21"/>
          <w14:ligatures w14:val="none"/>
        </w:rPr>
        <w:t>：Changu</w:t>
      </w:r>
      <w:r w:rsidRPr="00454687">
        <w:rPr>
          <w:rFonts w:ascii="ＭＳ 明朝" w:eastAsia="ＭＳ 明朝" w:hAnsi="ＭＳ 明朝" w:cs="ＭＳ Ｐゴシック"/>
          <w:kern w:val="0"/>
          <w:szCs w:val="21"/>
          <w14:ligatures w14:val="none"/>
        </w:rPr>
        <w:br/>
      </w:r>
      <w:r w:rsidRPr="00454687">
        <w:rPr>
          <w:rFonts w:ascii="ＭＳ 明朝" w:eastAsia="ＭＳ 明朝" w:hAnsi="ＭＳ 明朝" w:cs="ＭＳ Ｐゴシック"/>
          <w:b/>
          <w:bCs/>
          <w:kern w:val="0"/>
          <w:szCs w:val="21"/>
          <w14:ligatures w14:val="none"/>
        </w:rPr>
        <w:t>研究期間</w:t>
      </w:r>
      <w:r w:rsidRPr="00454687">
        <w:rPr>
          <w:rFonts w:ascii="ＭＳ 明朝" w:eastAsia="ＭＳ 明朝" w:hAnsi="ＭＳ 明朝" w:cs="ＭＳ Ｐゴシック"/>
          <w:kern w:val="0"/>
          <w:szCs w:val="21"/>
          <w14:ligatures w14:val="none"/>
        </w:rPr>
        <w:t>：2025年11月20日〜2025年12月20日</w:t>
      </w:r>
    </w:p>
    <w:p w14:paraId="56EA2D4F" w14:textId="77777777" w:rsidR="00454687" w:rsidRPr="00454687" w:rsidRDefault="00F7669B" w:rsidP="00454687">
      <w:pPr>
        <w:widowControl/>
        <w:rPr>
          <w:rFonts w:ascii="ＭＳ 明朝" w:eastAsia="ＭＳ 明朝" w:hAnsi="ＭＳ 明朝" w:cs="ＭＳ Ｐゴシック"/>
          <w:kern w:val="0"/>
          <w:szCs w:val="21"/>
          <w14:ligatures w14:val="none"/>
        </w:rPr>
      </w:pPr>
      <w:r>
        <w:rPr>
          <w:noProof/>
        </w:rPr>
      </w:r>
      <w:r>
        <w:pict w14:anchorId="567F54B3">
          <v:rect id="Horizontal Line 1" o:spid="_x0000_s103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" filled="f">
            <o:lock v:ext="edit" rotation="t" aspectratio="t" verticies="t" text="t" shapetype="t"/>
            <w10:anchorlock/>
          </v:rect>
        </w:pict>
      </w:r>
    </w:p>
    <w:p w14:paraId="70D90112" w14:textId="77777777" w:rsidR="00454687" w:rsidRPr="00454687" w:rsidRDefault="00454687" w:rsidP="00454687">
      <w:pPr>
        <w:widowControl/>
        <w:spacing w:before="100" w:beforeAutospacing="1" w:after="100" w:afterAutospacing="1"/>
        <w:outlineLvl w:val="1"/>
        <w:rPr>
          <w:rFonts w:ascii="ＭＳ 明朝" w:eastAsia="ＭＳ 明朝" w:hAnsi="ＭＳ 明朝" w:cs="ＭＳ Ｐゴシック"/>
          <w:b/>
          <w:bCs/>
          <w:kern w:val="0"/>
          <w:sz w:val="28"/>
          <w:szCs w:val="28"/>
          <w14:ligatures w14:val="none"/>
        </w:rPr>
      </w:pPr>
      <w:r w:rsidRPr="00454687">
        <w:rPr>
          <w:rFonts w:ascii="ＭＳ 明朝" w:eastAsia="ＭＳ 明朝" w:hAnsi="ＭＳ 明朝" w:cs="ＭＳ Ｐゴシック"/>
          <w:b/>
          <w:bCs/>
          <w:kern w:val="0"/>
          <w:sz w:val="28"/>
          <w:szCs w:val="28"/>
          <w14:ligatures w14:val="none"/>
        </w:rPr>
        <w:t>第1部：研究の背景と目的</w:t>
      </w:r>
    </w:p>
    <w:p w14:paraId="500AF36B"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t>1.1. 問題意識</w:t>
      </w:r>
    </w:p>
    <w:p w14:paraId="4F292EA8"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現代のグローバル・ビジネスにおいて、E-commerceは経済活動の中核的な構成要素となっている。特にアジア太平洋地域は、世界のE-commerce市場の最大の成長エンジンとして注目を集めている。Expert Market Researchの報告によれば、アジア太平洋地域のE-commerce市場規模は2024年時点で2.90兆米ドルに達し、2034年までに9.67兆米ドルへ拡大すると予測されており、年平均成長率12.8パーセントという高い成長軌道を描いている（Expert Market Research, 2024）。Grand View Researchの分析では、アジア太平洋地域が2023年時点で世界E-commerce市場全体の38.5パーセントを占めており、グローバル市場における支配的地位を確立していることが明らかになっている（Grand View Research, 2024）。</w:t>
      </w:r>
    </w:p>
    <w:p w14:paraId="79EFB440"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しかしながら、「アジア太平洋E-commerce市場」という単一の概念でこの広大な地域を捉えることは、重要な戦略的差異を見落とす危険性をはらんでいる。中国は既に超成熟市場として飽和に近い状態にあり、デジタル決済浸透率が90パーセントを超え、O2O（Online to Offline）統合が日常生活の隅々まで浸透している。韓国もまた、Coupangの「ロケット配送」に代表される極めて高度な物流インフラと、Naverに象徴される独自のプラットフォーム・エコシステムを確立している。他方、インドは2024年に小売売上高が9.5パーセント増加すると予測され、世界で三番目に成長が速い小売市場として急速な拡大を続けている（Acceleration Partners, 2024）。東南アジアASEAN-6諸国は、</w:t>
      </w:r>
      <w:r w:rsidRPr="00454687">
        <w:rPr>
          <w:rFonts w:ascii="ＭＳ 明朝" w:eastAsia="ＭＳ 明朝" w:hAnsi="ＭＳ 明朝" w:cs="ＭＳ Ｐゴシック"/>
          <w:kern w:val="0"/>
          <w:szCs w:val="21"/>
          <w14:ligatures w14:val="none"/>
        </w:rPr>
        <w:lastRenderedPageBreak/>
        <w:t>Shopee、Lazada、TikTok Shopといった多様なプラットフォームが競合する、極めてダイナミックな市場環境を形成している。</w:t>
      </w:r>
    </w:p>
    <w:p w14:paraId="7BE2F78D"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この顕著な市場間の異質性は、企業の事業戦略にどのような含意をもたらすのか。中国で成功した戦略モデルは、そのままインドや東南アジアに適用可能なのか。市場成熟度の違いは、プラットフォーム企業が採用すべき垂直統合度やエコシステム開放度にどのような影響を与えるのか。さらに、D2C（Direct-to-Consumer）ブランドは、異なる市場層においてどのような成長軌道を選択すべきなのか。これらの問いは、単なる実務的課題にとどまらず、国際経営戦略論における理論的探究の対象となる重要な研究課題である。</w:t>
      </w:r>
    </w:p>
    <w:p w14:paraId="4D3FE99D"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t>1.2. 既存研究の限界</w:t>
      </w:r>
    </w:p>
    <w:p w14:paraId="27F1FC96"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プラットフォーム・ビジネスモデルに関する既存研究は、主として先進国市場を前提として理論構築が行われてきた。Rochet &amp; Tirole（2003）の双方向市場理論は、プラットフォームが二つ以上の異なる顧客グループを結びつけ、相互の価値を増幅させるメカニズムを説明した画期的な理論的貢献であった（Rochet &amp; Tirole, 2003, pp.990-1029）。Parker, Van Alstyne &amp; Choudary（2016）は、プラットフォームが「パイプライン型ビジネス」から「プラットフォーム型ビジネス」への転換を主導する革命的な力であることを論じた（Parker et al., 2016, pp.15-42）。しかし、これらの理論的枠組みは、市場成熟度という変数を明示的に考慮しておらず、アジア太平洋地域のような発展段階の異なる市場が並存する状況における戦略的選択を十分に説明できない。</w:t>
      </w:r>
    </w:p>
    <w:p w14:paraId="0973C416"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国際経営戦略論においては、Bartlett &amp; Ghoshal（1989）の古典的研究が、多国籍企業の戦略を「グローバル統合」と「ローカル適応」という二次元で分類した（Bartlett &amp; Ghoshal, 1989, pp.65-89）。この枠組みは長年にわたり国際戦略の分析に広く用いられてきたが、デジタル・プラットフォーム時代における戦略的選択の複雑性を捉えるには限界がある。特に、プラットフォーム企業が直面する垂直統合とエコシステム開放のトレードオフ、あるいは市場成長率と収益性のバランスといった、現代的な戦略ジレンマに対する理論的解答を提供していない。</w:t>
      </w:r>
    </w:p>
    <w:p w14:paraId="39363F4F"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さらに、制度的距離理論（Kostova, 1999）は、多国籍企業が異なる制度環境に適応する際の課題を理論化したが、同一地域内における市場成熟度の差異という文脈での適用は十分に検討されていない（Kostova, 1999, pp.308-324）。動的能力理論（Teece, Pisano &amp; Shuen, 1997）は、環境変化に対する組織の適応能力を説明したが、急速に変化するデジタル市場における具体的な戦略選択パターンの実証的研究は限定的である（Teece et al., 1997, pp.509-533）。</w:t>
      </w:r>
    </w:p>
    <w:p w14:paraId="71277FD4"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lastRenderedPageBreak/>
        <w:t xml:space="preserve">　このような理論的空白は、実務的にも深刻な問題を引き起こしている。多くの国際的E-commerce企業は、先進市場で成功した戦略モデルを新興市場にそのまま適用しようとして失敗している。例えば、Amazonは中国市場において、米国で成功したFBA（Fulfillment by Amazon）モデルを展開したが、Alibaba/Tmallの圧倒的な市場支配力と中国独自の商習慣の前に苦戦を強いられた。他方、中国のプラットフォーム企業が海外展開する際にも、自国で成功した戦略が必ずしも他のアジア市場で通用しないという課題に直面している。</w:t>
      </w:r>
    </w:p>
    <w:p w14:paraId="135FE8D2"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t>1.3. 研究目的とリサーチクエスチョン</w:t>
      </w:r>
    </w:p>
    <w:p w14:paraId="61737D0E"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本研究の目的は、アジア太平洋E-commerce市場における市場成熟度の差異が、プラットフォーム企業の事業戦略パターンとD2Cブランドの成長軌道にどのような構造的差異をもたらすのかを、実証的に解明することである。具体的には、以下の統合的リサーチクエスチョン（RQ）とサブRQに答えることを目指す。</w:t>
      </w:r>
    </w:p>
    <w:p w14:paraId="269167D7"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統合RQ：アジア太平洋E-commerce市場における市場成熟度の差異（中国・韓国の超成熟市場 vs インドの急成長市場 vs 東南アジアの新興市場）は、プラットフォーム企業の事業戦略パターン（垂直統合 vs エコシステム戦略 vs ハイブリッド）とD2Cブランドの成長軌道（収益性 vs 市場シェア重視）にどのような構造的差異をもたらすのか。</w:t>
      </w:r>
    </w:p>
    <w:p w14:paraId="33497035"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SRQ1：プラットフォーム企業の事業戦略パターンは、市場成熟度によってどのように異なるのか。具体的には、垂直統合度（物流、決済、マーケティング、技術インフラの自社保有度）、エコシステム開放度（サードパーティ販売者比率、API開放度、データ共有度）、収益モデル構成（マーケットプレイス手数料 vs 1P販売 vs 広告/RMN）において、どのような戦略選択パターンが観察されるのか。</w:t>
      </w:r>
    </w:p>
    <w:p w14:paraId="23627793"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SRQ2：D2Cブランドの成長軌道（収益成長 vs 収益性）は、市場成熟度によってどのような構造的差異を示すのか。成長速度と収益性のトレードオフ、プラットフォーム依存度（独立 vs 依存 vs ハイブリッド）、市場浸透戦略（広告主導 vs インフルエンサー主導 vs オムニチャネル）において、どのようなパターンが見出されるのか。</w:t>
      </w:r>
    </w:p>
    <w:p w14:paraId="1391FF79"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SRQ3：市場成熟度と戦略パターンの適合性は、既存理論によってどのように説明されるのか。制度的距離理論（Kostova, 1999）、ダイナミック・ケイパビリティ理論（Teece et al., 1997）、組織的相補性理論（Milgrom &amp; Roberts, 1995）は、観察された戦略パターンの差異をどの程度説明できるのか。</w:t>
      </w:r>
    </w:p>
    <w:p w14:paraId="630279DB"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t>1.4. 研究の意義</w:t>
      </w:r>
    </w:p>
    <w:p w14:paraId="7109A989"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本研究は、学術的および実務的に以下の重要な貢献をもたらす。</w:t>
      </w:r>
    </w:p>
    <w:p w14:paraId="1AB9EAF4"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lastRenderedPageBreak/>
        <w:t xml:space="preserve">　学術的には、第一に、既存のプラットフォーム理論に「市場成熟度」という重要な変数を導入することで、理論の文脈依存性を明示化する。Rochet &amp; Tirole（2003）やParker et al.（2016）のプラットフォーム理論は普遍的メカニズムを説明したが、本研究は市場発展段階によって最適戦略が異なることを実証的に示す。第二に、Bartlett &amp; Ghoshal（1989）の国際経営戦略論における「グローバル統合 vs ローカル適応」の二分法を超え、市場成熟度に応じた段階的適応モデルという、より精緻化された理論的枠組みを提示する。第三に、制度的距離理論とダイナミック・ケイパビリティ理論を統合し、市場成熟度×戦略パターンの適合性フレームワークを構築する。第四に、複数ケーススタディ法による深層的分析を通じて、戦略選択の因果メカニズムを解明し、理論構築に寄与する。</w:t>
      </w:r>
    </w:p>
    <w:p w14:paraId="6977419E"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実務的には、第一に、アジア太平洋市場への参入・拡大を検討する企業に対して、市場層別の戦略選択ガイドラインを提供する。特に、「中国で成功した戦略がインドでも成功するか」「東南アジアで採用すべき最適戦略は何か」という実務的問いに、理論的根拠に基づいた解答を提示する。第二に、プラットフォーム依存度の高いD2Cブランドに対して、市場成熟度に応じた最適戦略（独立 vs 依存 vs ハイブリッド）の判断基準を明示する。第三に、投資家・アナリストに対して、アジア太平洋E-commerce企業の評価フレームワーク（市場成熟度×戦略適合性）を提供する。第四に、政策立案者に対して、市場発展段階に応じた規制政策と産業育成策の指針を示唆する。</w:t>
      </w:r>
    </w:p>
    <w:p w14:paraId="1F1D4655"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t>1.5. 論文の構成</w:t>
      </w:r>
    </w:p>
    <w:p w14:paraId="411FEEFD"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本論文の構成は以下の通りである。第1部では研究の背景と目的を述べ、問題意識、既存研究の限界、リサーチクエスチョン、研究の意義を提示した。第2部では先行研究をレビューし、プラットフォーム理論、国際経営戦略論、資源ベース理論、取引コスト経済学の理論的基盤を整理する。第3部では本研究の方法論として、複数ケーススタディ法のデザイン、データ収集戦略、分析手法、妥当性確保の方策を説明する。第4部ではプラットフォーム企業の実証分析として、市場層別の企業内分析とクロスケース分析の結果を提示する。第5部では理論的考察として、市場成熟度×戦略適合性の新理論を構築する。第6部では学術的・実務的インプリケーションを論じ、研究の限界を明示する。第7部で本研究の結論、理論的貢献の再確認、今後の研究課題を述べる。</w:t>
      </w:r>
    </w:p>
    <w:p w14:paraId="01203E06" w14:textId="77777777" w:rsidR="00454687" w:rsidRPr="00454687" w:rsidRDefault="00F7669B" w:rsidP="00454687">
      <w:pPr>
        <w:widowControl/>
        <w:rPr>
          <w:rFonts w:ascii="ＭＳ 明朝" w:eastAsia="ＭＳ 明朝" w:hAnsi="ＭＳ 明朝" w:cs="ＭＳ Ｐゴシック"/>
          <w:kern w:val="0"/>
          <w:szCs w:val="21"/>
          <w14:ligatures w14:val="none"/>
        </w:rPr>
      </w:pPr>
      <w:r w:rsidRPr="00F7669B">
        <w:rPr>
          <w:rFonts w:ascii="ＭＳ 明朝" w:eastAsia="ＭＳ 明朝" w:hAnsi="ＭＳ 明朝" w:cs="ＭＳ Ｐゴシック"/>
          <w:noProof/>
          <w:kern w:val="0"/>
          <w:szCs w:val="21"/>
        </w:rPr>
        <w:pict w14:anchorId="266AAE11">
          <v:rect id="_x0000_i1032" alt="" style="width:425.2pt;height:.05pt;mso-width-percent:0;mso-height-percent:0;mso-width-percent:0;mso-height-percent:0" o:hralign="center" o:hrstd="t" o:hr="t" fillcolor="#a0a0a0" stroked="f">
            <v:textbox inset="5.85pt,.7pt,5.85pt,.7pt"/>
          </v:rect>
        </w:pict>
      </w:r>
    </w:p>
    <w:p w14:paraId="4CF8250D" w14:textId="77777777" w:rsidR="00454687" w:rsidRPr="00454687" w:rsidRDefault="00454687" w:rsidP="00454687">
      <w:pPr>
        <w:widowControl/>
        <w:spacing w:before="100" w:beforeAutospacing="1" w:after="100" w:afterAutospacing="1"/>
        <w:outlineLvl w:val="1"/>
        <w:rPr>
          <w:rFonts w:ascii="ＭＳ 明朝" w:eastAsia="ＭＳ 明朝" w:hAnsi="ＭＳ 明朝" w:cs="ＭＳ Ｐゴシック"/>
          <w:b/>
          <w:bCs/>
          <w:kern w:val="0"/>
          <w:sz w:val="28"/>
          <w:szCs w:val="28"/>
          <w14:ligatures w14:val="none"/>
        </w:rPr>
      </w:pPr>
      <w:r w:rsidRPr="00454687">
        <w:rPr>
          <w:rFonts w:ascii="ＭＳ 明朝" w:eastAsia="ＭＳ 明朝" w:hAnsi="ＭＳ 明朝" w:cs="ＭＳ Ｐゴシック"/>
          <w:b/>
          <w:bCs/>
          <w:kern w:val="0"/>
          <w:sz w:val="28"/>
          <w:szCs w:val="28"/>
          <w14:ligatures w14:val="none"/>
        </w:rPr>
        <w:t>第2部：先行研究レビューと理論的基盤</w:t>
      </w:r>
    </w:p>
    <w:p w14:paraId="66B23864"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t>2.1. プラットフォーム・ビジネスモデル理論</w:t>
      </w:r>
    </w:p>
    <w:p w14:paraId="5E2A435F"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lastRenderedPageBreak/>
        <w:t xml:space="preserve">　プラットフォーム・ビジネスモデルの理論的基盤は、双方向市場（Two-Sided Markets）理論に遡る。Rochet &amp; Tirole（2003）は、プラットフォームが二つ以上の異なる顧客グループを仲介し、間接的ネットワーク効果（indirect network effects）を生み出すメカニズムを理論化した（Rochet &amp; Tirole, 2003, pp.990-1029）。この理論によれば、プラットフォームの価値は、一方の顧客グループの参加が他方のグループにとっての価値を高めるという相互依存関係によって決定される。例えば、E-commerceプラットフォームにおいては、販売者の増加が消費者にとっての選択肢を増やし、消費者の増加が販売者にとっての潜在顧客を拡大する。</w:t>
      </w:r>
    </w:p>
    <w:p w14:paraId="166774B2"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Parker, Van Alstyne &amp; Choudary（2016）は、プラットフォーム革命がもたらす経済的・社会的変革を包括的に分析した（Parker et al., 2016, pp.15-42）。彼らは、従来の「パイプライン型ビジネス」が製品やサービスを一方向的に提供するのに対し、「プラットフォーム型ビジネス」は参加者間の相互作用を促進することで価値を創造すると論じた。この視点は、E-commerceプラットフォームの戦略分析において極めて重要である。なぜなら、プラットフォームの競争優位は、単に製品やサービスの質だけでなく、エコシステム全体の健全性と成長性に依存するからである。</w:t>
      </w:r>
    </w:p>
    <w:p w14:paraId="19F49AB2"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Eisenmann, Parker &amp; Van Alstyne（2006）は、プラットフォーム戦略の中核的課題として「ネットワーク効果の管理」を提示した（Eisenmann et al., 2006, pp.131-133）。彼らは、プラットフォームが直面する「鶏と卵の問題」（chicken-and-egg problem）、すなわち、販売者を集めるには消費者が必要であり、消費者を集めるには販売者が必要であるというジレンマを解決するための戦略的選択肢を論じた。この課題は、特に新規市場参入時において決定的に重要である。</w:t>
      </w:r>
    </w:p>
    <w:p w14:paraId="57DF63D2"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Gawer &amp; Cusumano（2014）は、プラットフォーム・リーダーシップという概念を提示し、プラットフォーム企業が補完的資産を選択的に統合することで競争優位を構築するメカニズムを説明した（Gawer &amp; Cusumano, 2014, pp.417-433）。この視点は、本研究が焦点を当てる垂直統合とエコシステム開放のハイブリッド戦略を理解する上で重要な理論的基盤を提供する。</w:t>
      </w:r>
    </w:p>
    <w:p w14:paraId="3005623B"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しかしながら、これらの理論的貢献には重要な限界がある。第一に、既存研究は主として先進国市場を前提としており、発展段階の異なる市場における戦略的差異を十分に考慮していない。第二に、プラットフォーム戦略の「垂直統合 vs エコシステム開放」という戦略選択のトレードオフについて、市場成熟度がどのように影響するかという問いに答えていない。第三に、プラットフォーム理論は普遍的メカニズムの解明に焦点を当てており、文脈特殊的な戦略適合性の実証的研究が不足している。</w:t>
      </w:r>
    </w:p>
    <w:p w14:paraId="59963D56"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lastRenderedPageBreak/>
        <w:t>2.2. 国際経営戦略論と組織適応</w:t>
      </w:r>
    </w:p>
    <w:p w14:paraId="73BBE627"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国際経営戦略論における古典的枠組みは、Bartlett &amp; Ghoshal（1989）の多国籍企業類型論である（Bartlett &amp; Ghoshal, 1989, pp.65-89）。彼らは、多国籍企業の戦略を「グローバル統合の程度」と「ローカル適応の程度」という二次元で分類し、「国際企業」「多国籍企業」「グローバル企業」「トランスナショナル企業」という四類型を提示した。この枠組みは、企業が直面する「効率性」と「適応性」のトレードオフを明確化した点で画期的であった。</w:t>
      </w:r>
    </w:p>
    <w:p w14:paraId="0A79652D"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Kostova（1999）の制度的距離理論は、多国籍企業が異なる制度環境に適応する際の課題を理論化した（Kostova, 1999, pp.308-324）。彼女は、制度的距離を「規制的距離」「規範的距離」「認知的距離」という三次元で捉え、距離が大きいほど適応コストが高まることを示した。この理論は、アジア太平洋市場における戦略的差異を説明する上で有用な視点を提供する。なぜなら、中国、インド、東南アジアは、規制環境、商習慣、消費者行動において顕著な差異を示すからである。</w:t>
      </w:r>
    </w:p>
    <w:p w14:paraId="6E2B1E53"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Teece, Pisano &amp; Shuen（1997）の動的能力理論は、急速に変化する環境において企業が競争優位を維持するためのメカニズムを説明した（Teece et al., 1997, pp.509-533）。動的能力とは、組織が環境変化を感知し（sensing）、機会を捕捉し（seizing）、資源基盤を変容させる（transforming）能力を指す。この理論は、デジタル市場の急速な変化に適応するプラットフォーム企業の戦略分析において特に適切である。</w:t>
      </w:r>
    </w:p>
    <w:p w14:paraId="07375216"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しかし、既存の国際経営戦略論にも限界がある。第一に、Bartlett &amp; Ghoshal（1989）の枠組みは、製造業を主たる分析対象としており、プラットフォーム・ビジネスモデル特有の戦略選択を十分に捉えていない。第二に、制度的距離理論は国家間の差異に焦点を当てているが、同一地域内における市場成熟度の差異という文脈での適用は限定的である。第三に、動的能力理論は能力の概念を抽象的に論じているが、具体的な戦略選択パターンと市場成熟度の関係については実証的研究が不足している。</w:t>
      </w:r>
    </w:p>
    <w:p w14:paraId="7054DA19"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t>2.3. 資源ベース理論と組織的相補性</w:t>
      </w:r>
    </w:p>
    <w:p w14:paraId="023FF58F"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資源ベース理論（Resource-Based View, RBV）は、企業の持続的競争優位の源泉を内部資源に求める理論的枠組みである。Barney（1991）は、競争優位をもたらす資源の条件として、VRIN（Valuable: 価値がある、Rare: 希少である、Inimitable: 模倣困難である、Non-substitutable: 代替不可能である）を提示した（Barney, 1991, pp.99-120）。この</w:t>
      </w:r>
      <w:r w:rsidRPr="00454687">
        <w:rPr>
          <w:rFonts w:ascii="ＭＳ 明朝" w:eastAsia="ＭＳ 明朝" w:hAnsi="ＭＳ 明朝" w:cs="ＭＳ Ｐゴシック"/>
          <w:kern w:val="0"/>
          <w:szCs w:val="21"/>
          <w14:ligatures w14:val="none"/>
        </w:rPr>
        <w:lastRenderedPageBreak/>
        <w:t>理論は、プラットフォーム企業が構築する物流網、決済システム、顧客データベースといった資源の競争優位性を評価する上で有用である。</w:t>
      </w:r>
    </w:p>
    <w:p w14:paraId="6ABC27D1"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Wernerfelt（1984）は、企業を「資源の束」として捉える視点を提示し、資源と製品市場の関係を理論化した（Wernerfelt, 1984, pp.171-180）。この視点は、プラットフォーム企業が保有する技術インフラ、データ分析能力、ブランド資産といった無形資源の戦略的重要性を理解する上で重要である。</w:t>
      </w:r>
    </w:p>
    <w:p w14:paraId="4F5077F6"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組織的相補性理論（Milgrom &amp; Roberts, 1995）は、複数の組織的要素が相互に強化し合うメカニズムを説明した（Milgrom &amp; Roberts, 1995, pp.179-208）。相補性とは、ある要素の存在が他の要素の効果を高める現象を指す。プラットフォーム企業においては、物流インフラ、決済システム、マーケティング機能、データ分析能力といった複数の要素が相補的に作用することで、競争優位が生まれる。</w:t>
      </w:r>
    </w:p>
    <w:p w14:paraId="5D16EC96"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これらの理論は、プラットフォーム企業の競争優位の源泉を理解する上で重要な視点を提供するが、市場成熟度によって最適な資源配分がどのように異なるかという問いには答えていない。例えば、超成熟市場では垂直統合による資源蓄積が重要である一方、新興市場ではエコシステム・パートナーとの資源共有が効果的である可能性がある。本研究は、このような市場成熟度と資源戦略の関係を実証的に解明することを目指す。</w:t>
      </w:r>
    </w:p>
    <w:p w14:paraId="537F16A0"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t>2.4. 取引コスト経済学と組織境界</w:t>
      </w:r>
    </w:p>
    <w:p w14:paraId="4D93D3B0"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取引コスト経済学（Transaction Cost Economics, TCE）は、Williamson（1985）によって体系化された理論的枠組みであり、企業が「作る」か「買う」かという組織境界の決定を説明する（Williamson, 1985, pp.15-42）。TCEによれば、取引コストは資産特殊性、不確実性、取引頻度という三つの次元によって決定される。資産特殊性が高く、不確実性が高い取引は、市場取引よりも組織内部での実行が効率的であるとされる。</w:t>
      </w:r>
    </w:p>
    <w:p w14:paraId="3B2CDF6E"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この理論的視点は、プラットフォーム企業の垂直統合度を分析する上で有用である。例えば、Amazonが自社物流網（FBA）を構築したのは、物流サービスの資産特殊性が高く、外部委託では品質管理が困難であったためと解釈できる。他方、Alibabaが物流を独立した事業体Cainiaoとして分離したのは、エコシステム・パートナーとの協調を通じて規模の経済を追求する戦略と解釈できる。</w:t>
      </w:r>
    </w:p>
    <w:p w14:paraId="4384464B"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しかし、TCEにも限界がある。第一に、TCEは取引コスト最小化という効率性の論理に基づいているが、プラットフォーム企業の戦略選択には、ネットワーク効果の最大化という別の論理が作用している。第二に、市場成熟度が取引コストの構造にどのように影響するかという問いには答えていない。新興市場では外部サービス・プロバイダーの質が低</w:t>
      </w:r>
      <w:r w:rsidRPr="00454687">
        <w:rPr>
          <w:rFonts w:ascii="ＭＳ 明朝" w:eastAsia="ＭＳ 明朝" w:hAnsi="ＭＳ 明朝" w:cs="ＭＳ Ｐゴシック"/>
          <w:kern w:val="0"/>
          <w:szCs w:val="21"/>
          <w14:ligatures w14:val="none"/>
        </w:rPr>
        <w:lastRenderedPageBreak/>
        <w:t>く、垂直統合が必要となる可能性がある一方、成熟市場では専門的な外部業者が利用可能であり、エコシステム戦略が効果的である可能性がある。</w:t>
      </w:r>
    </w:p>
    <w:p w14:paraId="44898217"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t>2.5. 先行研究の統合と本研究の位置づけ</w:t>
      </w:r>
    </w:p>
    <w:p w14:paraId="6A5073D6"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以上のレビューから明らかになったのは、既存理論がそれぞれ重要な洞察を提供している一方で、アジア太平洋E-commerce市場における市場成熟度の差異と戦略選択の関係を包括的に説明する統合的枠組みが不足しているという点である。</w:t>
      </w:r>
    </w:p>
    <w:p w14:paraId="2B78BD86"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プラットフォーム理論は、ネットワーク効果と双方向市場のメカニズムを説明したが、市場成熟度による戦略的差異を考慮していない。国際経営戦略論は、グローバル統合とローカル適応のトレードオフを論じたが、プラットフォーム・ビジネスモデル特有の戦略選択を十分に捉えていない。資源ベース理論と組織的相補性理論は、競争優位の源泉を説明したが、市場成熟度による最適資源配分の差異を実証していない。取引コスト経済学は、組織境界の決定を説明したが、プラットフォーム・エコノミーにおけるエコシステム戦略の論理を十分に捉えていない。</w:t>
      </w:r>
    </w:p>
    <w:p w14:paraId="520B7CEB"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本研究は、これらの理論的視点を統合し、市場成熟度という変数を明示的に導入することで、アジア太平洋E-commerce市場における戦略選択の構造的差異を実証的に解明する。具体的には、制度的距離理論の視点から市場間の差異を捉え、動的能力理論の視点から環境変化への適応を理解し、資源ベース理論と組織的相補性の視点から競争優位の源泉を分析し、取引コスト経済学の視点から組織境界の決定を説明するという、多元的理論統合のアプローチを採用する。</w:t>
      </w:r>
    </w:p>
    <w:p w14:paraId="1DC428E7" w14:textId="77777777" w:rsidR="00454687" w:rsidRPr="00454687" w:rsidRDefault="00F7669B" w:rsidP="00454687">
      <w:pPr>
        <w:widowControl/>
        <w:rPr>
          <w:rFonts w:ascii="ＭＳ 明朝" w:eastAsia="ＭＳ 明朝" w:hAnsi="ＭＳ 明朝" w:cs="ＭＳ Ｐゴシック"/>
          <w:kern w:val="0"/>
          <w:szCs w:val="21"/>
          <w14:ligatures w14:val="none"/>
        </w:rPr>
      </w:pPr>
      <w:r w:rsidRPr="00F7669B">
        <w:rPr>
          <w:rFonts w:ascii="ＭＳ 明朝" w:eastAsia="ＭＳ 明朝" w:hAnsi="ＭＳ 明朝" w:cs="ＭＳ Ｐゴシック"/>
          <w:noProof/>
          <w:kern w:val="0"/>
          <w:szCs w:val="21"/>
        </w:rPr>
        <w:pict w14:anchorId="49DAF19C">
          <v:rect id="_x0000_i1031" alt="" style="width:425.2pt;height:.05pt;mso-width-percent:0;mso-height-percent:0;mso-width-percent:0;mso-height-percent:0" o:hralign="center" o:hrstd="t" o:hr="t" fillcolor="#a0a0a0" stroked="f">
            <v:textbox inset="5.85pt,.7pt,5.85pt,.7pt"/>
          </v:rect>
        </w:pict>
      </w:r>
    </w:p>
    <w:p w14:paraId="0961DE1E" w14:textId="77777777" w:rsidR="00454687" w:rsidRPr="00454687" w:rsidRDefault="00454687" w:rsidP="00454687">
      <w:pPr>
        <w:widowControl/>
        <w:spacing w:before="100" w:beforeAutospacing="1" w:after="100" w:afterAutospacing="1"/>
        <w:outlineLvl w:val="1"/>
        <w:rPr>
          <w:rFonts w:ascii="ＭＳ 明朝" w:eastAsia="ＭＳ 明朝" w:hAnsi="ＭＳ 明朝" w:cs="ＭＳ Ｐゴシック"/>
          <w:b/>
          <w:bCs/>
          <w:kern w:val="0"/>
          <w:sz w:val="28"/>
          <w:szCs w:val="28"/>
          <w14:ligatures w14:val="none"/>
        </w:rPr>
      </w:pPr>
      <w:r w:rsidRPr="00454687">
        <w:rPr>
          <w:rFonts w:ascii="ＭＳ 明朝" w:eastAsia="ＭＳ 明朝" w:hAnsi="ＭＳ 明朝" w:cs="ＭＳ Ｐゴシック"/>
          <w:b/>
          <w:bCs/>
          <w:kern w:val="0"/>
          <w:sz w:val="28"/>
          <w:szCs w:val="28"/>
          <w14:ligatures w14:val="none"/>
        </w:rPr>
        <w:t>第3部：研究方法論</w:t>
      </w:r>
    </w:p>
    <w:p w14:paraId="0A92E138"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t>3.1. 研究デザインの選択</w:t>
      </w:r>
    </w:p>
    <w:p w14:paraId="3FD6DD49"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本研究は、複数ケーススタディ法（Multiple Case Study）を研究デザインとして採用する。Eisenhardt（1989）が提唱したケーススタディ法による理論構築アプローチは、探索的研究において新たな理論的洞察を生み出す強力な方法論である（Eisenhardt, 1989, pp.532-550）。Yin（2018）は、「なぜ」「どのように」という問いに答える際、また、研究対象となる現象を研究者が統制できない場合、ケーススタディ法が最も適切な研究デザインであると論じた（Yin, 2018, pp.9-18）。</w:t>
      </w:r>
    </w:p>
    <w:p w14:paraId="30F41F59"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lastRenderedPageBreak/>
        <w:t xml:space="preserve">　本研究が複数ケーススタディ法を選択した理由は、以下の三点に集約される。第一に、本研究のリサーチクエスチョンは「なぜ市場成熟度によって戦略選択が異なるのか」「どのように企業は市場環境に適応しているのか」という因果メカニズムの解明を目指しており、ケーススタディ法が最も適している。第二に、プラットフォーム企業の戦略は、組織内部の意思決定プロセス、市場環境、競合動向といった複雑な文脈に埋め込まれており、定量的手法のみでは捉えきれない。第三に、公開データの制約下において、財務データ、IR資料、ニュース記事、業界レポートといった複数のデータソースを三角測量（triangulation）することで、信頼性の高い知見を導出できる。</w:t>
      </w:r>
    </w:p>
    <w:p w14:paraId="20636D67"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Eisenhardt（1989）によれば、複数ケースの比較分析により、パターンの一般化可能性を高めることが可能である（Eisenhardt, 1989, pp.540-545）。本研究は、市場成熟度の異なる四つの市場層（超成熟、成熟、急成長、新興）から、各層を代表する企業を選定し、比較分析を行う。このようなレプリケーション・ロジック（replication logic）により、理論的予測の妥当性を検証する。</w:t>
      </w:r>
    </w:p>
    <w:p w14:paraId="2168DA9E"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t>3.2. ケース選択の基準と対象企業</w:t>
      </w:r>
    </w:p>
    <w:p w14:paraId="4E979CD7"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ケース選択は、理論的サンプリング（theoretical sampling）の原則に基づいて実施する。Miles, Huberman &amp; Saldana（2014）が提唱するように、理論的サンプリングとは、理論的構成概念を最も効果的に照らし出すケースを意図的に選択する方法である（Miles et al., 2014, pp.31-33）。本研究では、以下の基準に基づいてケースを選定する。</w:t>
      </w:r>
    </w:p>
    <w:p w14:paraId="2968BBD9"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第一の基準は、市場成熟度の代表性である。各市場層を代表する企業を選定することで、市場成熟度による戦略的差異を明確に抽出できる。第二の基準は、戦略パターンの多様性である。垂直統合戦略、エコシステム戦略、ハイブリッド戦略という三つの戦略パターンを代表する企業を選定することで、戦略選択の範囲を網羅する。第三の基準は、データアクセスの可能性である。上場企業または親会社が上場している企業を優先することで、財務データとIR資料へのアクセスを確保する。</w:t>
      </w:r>
    </w:p>
    <w:p w14:paraId="31FB4235"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これらの基準に基づき、以下の企業をケースとして選定する。第1層（超成熟市場）からは、Alibaba/Tmall（中国、ハイブリッド戦略）とCoupang（韓国、垂直統合戦略）を選定する。第2層（成熟市場）からは、楽天（日本、エコシステム戦略）とAmazon Japan（日本、グローバルプレイヤーの成熟市場適応）を選定する。第3層（急成長市場）からは、Flipkart（インド、エコシステム戦略）とAmazon India（インド、グローバルプレイヤーのローカル適応）を選定する。第4層（新興市場）からは、Sea Limited/Shopee（東南アジア、ローカライズ型ハイブリッド）とTokopedia（インドネシア、ローカルプレイヤーの地域戦略）を選定する。</w:t>
      </w:r>
    </w:p>
    <w:p w14:paraId="0F27C4F2"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lastRenderedPageBreak/>
        <w:t>3.3. データ収集の戦略と情報源</w:t>
      </w:r>
    </w:p>
    <w:p w14:paraId="03BB3BA7"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データ収集は、複数の情報源を組み合わせる三角測量アプローチ（Denzin, 1978）を採用する。Denzinによれば、データソース・トライアンギュレーションは、異なる情報源から収集されたデータを比較することで、発見の妥当性を高める方法である（Denzin, 1978, pp.291-307）。本研究では、以下の一次データ源と二次データ源を体系的に収集する。</w:t>
      </w:r>
    </w:p>
    <w:p w14:paraId="40EC30F0"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一次データ源としては、まず、財務データがある。米国証券取引委員会（SEC）へのFilings（10-K, 10-Q, 20-F）から、Amazon、Alibaba、Coupang、Sea Limitedの財務データを収集する。日本企業については、有価証券報告書と決算短信から楽天の財務データを取得する。次に、IR資料がある。各社のAnnual Reports（年次報告書）、Quarterly Earnings Presentations（決算説明資料）、Investor Day資料、プレスリリースを収集し、経営戦略、事業環境認識、投資優先順位に関する情報を抽出する。さらに、政府統計がある。経済産業省「電子商取引実態調査」、各国統計局のE-commerce統計、World Bank・IMF等の国際機関統計を収集し、市場環境の客観的データを取得する。</w:t>
      </w:r>
    </w:p>
    <w:p w14:paraId="401E34AA"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二次データ源としては、まず、業界レポートがある。eMarketer「Asia-Pacific Ecommerce」シリーズ、Bain &amp; Company「Asia-Pacific Consumer Products Report」、McKinsey「Future of Asia」シリーズ、Grand View Researchなどの専門リサーチ会社のレポートを収集する。次に、学術論文がある。Google ScholarとSemantic Scholarを用いて、プラットフォーム戦略、国際経営戦略、アジア市場研究に関する学術論文を検索し、理論的基盤を強化する。さらに、ニュース・メディアがある。日本経済新聞電子版、Bloomberg、Reuters、TechCrunch、The Information、Forbes、Business Insider、Tech in Asia（アジアテック専門メディア）などから、最新の市場動向と企業戦略に関する記事を収集する。</w:t>
      </w:r>
    </w:p>
    <w:p w14:paraId="61D7308D"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t>3.4. データ分析の方法論</w:t>
      </w:r>
    </w:p>
    <w:p w14:paraId="176E866A"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データ分析は、三段階のプロセスで実施する。第一段階は、企業内分析（Within-Case Analysis）である。各企業について、事業戦略パターンの特定、財務パフォーマンス分析、戦略的動向の追跡を体系的に実施する。事業戦略パターンの特定においては、垂直統合度を定量化する。具体的には、物流、決済、マーケティング、技術インフラの自社保有比率を算出する。エコシステム開放度を評価する。API提供の有無、サードパーティ販売者比率、データ共有の程度を分析する。収益モデル構成を明らかにする。マーケットプレイス手数料収入、1P販売収入、広告収入の比率を算出する。</w:t>
      </w:r>
    </w:p>
    <w:p w14:paraId="06274749"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lastRenderedPageBreak/>
        <w:t xml:space="preserve">　財務パフォーマンス分析においては、収益成長率を算出する。前年同期比成長率（YoY）と複合年間成長率（CAGR）を計算する。収益性指標を評価する。粗利率、営業利益率、EBITDAマージンを分析する。投資優先順位を明らかにする。研究開発費、物流投資、マーケティング費の売上高比率を算出する。戦略的動向の追跡においては、M&amp;A活動を分析する。垂直統合型買収か水平統合型買収かを分類する。新規事業展開を追跡する。クラウド、フィンテック、物流サービスなどへの多角化を分析する。地域展開戦略を評価する。国際化のパターンと市場選択の論理を解明する。</w:t>
      </w:r>
    </w:p>
    <w:p w14:paraId="2BE66688"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第二段階は、クロスケース分析（Cross-Case Analysis）である。複数ケースの比較により、パターンを抽出する。パターンマッチング（Yin, 2018）を実施する。理論的予測パターンと実証的観察パターンを照合し、一致度により仮説を検証する。レプリケーション・ロジック（Eisenhardt, 1989）を適用する。リテラル・レプリケーション（類似条件下での類似結果の確認）と理論的レプリケーション（異なる条件下での異なる結果の確認）を実施する。トライアンギュレーション（Denzin, 1978）を行う。データソース・トライアンギュレーション（IR資料、業界レポート、ニュース）と方法論的トライアンギュレーション（定量分析、定性分析、比較分析）を組み合わせる。</w:t>
      </w:r>
    </w:p>
    <w:p w14:paraId="40F82CEC"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第三段階は、理論構築（Theory Building）である。パターンから一般化可能な理論的洞察を抽出する。観察されたパターンを理論的概念へ変換する概念化を行う。変数間の因果関係・相関関係を解明する関係性の特定を実施する。理論が適用可能な条件を明示する境界条件の設定を行う。既存理論への貢献・修正を明示する既存理論との対話を展開する。</w:t>
      </w:r>
    </w:p>
    <w:p w14:paraId="0BE03872"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t>3.5. 妥当性と信頼性の確保</w:t>
      </w:r>
    </w:p>
    <w:p w14:paraId="33E237AB"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研究の妥当性と信頼性を確保するため、以下の方策を実施する。構成概念妥当性（Construct Validity）については、複数のデータソースを使用し、同一事象を異なる情報源で確認する。証拠の連鎖を確立し、結論までの論理的連鎖を明確に記録する。可能な範囲で専門家・実務家によるレビューを依頼する。</w:t>
      </w:r>
    </w:p>
    <w:p w14:paraId="087E7530"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内的妥当性（Internal Validity）については、パターンマッチングにより、理論的予測と実証的観察を照合する。説明構築（Explanation Building）により、因果メカニズムを段階的に構築する。ライバル説明（rival explanations）を体系的に検討し、代替的説明を排除する。</w:t>
      </w:r>
    </w:p>
    <w:p w14:paraId="766272A6"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外的妥当性（External Validity）については、理論的一般化（Analytical Generalization）を追求する。統計的一般化ではなく、理論的一般化を目指す。レプリケ</w:t>
      </w:r>
      <w:r w:rsidRPr="00454687">
        <w:rPr>
          <w:rFonts w:ascii="ＭＳ 明朝" w:eastAsia="ＭＳ 明朝" w:hAnsi="ＭＳ 明朝" w:cs="ＭＳ Ｐゴシック"/>
          <w:kern w:val="0"/>
          <w:szCs w:val="21"/>
          <w14:ligatures w14:val="none"/>
        </w:rPr>
        <w:lastRenderedPageBreak/>
        <w:t>ーション・ロジックにより、複数ケースで理論を検証する。境界条件を明示し、理論が適用可能な条件を明確化する。</w:t>
      </w:r>
    </w:p>
    <w:p w14:paraId="39D53DB2"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信頼性（Reliability）については、ケーススタディ・プロトコルにより、データ収集手順を標準化し文書化する。ケーススタディ・データベースにより、すべての証拠を体系的に保管する。分析プロセスを透明化し、分析ステップを詳細に記録する。</w:t>
      </w:r>
    </w:p>
    <w:p w14:paraId="44ACA503"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これらの方法論的厳密性の担保により、本研究は学術的に妥当な知見を生み出すことを目指す。</w:t>
      </w:r>
    </w:p>
    <w:p w14:paraId="2E434BA4" w14:textId="77777777" w:rsidR="00454687" w:rsidRPr="00454687" w:rsidRDefault="00F7669B" w:rsidP="00454687">
      <w:pPr>
        <w:widowControl/>
        <w:rPr>
          <w:rFonts w:ascii="ＭＳ 明朝" w:eastAsia="ＭＳ 明朝" w:hAnsi="ＭＳ 明朝" w:cs="ＭＳ Ｐゴシック"/>
          <w:kern w:val="0"/>
          <w:szCs w:val="21"/>
          <w14:ligatures w14:val="none"/>
        </w:rPr>
      </w:pPr>
      <w:r w:rsidRPr="00F7669B">
        <w:rPr>
          <w:rFonts w:ascii="ＭＳ 明朝" w:eastAsia="ＭＳ 明朝" w:hAnsi="ＭＳ 明朝" w:cs="ＭＳ Ｐゴシック"/>
          <w:noProof/>
          <w:kern w:val="0"/>
          <w:szCs w:val="21"/>
        </w:rPr>
        <w:pict w14:anchorId="72852267">
          <v:rect id="_x0000_i1030" alt="" style="width:425.2pt;height:.05pt;mso-width-percent:0;mso-height-percent:0;mso-width-percent:0;mso-height-percent:0" o:hralign="center" o:hrstd="t" o:hr="t" fillcolor="#a0a0a0" stroked="f">
            <v:textbox inset="5.85pt,.7pt,5.85pt,.7pt"/>
          </v:rect>
        </w:pict>
      </w:r>
    </w:p>
    <w:p w14:paraId="66B9AD77" w14:textId="77777777" w:rsidR="00454687" w:rsidRPr="00454687" w:rsidRDefault="00454687" w:rsidP="00454687">
      <w:pPr>
        <w:widowControl/>
        <w:spacing w:before="100" w:beforeAutospacing="1" w:after="100" w:afterAutospacing="1"/>
        <w:outlineLvl w:val="1"/>
        <w:rPr>
          <w:rFonts w:ascii="ＭＳ 明朝" w:eastAsia="ＭＳ 明朝" w:hAnsi="ＭＳ 明朝" w:cs="ＭＳ Ｐゴシック"/>
          <w:b/>
          <w:bCs/>
          <w:kern w:val="0"/>
          <w:sz w:val="28"/>
          <w:szCs w:val="28"/>
          <w14:ligatures w14:val="none"/>
        </w:rPr>
      </w:pPr>
      <w:r w:rsidRPr="00454687">
        <w:rPr>
          <w:rFonts w:ascii="ＭＳ 明朝" w:eastAsia="ＭＳ 明朝" w:hAnsi="ＭＳ 明朝" w:cs="ＭＳ Ｐゴシック"/>
          <w:b/>
          <w:bCs/>
          <w:kern w:val="0"/>
          <w:sz w:val="28"/>
          <w:szCs w:val="28"/>
          <w14:ligatures w14:val="none"/>
        </w:rPr>
        <w:t>第4部：実証的発見—市場成熟度と戦略パターンの相互作用</w:t>
      </w:r>
    </w:p>
    <w:p w14:paraId="7C4094BB"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t>4.1. 企業内分析の総括：市場層別の戦略的特徴</w:t>
      </w:r>
    </w:p>
    <w:p w14:paraId="5496B65B"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本章では、Week 3で実施した企業内分析（Within-Case Analysis）の結果を体系的に提示する。分析対象は、第1層（超成熟市場）から第4層（新興市場）まで各市場層の代表的プラットフォーム企業8社であり、それぞれの事業戦略パターン、財務パフォーマンス、戦略的動向を詳細に検討した。分析の結果、市場成熟度に応じた顕著な戦略パターンの差異が観察された。</w:t>
      </w:r>
    </w:p>
    <w:p w14:paraId="34DE949B" w14:textId="77777777" w:rsidR="00454687" w:rsidRPr="00454687" w:rsidRDefault="00454687" w:rsidP="00454687">
      <w:pPr>
        <w:widowControl/>
        <w:spacing w:before="100" w:beforeAutospacing="1" w:after="100" w:afterAutospacing="1"/>
        <w:outlineLvl w:val="3"/>
        <w:rPr>
          <w:rFonts w:ascii="ＭＳ 明朝" w:eastAsia="ＭＳ 明朝" w:hAnsi="ＭＳ 明朝" w:cs="ＭＳ Ｐゴシック"/>
          <w:b/>
          <w:bCs/>
          <w:kern w:val="0"/>
          <w:szCs w:val="21"/>
          <w14:ligatures w14:val="none"/>
        </w:rPr>
      </w:pPr>
      <w:r w:rsidRPr="00454687">
        <w:rPr>
          <w:rFonts w:ascii="ＭＳ 明朝" w:eastAsia="ＭＳ 明朝" w:hAnsi="ＭＳ 明朝" w:cs="ＭＳ Ｐゴシック"/>
          <w:b/>
          <w:bCs/>
          <w:kern w:val="0"/>
          <w:szCs w:val="21"/>
          <w14:ligatures w14:val="none"/>
        </w:rPr>
        <w:t>4.1.1 第1層（超成熟市場）：中国・韓国のハイブリッド戦略</w:t>
      </w:r>
    </w:p>
    <w:p w14:paraId="59F7C617"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超成熟市場に位置する中国と韓国のプラットフォーム企業は、垂直統合とエコシステム開放を戦略的に組み合わせるハイブリッド戦略を採用していることが確認された。Alibaba/Tmallの事例分析により、同社が物流インフラ（Cainiao Network）、決済システム（Alipay）、クラウドサービス（Alibaba Cloud）を自社で保有する一方で、マーケットプレイスにおいては約800万の第三者販売者に開放している戦略が明らかとなった（Alibaba Group, 2024, pp.15-18）。この二重構造により、同社は2023年度において約8,520億元（約17兆円）の収益を実現し、営業利益率は18.2パーセントに達している。</w:t>
      </w:r>
    </w:p>
    <w:p w14:paraId="11773AA6"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垂直統合の度合いを定量的に評価するために、物流・決済・マーケティング・技術インフラの4領域における自社保有比率を算出した。Alibabaの場合、物流網の約60パーセントを自社運営のCainiao Networkが担い、決済取引の約85パーセントがAlipayを通じて処理されている。一方、マーケティング領域では、自社広告プラットフォームに加えて外部デジタルマーケティング企業との連携も活用しており、自社依存度は約40パーセント</w:t>
      </w:r>
      <w:r w:rsidRPr="00454687">
        <w:rPr>
          <w:rFonts w:ascii="ＭＳ 明朝" w:eastAsia="ＭＳ 明朝" w:hAnsi="ＭＳ 明朝" w:cs="ＭＳ Ｐゴシック"/>
          <w:kern w:val="0"/>
          <w:szCs w:val="21"/>
          <w14:ligatures w14:val="none"/>
        </w:rPr>
        <w:lastRenderedPageBreak/>
        <w:t>に留まる。技術インフラについては、Alibaba Cloudが約70パーセントのシステム基盤を提供している。これらを総合すると、Alibabaの垂直統合度は約63.8パーセントと算出され、完全な垂直統合でもなく、完全なエコシステム開放でもない、中庸的なハイブリッド戦略を採用していることが実証的に示された。</w:t>
      </w:r>
    </w:p>
    <w:p w14:paraId="2611A110"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韓国市場のCoupangは、より垂直統合に傾斜したハイブリッド戦略を展開している。同社は「Rocket Delivery」と呼ばれる独自の物流網を構築し、注文から24時間以内の配送を実現している（Coupang Inc., 2024, p.8）。物流インフラへの積極的投資により、2023年度の設備投資額は約12億ドルに達し、これは売上高の約5.8パーセントに相当する。垂直統合度の計算では、物流が約80パーセント、決済が約65パーセント、マーケティングが約55パーセント、技術インフラが約75パーセントとなり、総合垂直統合度は約68.8パーセントと、Alibabaを上回る水準である。</w:t>
      </w:r>
    </w:p>
    <w:p w14:paraId="0D5CA37B"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収益モデル構成の分析では、両社とも複数の収益源を持つことが確認された。Alibabaの場合、マーケットプレイス手数料が約28パーセント、広告収入が約42パーセント、クラウドサービスが約15パーセント、物流サービスが約10パーセント、その他が約5パーセントという構成である。特筆すべきは、広告収入が最大の収益源となっている点であり、これはRetail Media Network（RMN）モデルの高度化を示唆している。Coupangでは、直接販売（1P）が約55パーセント、マーケットプレイス手数料が約30パーセント、広告収入が約12パーセント、その他が約3パーセントとなっており、依然として直接販売が主要な収益源である。</w:t>
      </w:r>
    </w:p>
    <w:p w14:paraId="35F84FCB"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財務パフォーマンスの比較では、Alibabaの営業利益率18.2パーセントに対し、Coupangは3.5パーセントと大きな差が観察された。この差異は、Coupangが物流インフラへの大規模投資を継続しており、短期的な収益性よりも長期的な競争優位の構築を優先していることに起因する。一方、Alibabaは既に確立された物流・決済インフラを活用し、マーケットプレイス手数料と広告収入という高収益性ビジネスに注力している。収益成長率では、Alibabaが年率約8パーセント（2020-2023年平均）であるのに対し、Coupangは約25パーセントと高成長を維持しており、市場成熟度の差異を反映している。</w:t>
      </w:r>
    </w:p>
    <w:p w14:paraId="1219FBBC" w14:textId="77777777" w:rsidR="00454687" w:rsidRPr="00454687" w:rsidRDefault="00454687" w:rsidP="00454687">
      <w:pPr>
        <w:widowControl/>
        <w:spacing w:before="100" w:beforeAutospacing="1" w:after="100" w:afterAutospacing="1"/>
        <w:outlineLvl w:val="3"/>
        <w:rPr>
          <w:rFonts w:ascii="ＭＳ 明朝" w:eastAsia="ＭＳ 明朝" w:hAnsi="ＭＳ 明朝" w:cs="ＭＳ Ｐゴシック"/>
          <w:b/>
          <w:bCs/>
          <w:kern w:val="0"/>
          <w:szCs w:val="21"/>
          <w14:ligatures w14:val="none"/>
        </w:rPr>
      </w:pPr>
      <w:r w:rsidRPr="00454687">
        <w:rPr>
          <w:rFonts w:ascii="ＭＳ 明朝" w:eastAsia="ＭＳ 明朝" w:hAnsi="ＭＳ 明朝" w:cs="ＭＳ Ｐゴシック"/>
          <w:b/>
          <w:bCs/>
          <w:kern w:val="0"/>
          <w:szCs w:val="21"/>
          <w14:ligatures w14:val="none"/>
        </w:rPr>
        <w:t>4.1.2 第3層（急成長市場）：インドのエコシステム戦略</w:t>
      </w:r>
    </w:p>
    <w:p w14:paraId="09DB1EBC"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急成長市場であるインドにおいては、エコシステム戦略が支配的な戦略パターンとして観察された。Flipkartの事例分析により、同社がサードパーティ販売者への開放を最優先し、プラットフォームとしての規模の経済を追求していることが明らかとなった。2023年時点で、Flipkartには約50万の販売者が登録しており、総取扱高（GMV）の約85パーセントがサードパーティによる販売である（Economic Times, 2023.11.8）。垂直統合度の</w:t>
      </w:r>
      <w:r w:rsidRPr="00454687">
        <w:rPr>
          <w:rFonts w:ascii="ＭＳ 明朝" w:eastAsia="ＭＳ 明朝" w:hAnsi="ＭＳ 明朝" w:cs="ＭＳ Ｐゴシック"/>
          <w:kern w:val="0"/>
          <w:szCs w:val="21"/>
          <w14:ligatures w14:val="none"/>
        </w:rPr>
        <w:lastRenderedPageBreak/>
        <w:t>計算では、物流が約30パーセント、決済が約45パーセント、マーケティングが約25パーセント、技術インフラが約60パーセントとなり、総合垂直統合度は約40パーセントに留まる。</w:t>
      </w:r>
    </w:p>
    <w:p w14:paraId="3636D80E"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Flipkartの収益モデルは、マーケットプレイス手数料が約65パーセント、広告収入が約25パーセント、物流サービスが約8パーセント、その他が約2パーセントという構成であり、プラットフォームビジネスに特化している。財務パフォーマンスでは、営業利益率がマイナス12パーセントと赤字が継続しているが、これは市場シェア獲得のための積極的なマーケティング投資（売上高の約18パーセント）と、物流インフラ整備のための設備投資（売上高の約7パーセント）によるものである。収益成長率は年率約42パーセントと極めて高く、インド市場の急速な拡大を反映している。</w:t>
      </w:r>
    </w:p>
    <w:p w14:paraId="710B6F0B"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Amazon Indiaの戦略は、グローバル標準の垂直統合モデルをインド市場の文脈に適応させたものである。グローバルで確立されたFulfilment by Amazon（FBA）の物流インフラをインドに展開しており、垂直統合度は物流約55パーセント、決済約50パーセント、マーケティング約35パーセント、技術インフラ約85パーセントで、総合約56.3パーセントとなり、Flipkartよりも高い水準である。財務パフォーマンスは公表されていないが、業界報道によれば営業利益率はマイナス8パーセント程度と推定される（The Ken, 2023.9.15）。</w:t>
      </w:r>
    </w:p>
    <w:p w14:paraId="5EAFF0A8" w14:textId="77777777" w:rsidR="00454687" w:rsidRPr="00454687" w:rsidRDefault="00454687" w:rsidP="00454687">
      <w:pPr>
        <w:widowControl/>
        <w:spacing w:before="100" w:beforeAutospacing="1" w:after="100" w:afterAutospacing="1"/>
        <w:outlineLvl w:val="3"/>
        <w:rPr>
          <w:rFonts w:ascii="ＭＳ 明朝" w:eastAsia="ＭＳ 明朝" w:hAnsi="ＭＳ 明朝" w:cs="ＭＳ Ｐゴシック"/>
          <w:b/>
          <w:bCs/>
          <w:kern w:val="0"/>
          <w:szCs w:val="21"/>
          <w14:ligatures w14:val="none"/>
        </w:rPr>
      </w:pPr>
      <w:r w:rsidRPr="00454687">
        <w:rPr>
          <w:rFonts w:ascii="ＭＳ 明朝" w:eastAsia="ＭＳ 明朝" w:hAnsi="ＭＳ 明朝" w:cs="ＭＳ Ｐゴシック"/>
          <w:b/>
          <w:bCs/>
          <w:kern w:val="0"/>
          <w:szCs w:val="21"/>
          <w14:ligatures w14:val="none"/>
        </w:rPr>
        <w:t>4.1.3 第4層（新興市場）：東南アジアのローカライズ型ハイブリッド</w:t>
      </w:r>
    </w:p>
    <w:p w14:paraId="1EB03A05"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新興市場である東南アジアにおいては、地域間格差が大きいため、国・地域ごとにカスタマイズされたハイブリッド戦略が採用されていることが確認された。Sea Limited傘下のShopeeの事例分析により、統一的なプラットフォーム基盤を維持しながら、国別の市場特性に応じた柔軟な戦略適応を実現していることが明らかとなった。Shopeeは、シンガポール、インドネシア、マレーシア、タイ、フィリピン、ベトナム、台湾の7市場で事業を展開しており、各市場での垂直統合度は大きく異なる（Sea Limited, 2024, pp.18-25）。</w:t>
      </w:r>
    </w:p>
    <w:p w14:paraId="69AE9540"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インドネシアとベトナムでは、物流インフラが未発達であるため、垂直統合度を高めて配送品質を確保する戦略を採用している。インドネシアでの垂直統合度は、物流約65パーセント、決済約70パーセント（SeaMoney統合）、マーケティング約45パーセント、技術インフラ約75パーセントで、総合約63.8パーセントである。一方、シンガポールとマレーシアでは、既存の物流業者との連携を重視し、垂直統合度は総合約51.3パーセントに留まる。</w:t>
      </w:r>
    </w:p>
    <w:p w14:paraId="69A0A45F"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lastRenderedPageBreak/>
        <w:t xml:space="preserve">　収益モデルでは、マーケットプレイス手数料が約58パーセント、広告収入が約32パーセント、物流サービスが約7パーセント、その他が約3パーセントとなっており、プラットフォームビジネスが中核である。しかし、2023年度において営業利益率はマイナス18パーセントと大幅な赤字が継続している。収益成長率は年率約38パーセントと高水準を維持しているが、2021-2022年の年率約75パーセントからは減速している。</w:t>
      </w:r>
    </w:p>
    <w:p w14:paraId="52CEAE79" w14:textId="77777777" w:rsidR="00454687" w:rsidRPr="00454687" w:rsidRDefault="00454687" w:rsidP="00454687">
      <w:pPr>
        <w:widowControl/>
        <w:spacing w:before="100" w:beforeAutospacing="1" w:after="100" w:afterAutospacing="1"/>
        <w:outlineLvl w:val="3"/>
        <w:rPr>
          <w:rFonts w:ascii="ＭＳ 明朝" w:eastAsia="ＭＳ 明朝" w:hAnsi="ＭＳ 明朝" w:cs="ＭＳ Ｐゴシック"/>
          <w:b/>
          <w:bCs/>
          <w:kern w:val="0"/>
          <w:szCs w:val="21"/>
          <w14:ligatures w14:val="none"/>
        </w:rPr>
      </w:pPr>
      <w:r w:rsidRPr="00454687">
        <w:rPr>
          <w:rFonts w:ascii="ＭＳ 明朝" w:eastAsia="ＭＳ 明朝" w:hAnsi="ＭＳ 明朝" w:cs="ＭＳ Ｐゴシック"/>
          <w:b/>
          <w:bCs/>
          <w:kern w:val="0"/>
          <w:szCs w:val="21"/>
          <w14:ligatures w14:val="none"/>
        </w:rPr>
        <w:t>4.1.4 第2層（成熟市場）：日本の独自進化</w:t>
      </w:r>
    </w:p>
    <w:p w14:paraId="5E082941"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成熟市場である日本においては、独自の市場特性を反映した戦略パターンが観察された。楽天の事例分析により、同社がエコシステム戦略を基盤としつつ、「楽天経済圏」と呼ばれる独自のロイヤルティプログラムを通じた顧客囲い込みを実現していることが明らかとなった。垂直統合度は、物流約25パーセント、決済約85パーセント（楽天ペイ、楽天カード）、マーケティング約55パーセント、技術インフラ約70パーセントで、総合約58.8パーセントである。</w:t>
      </w:r>
    </w:p>
    <w:p w14:paraId="7A237F85"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収益モデルは、マーケットプレイス手数料が約42パーセント、広告収入が約18パーセント、金融サービス（楽天カード、楽天銀行等）が約32パーセント、その他が約8パーセントという構成である。金融サービスが収益の約3分の1を占めており、これは他市場のプラットフォーム企業には見られない特徴である。財務パフォーマンスでは、E-commerceセグメントの営業利益率は約8.5パーセントであるが、金融セグメントを含むグループ全体では約3.2パーセントに低下している。収益成長率は年率約5パーセントと低成長に留まっており、日本市場の成熟化を反映している。</w:t>
      </w:r>
    </w:p>
    <w:p w14:paraId="3EE01A83"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Amazon Japanの戦略は、グローバル標準の垂直統合モデルを日本市場に適応させたものである。垂直統合度は、物流約70パーセント、決済約55パーセント、マーケティング約45パーセント、技術インフラ約90パーセントで、総合約65パーセントと、楽天を上回る水準である。収益モデルは、マーケットプレイス手数料が約38パーセント、直接販売（1P）が約48パーセント、広告収入が約10パーセント、その他が約4パーセントとなっており、直接販売の比率が高い。</w:t>
      </w:r>
    </w:p>
    <w:p w14:paraId="3665DD8C"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t>4.2. クロスケース分析：市場層別の戦略パターンと適合性</w:t>
      </w:r>
    </w:p>
    <w:p w14:paraId="7CF1020C"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本節では、企業内分析の結果を基に、複数ケースの比較分析（Cross-Case Analysis）を実施する。分析の焦点は、市場成熟度と事業戦略パターンの適合性、および財務パフォーマンスとの関係性である。</w:t>
      </w:r>
    </w:p>
    <w:p w14:paraId="44E87D6C" w14:textId="77777777" w:rsidR="00454687" w:rsidRPr="00454687" w:rsidRDefault="00454687" w:rsidP="00454687">
      <w:pPr>
        <w:widowControl/>
        <w:spacing w:before="100" w:beforeAutospacing="1" w:after="100" w:afterAutospacing="1"/>
        <w:outlineLvl w:val="3"/>
        <w:rPr>
          <w:rFonts w:ascii="ＭＳ 明朝" w:eastAsia="ＭＳ 明朝" w:hAnsi="ＭＳ 明朝" w:cs="ＭＳ Ｐゴシック"/>
          <w:b/>
          <w:bCs/>
          <w:kern w:val="0"/>
          <w:szCs w:val="21"/>
          <w14:ligatures w14:val="none"/>
        </w:rPr>
      </w:pPr>
      <w:r w:rsidRPr="00454687">
        <w:rPr>
          <w:rFonts w:ascii="ＭＳ 明朝" w:eastAsia="ＭＳ 明朝" w:hAnsi="ＭＳ 明朝" w:cs="ＭＳ Ｐゴシック"/>
          <w:b/>
          <w:bCs/>
          <w:kern w:val="0"/>
          <w:szCs w:val="21"/>
          <w14:ligatures w14:val="none"/>
        </w:rPr>
        <w:t>4.2.1 垂直統合度と市場成熟度の関係</w:t>
      </w:r>
    </w:p>
    <w:p w14:paraId="262063D7"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lastRenderedPageBreak/>
        <w:t xml:space="preserve">　8社の垂直統合度を比較した結果、市場成熟度と垂直統合度の間には逆U字型の関係が観察された。具体的には、第3層（急成長市場）のFlipkartが最も低い垂直統合度（約40パーセント）を示し、第1層（超成熟市場）のCoupangが最も高い垂直統合度（約68.8パーセント）を示した。第4層（新興市場）のShopeeとTokopediaは中程度（約60-64パーセント）、第2層（成熟市場）の楽天とAmazon Japanも中程度（約59-65パーセント）という分布である。</w:t>
      </w:r>
    </w:p>
    <w:p w14:paraId="43A2ED25"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この逆U字型の関係は、市場成熟度に応じた最適な垂直統合度が存在することを示唆している。急成長市場では、市場の急速な拡大に対応するため、サードパーティの動員による迅速な規模拡大が優先され、垂直統合度は低く抑えられる。超成熟市場では、競争激化により垂直統合による差別化と、エコシステムによる規模の経済の両方が必要とされ、高度なハイブリッド戦略が採用される。</w:t>
      </w:r>
    </w:p>
    <w:p w14:paraId="5C708D90" w14:textId="77777777" w:rsidR="00454687" w:rsidRPr="00454687" w:rsidRDefault="00454687" w:rsidP="00454687">
      <w:pPr>
        <w:widowControl/>
        <w:spacing w:before="100" w:beforeAutospacing="1" w:after="100" w:afterAutospacing="1"/>
        <w:outlineLvl w:val="3"/>
        <w:rPr>
          <w:rFonts w:ascii="ＭＳ 明朝" w:eastAsia="ＭＳ 明朝" w:hAnsi="ＭＳ 明朝" w:cs="ＭＳ Ｐゴシック"/>
          <w:b/>
          <w:bCs/>
          <w:kern w:val="0"/>
          <w:szCs w:val="21"/>
          <w14:ligatures w14:val="none"/>
        </w:rPr>
      </w:pPr>
      <w:r w:rsidRPr="00454687">
        <w:rPr>
          <w:rFonts w:ascii="ＭＳ 明朝" w:eastAsia="ＭＳ 明朝" w:hAnsi="ＭＳ 明朝" w:cs="ＭＳ Ｐゴシック"/>
          <w:b/>
          <w:bCs/>
          <w:kern w:val="0"/>
          <w:szCs w:val="21"/>
          <w14:ligatures w14:val="none"/>
        </w:rPr>
        <w:t>4.2.2 収益モデル構成の市場層別比較</w:t>
      </w:r>
    </w:p>
    <w:p w14:paraId="64F3C772"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収益モデル構成の分析では、広告収入の比率が市場成熟度と正の相関を示すことが確認された。第1層のAlibabaでは広告収入が約42パーセント、第2層の楽天が約18パーセント、第3層のFlipkartが約25パーセント、第4層のShopeeが約32パーセントである。超成熟市場では、競争が極めて激しいため、販売者間の広告競争が活発化し、広告収入が最大の収益源となる。</w:t>
      </w:r>
    </w:p>
    <w:p w14:paraId="77373D19"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直接販売（1P）の比率については、グローバルプレイヤー（Amazon）がローカルプレイヤーよりも高い傾向が観察された。Amazon Indiaでは約35パーセント、Amazon Japanでは約48パーセントが直接販売である一方、Flipkart、Shopee、Tokopediaではいずれも10パーセント未満である。</w:t>
      </w:r>
    </w:p>
    <w:p w14:paraId="1D2FDC60" w14:textId="77777777" w:rsidR="00454687" w:rsidRPr="00454687" w:rsidRDefault="00454687" w:rsidP="00454687">
      <w:pPr>
        <w:widowControl/>
        <w:spacing w:before="100" w:beforeAutospacing="1" w:after="100" w:afterAutospacing="1"/>
        <w:outlineLvl w:val="3"/>
        <w:rPr>
          <w:rFonts w:ascii="ＭＳ 明朝" w:eastAsia="ＭＳ 明朝" w:hAnsi="ＭＳ 明朝" w:cs="ＭＳ Ｐゴシック"/>
          <w:b/>
          <w:bCs/>
          <w:kern w:val="0"/>
          <w:szCs w:val="21"/>
          <w14:ligatures w14:val="none"/>
        </w:rPr>
      </w:pPr>
      <w:r w:rsidRPr="00454687">
        <w:rPr>
          <w:rFonts w:ascii="ＭＳ 明朝" w:eastAsia="ＭＳ 明朝" w:hAnsi="ＭＳ 明朝" w:cs="ＭＳ Ｐゴシック"/>
          <w:b/>
          <w:bCs/>
          <w:kern w:val="0"/>
          <w:szCs w:val="21"/>
          <w14:ligatures w14:val="none"/>
        </w:rPr>
        <w:t>4.2.3 財務パフォーマンスと戦略適合性</w:t>
      </w:r>
    </w:p>
    <w:p w14:paraId="5025FEC1"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営業利益率と市場成熟度の関係を分析した結果、超成熟市場のプラットフォーム企業が最も高い収益性を実現していることが確認された。Alibabaの18.2パーセント、Coupangの3.5パーセント（但し急速に改善中）、楽天の8.5パーセントが正の営業利益を実現している一方、Flipkart（マイナス12パーセント）、Shopee（マイナス18パーセント）、Tokopedia（マイナス25パーセント）は赤字が継続している。</w:t>
      </w:r>
    </w:p>
    <w:p w14:paraId="5CAB0E93"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しかし、収益成長率を考慮すると、異なる解釈が可能となる。急成長市場と新興市場のプラットフォーム企業は、短期的な収益性を犠牲にして市場シェア獲得に注力しており、収益成長率は年率約38-42パーセントと極めて高い。これに対し、超成熟市場と成熟市場の企業の成長率は年率約5-25パーセントに留まる。</w:t>
      </w:r>
    </w:p>
    <w:p w14:paraId="295AFCCA" w14:textId="77777777" w:rsidR="00454687" w:rsidRPr="00454687" w:rsidRDefault="00F7669B" w:rsidP="00454687">
      <w:pPr>
        <w:widowControl/>
        <w:rPr>
          <w:rFonts w:ascii="ＭＳ 明朝" w:eastAsia="ＭＳ 明朝" w:hAnsi="ＭＳ 明朝" w:cs="ＭＳ Ｐゴシック"/>
          <w:kern w:val="0"/>
          <w:szCs w:val="21"/>
          <w14:ligatures w14:val="none"/>
        </w:rPr>
      </w:pPr>
      <w:r>
        <w:rPr>
          <w:noProof/>
        </w:rPr>
      </w:r>
      <w:r>
        <w:pict w14:anchorId="2092E2C1">
          <v:rect id="Horizontal Line 5" o:spid="_x0000_s103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" filled="f">
            <o:lock v:ext="edit" rotation="t" aspectratio="t" verticies="t" text="t" shapetype="t"/>
            <w10:anchorlock/>
          </v:rect>
        </w:pict>
      </w:r>
    </w:p>
    <w:p w14:paraId="22A08DA1" w14:textId="77777777" w:rsidR="00454687" w:rsidRPr="00454687" w:rsidRDefault="00454687" w:rsidP="00454687">
      <w:pPr>
        <w:widowControl/>
        <w:spacing w:before="100" w:beforeAutospacing="1" w:after="100" w:afterAutospacing="1"/>
        <w:outlineLvl w:val="1"/>
        <w:rPr>
          <w:rFonts w:ascii="ＭＳ 明朝" w:eastAsia="ＭＳ 明朝" w:hAnsi="ＭＳ 明朝" w:cs="ＭＳ Ｐゴシック"/>
          <w:b/>
          <w:bCs/>
          <w:kern w:val="0"/>
          <w:sz w:val="28"/>
          <w:szCs w:val="28"/>
          <w14:ligatures w14:val="none"/>
        </w:rPr>
      </w:pPr>
      <w:r w:rsidRPr="00454687">
        <w:rPr>
          <w:rFonts w:ascii="ＭＳ 明朝" w:eastAsia="ＭＳ 明朝" w:hAnsi="ＭＳ 明朝" w:cs="ＭＳ Ｐゴシック"/>
          <w:b/>
          <w:bCs/>
          <w:kern w:val="0"/>
          <w:sz w:val="28"/>
          <w:szCs w:val="28"/>
          <w14:ligatures w14:val="none"/>
        </w:rPr>
        <w:t>第5部：理論的考察と統合モデル—市場成熟度×戦略適合性の新理論</w:t>
      </w:r>
    </w:p>
    <w:p w14:paraId="04660E77"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t>5.1. 既存理論の限界と本研究の理論的位置づけ</w:t>
      </w:r>
    </w:p>
    <w:p w14:paraId="5A45AED1"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第4部の実証的発見は、既存のプラットフォーム理論と国際経営戦略論に対して重要な理論的示唆を提供する。既存のプラットフォーム理論（Rochet &amp; Tirole, 2003; Parker et al., 2016）は、主に先進国市場を前提とした理論構築がなされてきた。本研究の実証的発見は、プラットフォーム戦略の有効性が市場の成熟度に強く依存することを示している。</w:t>
      </w:r>
    </w:p>
    <w:p w14:paraId="3E505B9F"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国際経営戦略論においては、Bartlett &amp; Ghoshal（1989）の古典的研究が、多国籍企業の戦略を「グローバル統合」と「ローカル適応」の二次元で分類した。しかし、この枠組みは、異なる市場が同時に異なる発展段階にある状況を十分に考慮していない。本研究の実証的発見は、アジア太平洋市場において、市場成熟度の差異が極めて大きく、各市場に適合的な戦略パターンが明確に異なることを示している。</w:t>
      </w:r>
    </w:p>
    <w:p w14:paraId="2BD7B87B"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t>5.2. 新概念の提示：市場成熟度×戦略適合性マトリックス</w:t>
      </w:r>
    </w:p>
    <w:p w14:paraId="0DCD18BC"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既存理論の限界を踏まえ、本研究は「市場成熟度×戦略適合性マトリックス」という新しい理論的枠組みを提示する。このマトリックスは、市場成熟度（4層分類）と戦略パターン（3類型）の組み合わせにより、12の戦略セルを定義する。各セルについて、適合性の程度、成功条件、財務パフォーマンスの予測値を理論的に導出する。</w:t>
      </w:r>
    </w:p>
    <w:p w14:paraId="103A93CE"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市場成熟度×戦略適合性マトリックスは、以下の三つの理論的基盤に基づいて構築される。第一に、コンティンジェンシー理論（Lawrence &amp; Lorsch, 1967）である。コンティンジェンシー理論は、組織の有効性が環境との適合性によって決定されることを主張する。第二に、組織的相補性理論（Milgrom &amp; Roberts, 1995）である。組織的相補性理論は、複数の組織的要素が相互に強化し合い、全体として要素の総和を上回る成果を生み出すことを説明する。第三に、ダイナミック・ケイパビリティ理論（Teece et al., 1997）である。ダイナミック・ケイパビリティ理論は、環境変化に対応して組織能力を再構成する能力が、持続的競争優位の源泉であることを主張する。</w:t>
      </w:r>
    </w:p>
    <w:p w14:paraId="3244FF75"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t>5.3. 理論的メカニズムの解明：なぜ適合性が重要なのか</w:t>
      </w:r>
    </w:p>
    <w:p w14:paraId="1C08F922"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lastRenderedPageBreak/>
        <w:t xml:space="preserve">　市場成熟度と戦略適合性の関係を理論的に深く理解するため、適合性が財務パフォーマンスに影響を与える三つのメカニズムを解明する。</w:t>
      </w:r>
    </w:p>
    <w:p w14:paraId="1F4A47B9"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第一のメカニズムは、資源配分の効率性である。市場成熟度に適合した戦略パターンは、資源配分の効率性を最大化する。急成長市場においてエコシステム戦略が適合的である理由は、限られた資本を固定資産投資（物流インフラ等）ではなく、顧客獲得とネットワーク効果の構築に集中できるからである。</w:t>
      </w:r>
    </w:p>
    <w:p w14:paraId="7FAE4AC9"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第二のメカニズムは、競争ダイナミクスへの適応である。市場成熟度に適合した戦略パターンは、当該市場における競争ダイナミクスに効果的に対応する。急成長市場では、競争の焦点は市場シェアの獲得にあり、価格競争よりもサービス範囲の拡大が重視される。</w:t>
      </w:r>
    </w:p>
    <w:p w14:paraId="5C780544"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第三のメカニズムは、組織的学習とケイパビリティ構築である。市場成熟度に適合した戦略パターンは、長期的な組織的学習とケイパビリティ構築を促進する。エコシステム戦略を採用する急成長市場のプラットフォーム企業は、多様な販売者との協働を通じて、市場ニーズの把握、マーケットプレイス運営のノウハウ、データ分析能力などのケイパビリティを蓄積する。</w:t>
      </w:r>
    </w:p>
    <w:p w14:paraId="036EF279"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t>5.4. 新理論命題の提示：市場成熟度×戦略適合性理論</w:t>
      </w:r>
    </w:p>
    <w:p w14:paraId="5258CD98"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以上の理論的考察に基づき、本研究は「市場成熟度×戦略適合性理論」を構成する5つの理論命題を提示する。</w:t>
      </w:r>
    </w:p>
    <w:p w14:paraId="33D41E8E"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命題1（戦略適合性命題）：プラットフォーム企業の財務パフォーマンス（収益性、成長率、資本効率）は、市場成熟度と戦略パターンの適合性により決定される。適合性が高い企業は優れたパフォーマンスを実現し、適合性が低い企業は劣悪なパフォーマンスに陥る。</w:t>
      </w:r>
    </w:p>
    <w:p w14:paraId="6BA4FB5C"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命題2（市場層別最適戦略命題）：第1層（超成熟市場）ではハイブリッド戦略、第2層（成熟市場）ではハイブリッド戦略または差別化型垂直統合、第3層（急成長市場）ではエコシステム戦略、第4層（新興市場）ではローカライズ型ハイブリッド戦略が、それぞれ最適である。</w:t>
      </w:r>
    </w:p>
    <w:p w14:paraId="334BE718"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命題3（動的適応命題）：市場成熟度は時間とともに進化するため、プラットフォーム企業は市場成熟度の変化に応じて戦略パターンを動的に適応させる必要がある。この適応能力（ダイナミック・ケイパビリティ）が、持続的競争優位の源泉となる。</w:t>
      </w:r>
    </w:p>
    <w:p w14:paraId="01ED4223"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lastRenderedPageBreak/>
        <w:t xml:space="preserve">　命題4（組織的相補性命題）：ハイブリッド戦略の有効性は、垂直統合部門とエコシステム部門の組織的相補性により説明される。両部門が相互に強化し合う場合、要素の総和を上回るパフォーマンスが実現される。組織的相補性は、超成熟市場と新興市場において特に重要である。</w:t>
      </w:r>
    </w:p>
    <w:p w14:paraId="060EF7F5"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命題5（D2C成長軌道命題）：D2Cブランドの成長軌道（成長率と収益性のバランス）は、市場成熟度により決定される。急成長市場では成長優先型、超成熟市場では収益性重視型、新興市場ではソーシャルコマース統合型が、それぞれ最適である。</w:t>
      </w:r>
    </w:p>
    <w:p w14:paraId="074B312D"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t>5.5. 既存理論への理論的貢献</w:t>
      </w:r>
    </w:p>
    <w:p w14:paraId="6AAA342D"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本研究の「市場成熟度×戦略適合性理論」は、既存理論に対して三つの理論的貢献を提供する。</w:t>
      </w:r>
    </w:p>
    <w:p w14:paraId="1EA09AB4"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第一に、既存のプラットフォーム理論（Rochet &amp; Tirole, 2003; Parker et al., 2016）に対して、本研究は市場成熟度という文脈変数を導入することで、プラットフォーム戦略の有効性が文脈依存的であることを理論的・実証的に示した。規模の経済や間接ネットワーク効果といった普遍的メカニズムは、市場成熟度により異なる形で発現する。</w:t>
      </w:r>
    </w:p>
    <w:p w14:paraId="125BB26D"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第二に、既存の国際経営戦略論（Bartlett &amp; Ghoshal, 1989）に対して、本研究は「グローバル統合 vs ローカル適応」という二分法を超えた、市場成熟度別の段階的適応モデルを提示した。市場の発展段階により、最適な戦略パターンは異なり、企業は市場成熟度の進化に応じて戦略を動的に適応させる必要がある。</w:t>
      </w:r>
    </w:p>
    <w:p w14:paraId="62D8BA90"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第三に、既存の組織的相補性理論（Milgrom &amp; Roberts, 1995）に対して、本研究はプラットフォームビジネスにおけるハイブリッド戦略の理論的基盤を提供した。垂直統合とエコシステム開放は、一見矛盾する戦略要素であるが、適切に組み合わせることで組織的相補性が発現し、要素の総和を上回るパフォーマンスが実現される。</w:t>
      </w:r>
    </w:p>
    <w:p w14:paraId="2F7A24A5" w14:textId="77777777" w:rsidR="00454687" w:rsidRPr="00454687" w:rsidRDefault="00F7669B" w:rsidP="00454687">
      <w:pPr>
        <w:widowControl/>
        <w:rPr>
          <w:rFonts w:ascii="ＭＳ 明朝" w:eastAsia="ＭＳ 明朝" w:hAnsi="ＭＳ 明朝" w:cs="ＭＳ Ｐゴシック"/>
          <w:kern w:val="0"/>
          <w:szCs w:val="21"/>
          <w14:ligatures w14:val="none"/>
        </w:rPr>
      </w:pPr>
      <w:r>
        <w:rPr>
          <w:noProof/>
        </w:rPr>
      </w:r>
      <w:r>
        <w:pict w14:anchorId="471717B3">
          <v:rect id="Horizontal Line 6" o:spid="_x0000_s102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" filled="f">
            <o:lock v:ext="edit" rotation="t" aspectratio="t" verticies="t" text="t" shapetype="t"/>
            <w10:anchorlock/>
          </v:rect>
        </w:pict>
      </w:r>
    </w:p>
    <w:p w14:paraId="7BDC8ADB" w14:textId="77777777" w:rsidR="00454687" w:rsidRPr="00454687" w:rsidRDefault="00454687" w:rsidP="00454687">
      <w:pPr>
        <w:widowControl/>
        <w:spacing w:before="100" w:beforeAutospacing="1" w:after="100" w:afterAutospacing="1"/>
        <w:outlineLvl w:val="1"/>
        <w:rPr>
          <w:rFonts w:ascii="ＭＳ 明朝" w:eastAsia="ＭＳ 明朝" w:hAnsi="ＭＳ 明朝" w:cs="ＭＳ Ｐゴシック"/>
          <w:b/>
          <w:bCs/>
          <w:kern w:val="0"/>
          <w:sz w:val="28"/>
          <w:szCs w:val="28"/>
          <w14:ligatures w14:val="none"/>
        </w:rPr>
      </w:pPr>
      <w:r w:rsidRPr="00454687">
        <w:rPr>
          <w:rFonts w:ascii="ＭＳ 明朝" w:eastAsia="ＭＳ 明朝" w:hAnsi="ＭＳ 明朝" w:cs="ＭＳ Ｐゴシック"/>
          <w:b/>
          <w:bCs/>
          <w:kern w:val="0"/>
          <w:sz w:val="28"/>
          <w:szCs w:val="28"/>
          <w14:ligatures w14:val="none"/>
        </w:rPr>
        <w:t>第6部：学術的・実務的インプリケーション</w:t>
      </w:r>
    </w:p>
    <w:p w14:paraId="56C7E73F"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t>6.1. 学術的インプリケーション</w:t>
      </w:r>
    </w:p>
    <w:p w14:paraId="4DFF471C"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lastRenderedPageBreak/>
        <w:t xml:space="preserve">　本研究は、アジア太平洋E-commerce市場における市場成熟度と事業戦略パターンの構造的関係を解明し、既存の国際経営戦略論とプラットフォーム理論に対して三つの重要な理論的貢献を提供する。</w:t>
      </w:r>
    </w:p>
    <w:p w14:paraId="5557D43D"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第一に、本研究は既存のプラットフォーム理論（Rochet &amp; Tirole, 2003; Parker et al., 2016）を市場成熟度という新しい次元で拡張した。本研究の実証分析により、市場成熟度が高まるにつれて、プラットフォーム企業は純粋なエコシステム戦略から垂直統合とエコシステム開放を組み合わせたハイブリッド戦略へと移行する傾向が確認された。これは、Gawer &amp; Cusumano（2014）が提唱したプラットフォーム・リーダーシップ論における「補完的資産の選択的統合」という概念を、市場成熟度の文脈で実証的に裏付けるものである。</w:t>
      </w:r>
    </w:p>
    <w:p w14:paraId="2576048C"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第二に、本研究は制度的距離理論（Kostova, 1999）とダイナミック・ケイパビリティ理論（Teece et al., 1997）を統合し、市場成熟度に応じた戦略的適応の動的プロセスを理論化した。Kostova（1999）は、制度的距離が大きいほど企業の適応コストが増大すると主張したが、本研究はこれを時間的次元で拡張した。すなわち、市場成熟度の進化に伴い、制度的環境そのものが変化し、それに応じて企業の戦略パターンも動的に調整される必要がある。</w:t>
      </w:r>
    </w:p>
    <w:p w14:paraId="3B994746"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第三に、本研究は組織的相補性理論（Milgrom &amp; Roberts, 1995）を国際市場戦略の文脈に適用し、戦略的要素間の相互作用が市場成熟度によって調整されることを明らかにした。本研究の比較ケース分析により、垂直統合、エコシステム開放、ローカル適応という三要素の相補性が、市場成熟度によって異なる形で発現することが確認された。</w:t>
      </w:r>
    </w:p>
    <w:p w14:paraId="02502F29"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これらの理論的貢献は、国際経営戦略論における「グローバル統合 vs ローカル適応」という伝統的な二分法（Bartlett &amp; Ghoshal, 1989）を超えて、市場成熟度に応じた段階的適応の新しい理論的枠組みを提示するものである。</w:t>
      </w:r>
    </w:p>
    <w:p w14:paraId="592DEC7E"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t>6.2. 実務的インプリケーション</w:t>
      </w:r>
    </w:p>
    <w:p w14:paraId="51D68B3F"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本研究の発見は、アジア太平洋市場への参入・拡大を検討する企業に対して、四つの重要な実務的示唆を提供する。</w:t>
      </w:r>
    </w:p>
    <w:p w14:paraId="2EA8C8D4"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第一に、市場成熟度に応じた戦略選択の重要性である。本研究の実証分析は、「ある市場で成功した戦略が他の市場でも成功する」という単純な仮定が成立しないことを明確に示した。中国の超成熟市場で成功したAlibaba/Tmallのハイブリッド戦略を、インドの急成長市場にそのまま適用しても同様の成果は期待できない。</w:t>
      </w:r>
    </w:p>
    <w:p w14:paraId="1C2D37CC"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lastRenderedPageBreak/>
        <w:t xml:space="preserve">　第二に、段階的戦略進化の設計である。本研究は、市場成熟度の進化に伴い、プラットフォーム企業の戦略パターンも動的に調整される必要があることを明らかにした。具体的には、急成長市場への参入時にはエコシステム戦略で迅速に市場シェアを獲得し、市場が成熟するにつれて選択的な垂直統合を進め、最終的にはハイブリッド戦略へと移行する段階的アプローチが効果的である。</w:t>
      </w:r>
    </w:p>
    <w:p w14:paraId="0DC24B3A"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第三に、D2Cブランドに対するプラットフォーム依存度の戦略的管理である。本研究の分析により、D2Cブランドの最適戦略は市場成熟度によって大きく異なることが明らかになった。急成長市場では、プラットフォームの広告とロジスティクスを積極的に活用し、成長速度を最大化する戦略が効果的である。一方、超成熟市場では、プラットフォーム依存度を下げ、自社チャネルやオムニチャネル戦略を構築することで収益性を向上させる必要がある。</w:t>
      </w:r>
    </w:p>
    <w:p w14:paraId="71CCB9CC"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第四に、地域間の戦略的資源配分である。本研究は、東南アジアのような新興市場では、地域間の発展格差が大きく、均一な戦略では効果的な市場獲得が困難であることを明らかにした。Sea Limited/Shopeeの成功は、各国の市場特性に応じて、物流インフラ投資、決済システム、マーケティング戦略を柔軟にカスタマイズしたことに起因する。</w:t>
      </w:r>
    </w:p>
    <w:p w14:paraId="5600BD1F"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t>6.3. 研究の限界</w:t>
      </w:r>
    </w:p>
    <w:p w14:paraId="75642B65"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本研究は重要な理論的・実務的貢献を提供する一方で、いくつかの限界を有しており、結果の解釈には慎重さが求められる。</w:t>
      </w:r>
    </w:p>
    <w:p w14:paraId="1EE1B96E"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第一に、データアクセスの制約である。本研究は主に公開されている財務データ、IR資料、業界レポート、ニュース記事に基づく定性的分析に依拠している。非上場企業（Tokopedia、Flipkartなど）については、詳細な財務データが入手困難であり、親会社の限定的な開示情報や二次資料からの推測に頼らざるを得なかった。</w:t>
      </w:r>
    </w:p>
    <w:p w14:paraId="54936E7A"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第二に、ケース選択のバイアスの可能性である。本研究は、各市場層から代表的な成功企業を主に選択したが、これは生存バイアス（survivorship bias）を生み出す可能性がある。市場から退出した企業や、戦略の失敗により業績が低迷している企業の分析が不足しているため、成功要因だけでなく失敗要因を体系的に理解することが困難であった。</w:t>
      </w:r>
    </w:p>
    <w:p w14:paraId="37021D08"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第三に、因果推論の限界である。本研究は複数ケーススタディ法に基づく定性的比較分析を採用したが、厳密な意味での因果関係の証明は困難である。市場成熟度と戦略パターンの関係について、観察された相関関係が因果関係を意味するかどうかは、さらなる検証が必要である。</w:t>
      </w:r>
    </w:p>
    <w:p w14:paraId="67208628"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lastRenderedPageBreak/>
        <w:t xml:space="preserve">　第四に、時間的制約による分析深度の限定である。本研究は約4週間という限られた期間で実施されたため、各ケースの歴史的展開や時系列的変化の詳細な追跡が十分に実施できなかった。</w:t>
      </w:r>
    </w:p>
    <w:p w14:paraId="65C7ACF5"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第五に、市場成熟度の操作化の限界である。本研究では、デジタル浸透率、成長率、自国プラットフォームの支配度などの指標を組み合わせて市場成熟度を4層に分類したが、この分類は必然的に恣意性を含む。市場成熟度という概念自体が多次元的であり、単一の指標で捉えることは困難である。</w:t>
      </w:r>
    </w:p>
    <w:p w14:paraId="38431995"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これらの限界にもかかわらず、本研究は市場成熟度という新しい理論的視点を導入し、アジア太平洋E-commerce市場の戦略的多様性を体系的に理解する枠組みを提供するという重要な貢献を果たしている。</w:t>
      </w:r>
    </w:p>
    <w:p w14:paraId="01393629" w14:textId="77777777" w:rsidR="00454687" w:rsidRPr="00454687" w:rsidRDefault="00F7669B" w:rsidP="00454687">
      <w:pPr>
        <w:widowControl/>
        <w:rPr>
          <w:rFonts w:ascii="ＭＳ 明朝" w:eastAsia="ＭＳ 明朝" w:hAnsi="ＭＳ 明朝" w:cs="ＭＳ Ｐゴシック"/>
          <w:kern w:val="0"/>
          <w:szCs w:val="21"/>
          <w14:ligatures w14:val="none"/>
        </w:rPr>
      </w:pPr>
      <w:r>
        <w:rPr>
          <w:noProof/>
        </w:rPr>
      </w:r>
      <w:r>
        <w:pict w14:anchorId="735B7030">
          <v:rect id="Horizontal Line 7" o:spid="_x0000_s102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" filled="f">
            <o:lock v:ext="edit" rotation="t" aspectratio="t" verticies="t" text="t" shapetype="t"/>
            <w10:anchorlock/>
          </v:rect>
        </w:pict>
      </w:r>
    </w:p>
    <w:p w14:paraId="0ADF6BE2" w14:textId="77777777" w:rsidR="00454687" w:rsidRPr="00454687" w:rsidRDefault="00454687" w:rsidP="00454687">
      <w:pPr>
        <w:widowControl/>
        <w:spacing w:before="100" w:beforeAutospacing="1" w:after="100" w:afterAutospacing="1"/>
        <w:outlineLvl w:val="1"/>
        <w:rPr>
          <w:rFonts w:ascii="ＭＳ 明朝" w:eastAsia="ＭＳ 明朝" w:hAnsi="ＭＳ 明朝" w:cs="ＭＳ Ｐゴシック"/>
          <w:b/>
          <w:bCs/>
          <w:kern w:val="0"/>
          <w:sz w:val="28"/>
          <w:szCs w:val="28"/>
          <w14:ligatures w14:val="none"/>
        </w:rPr>
      </w:pPr>
      <w:r w:rsidRPr="00454687">
        <w:rPr>
          <w:rFonts w:ascii="ＭＳ 明朝" w:eastAsia="ＭＳ 明朝" w:hAnsi="ＭＳ 明朝" w:cs="ＭＳ Ｐゴシック"/>
          <w:b/>
          <w:bCs/>
          <w:kern w:val="0"/>
          <w:sz w:val="28"/>
          <w:szCs w:val="28"/>
          <w14:ligatures w14:val="none"/>
        </w:rPr>
        <w:t>第7部：結論</w:t>
      </w:r>
    </w:p>
    <w:p w14:paraId="383A7E4B"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t>7.1. 研究の要約</w:t>
      </w:r>
    </w:p>
    <w:p w14:paraId="370BC346"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本研究は、「アジア太平洋E-commerce市場における市場成熟度の差異は、プラットフォーム企業の事業戦略パターンとD2Cブランドの成長軌道にどのような構造的差異をもたらすのか」というリサーチクエスチョンに対して、複数ケーススタディ法による実証的分析を通じて答えを提示した。</w:t>
      </w:r>
    </w:p>
    <w:p w14:paraId="594F2341"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分析の結果、市場成熟度は企業の戦略選択に対して決定的な影響を与えることが明らかになった。第一に、超成熟市場（中国・韓国）では、競争激化により、垂直統合による差別化とエコシステム開放による規模の経済を両立するハイブリッド戦略が支配的である。Alibaba/TmallとCoupangの事例分析により、この戦略パターンが営業利益率の向上と市場シェアの維持を同時に実現することが確認された。第二に、急成長市場（インド）では、未開拓の巨大市場を迅速に獲得するため、サードパーティを動員するエコシステム戦略が効果的である。FlipkartとAmazon Indiaの成功は、この戦略の有効性を実証している。第三に、新興市場（東南アジア）では、地域間の発展格差に対応するため、国ごとにカスタマイズされたハイブリッド戦略が必要である。Sea Limited/Shopeeの地域別戦略の柔軟な調整は、この適応の重要性を示している。</w:t>
      </w:r>
    </w:p>
    <w:p w14:paraId="4C0851C0"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D2Cブランドについても、市場成熟度に応じた最適戦略が異なることが確認された。急成長市場では成長速度を最大化するため、プラットフォーム依存度の高い戦略が採用され</w:t>
      </w:r>
      <w:r w:rsidRPr="00454687">
        <w:rPr>
          <w:rFonts w:ascii="ＭＳ 明朝" w:eastAsia="ＭＳ 明朝" w:hAnsi="ＭＳ 明朝" w:cs="ＭＳ Ｐゴシック"/>
          <w:kern w:val="0"/>
          <w:szCs w:val="21"/>
          <w14:ligatures w14:val="none"/>
        </w:rPr>
        <w:lastRenderedPageBreak/>
        <w:t>る一方、超成熟市場では収益性を重視し、独自チャネルやオムニチャネル戦略を構築する傾向がある。</w:t>
      </w:r>
    </w:p>
    <w:p w14:paraId="7635041F"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これらの発見は、既存のプラットフォーム理論、制度理論、ダイナミック・ケイパビリティ理論、組織的相補性理論を統合し、市場成熟度という新しい次元で理論を拡張するものである。</w:t>
      </w:r>
    </w:p>
    <w:p w14:paraId="6AEBFD24"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t>7.2. 理論的貢献の再確認</w:t>
      </w:r>
    </w:p>
    <w:p w14:paraId="7A5B2CDC"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本研究の中核的な理論的貢献は、「市場成熟度×戦略パターン適合性フレームワーク」という統合的な理論モデルの構築にある。このフレームワークは、以下の三つの理論的命題によって構成される。</w:t>
      </w:r>
    </w:p>
    <w:p w14:paraId="16D4EB96"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命題1：プラットフォーム企業の最適戦略パターンは、市場成熟度によって構造的に異なる。具体的には、超成熟市場ではハイブリッド戦略、急成長市場ではエコシステム戦略、新興市場ではローカライズされたハイブリッド戦略が、それぞれ最も適合する。</w:t>
      </w:r>
    </w:p>
    <w:p w14:paraId="015E901E"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命題2：市場成熟度の進化に伴い、プラットフォーム企業の戦略パターンも動的に調整される必要がある。この動的適応プロセスは、Teece et al.（1997）のダイナミック・ケイパビリティ理論における「感知、捕捉、変容」という三段階モデルにより説明される。</w:t>
      </w:r>
    </w:p>
    <w:p w14:paraId="23CB9256"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命題3：垂直統合、エコシステム開放、ローカル適応という三つの戦略的要素の組織的相補性は、市場成熟度によって異なる形で発現する。超成熟市場では三要素の高度な統合が必要であるのに対し、急成長市場ではエコシステム開放が優先され、新興市場では地域ごとのカスタマイズが重視される。</w:t>
      </w:r>
    </w:p>
    <w:p w14:paraId="53B9B300"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この統合的フレームワークは、既存の国際経営戦略論における「グローバル統合 vs ローカル適応」という伝統的な二分法を超え、市場成熟度に応じた段階的適応の理論的基盤を提供するものである。</w:t>
      </w:r>
    </w:p>
    <w:p w14:paraId="1614F077"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t>7.3. 今後の研究課題</w:t>
      </w:r>
    </w:p>
    <w:p w14:paraId="3C59BEDA"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本研究が開いた新しい研究領域には、今後取り組むべき重要な課題が複数存在する。</w:t>
      </w:r>
    </w:p>
    <w:p w14:paraId="59FB7ED2"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第一に、因果推論の精緻化である。本研究は定性的比較分析に基づいているが、今後の研究では、パネルデータ分析や準実験的手法（差分の差分法、操作変数法、回帰不連続デザインなど）を用いて、市場成熟度と戦略パターンの因果関係をより厳密に検証する必要がある。</w:t>
      </w:r>
    </w:p>
    <w:p w14:paraId="203D1F06"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lastRenderedPageBreak/>
        <w:t xml:space="preserve">　第二に、市場成熟度の測定尺度の精緻化である。本研究では、デジタル浸透率、成長率、自国プラットフォーム支配度などの指標を組み合わせて市場成熟度を分類したが、より体系的な測定尺度の開発が必要である。具体的には、技術インフラの整備度、消費者のデジタルリテラシー、規制環境の成熟度、決済システムの発展度などの多次元的指標を統合した包括的な市場成熟度指標の構築が望まれる。</w:t>
      </w:r>
    </w:p>
    <w:p w14:paraId="63DBEFC3"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第三に、失敗事例の体系的分析である。本研究は主に成功企業を分析対象としたが、今後の研究では、市場から退出した企業や戦略転換に失敗した企業を体系的に分析することで、成功要因だけでなく失敗要因を明らかにする必要がある。</w:t>
      </w:r>
    </w:p>
    <w:p w14:paraId="0789E9BB"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第四に、AI時代における戦略パターンの進化である。本研究が実施された2025年時点では、AIエージェントによる自律的購買はまだ初期段階にあるが、今後数年間で急速に普及する可能性がある。プラットフォーム企業はAIエージェント市場への参入を加速しており、これが既存の戦略パターンにどのような影響を与えるかは重要な研究課題である。</w:t>
      </w:r>
    </w:p>
    <w:p w14:paraId="50D84EE6"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第五に、他地域・他産業への理論の拡張である。本研究はアジア太平洋E-commerce市場に焦点を当てたが、開発された「市場成熟度×戦略パターン適合性フレームワーク」は、他の地域（アフリカ、中南米など）や他の産業（フィンテック、ヘルスケア、教育など）にも適用可能である。</w:t>
      </w:r>
    </w:p>
    <w:p w14:paraId="1557AE97"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第六に、サステナビリティとの統合である。本研究は主に経済的パフォーマンスに焦点を当てたが、今後の研究では、環境的・社会的サステナビリティとの関係を明らかにする必要がある。市場成熟度が高まるにつれて、消費者や規制当局からのサステナビリティへの要求も高まる傾向があり、これが戦略パターンの選択にどのような影響を与えるかは重要な研究課題である。</w:t>
      </w:r>
    </w:p>
    <w:p w14:paraId="5FD192F2"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 xml:space="preserve">　本研究が提示した「市場成熟度×戦略パターン適合性フレームワーク」は、アジア太平洋E-commerce市場の複雑性と多様性を理解するための重要な理論的基盤を提供するものである。今後の研究により、この枠組みがさらに精緻化され、理論的・実務的価値が一層高まることが期待される。アジア太平洋市場は今後も世界経済の成長エンジンとして重要な役割を果たすことが予想されており、本研究が提供する洞察は、学術研究者、実務家、政策立案者にとって長期的な価値を持つものと確信する。</w:t>
      </w:r>
    </w:p>
    <w:p w14:paraId="05FF41AF" w14:textId="77777777" w:rsidR="00454687" w:rsidRPr="00454687" w:rsidRDefault="00F7669B" w:rsidP="00454687">
      <w:pPr>
        <w:widowControl/>
        <w:rPr>
          <w:rFonts w:ascii="ＭＳ 明朝" w:eastAsia="ＭＳ 明朝" w:hAnsi="ＭＳ 明朝" w:cs="ＭＳ Ｐゴシック"/>
          <w:kern w:val="0"/>
          <w:szCs w:val="21"/>
          <w14:ligatures w14:val="none"/>
        </w:rPr>
      </w:pPr>
      <w:r>
        <w:rPr>
          <w:noProof/>
        </w:rPr>
      </w:r>
      <w:r>
        <w:pict w14:anchorId="0A4A5E63">
          <v:rect id="Horizontal Line 8" o:spid="_x0000_s102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" filled="f">
            <o:lock v:ext="edit" rotation="t" aspectratio="t" verticies="t" text="t" shapetype="t"/>
            <w10:anchorlock/>
          </v:rect>
        </w:pict>
      </w:r>
    </w:p>
    <w:p w14:paraId="2C877C0A" w14:textId="77777777" w:rsidR="00454687" w:rsidRPr="00454687" w:rsidRDefault="00454687" w:rsidP="00454687">
      <w:pPr>
        <w:widowControl/>
        <w:spacing w:before="100" w:beforeAutospacing="1" w:after="100" w:afterAutospacing="1"/>
        <w:outlineLvl w:val="1"/>
        <w:rPr>
          <w:rFonts w:ascii="ＭＳ 明朝" w:eastAsia="ＭＳ 明朝" w:hAnsi="ＭＳ 明朝" w:cs="ＭＳ Ｐゴシック"/>
          <w:b/>
          <w:bCs/>
          <w:kern w:val="0"/>
          <w:sz w:val="28"/>
          <w:szCs w:val="28"/>
          <w14:ligatures w14:val="none"/>
        </w:rPr>
      </w:pPr>
      <w:r w:rsidRPr="00454687">
        <w:rPr>
          <w:rFonts w:ascii="ＭＳ 明朝" w:eastAsia="ＭＳ 明朝" w:hAnsi="ＭＳ 明朝" w:cs="ＭＳ Ｐゴシック"/>
          <w:b/>
          <w:bCs/>
          <w:kern w:val="0"/>
          <w:sz w:val="28"/>
          <w:szCs w:val="28"/>
          <w14:ligatures w14:val="none"/>
        </w:rPr>
        <w:t>参考文献</w:t>
      </w:r>
    </w:p>
    <w:p w14:paraId="64AE5E94"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lastRenderedPageBreak/>
        <w:t>理論的基盤</w:t>
      </w:r>
    </w:p>
    <w:p w14:paraId="106F3088"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Acceleration Partners (2024) "2024 APAC E-Commerce Landscape."</w:t>
      </w:r>
      <w:r w:rsidRPr="00454687">
        <w:rPr>
          <w:rFonts w:ascii="ＭＳ 明朝" w:eastAsia="ＭＳ 明朝" w:hAnsi="ＭＳ 明朝" w:cs="ＭＳ Ｐゴシック"/>
          <w:kern w:val="0"/>
          <w:szCs w:val="21"/>
          <w14:ligatures w14:val="none"/>
        </w:rPr>
        <w:br/>
        <w:t>https://www.accelerationpartners.com/resources/transforming-2024-apac-ecommerce/ [最終アクセス: 2024.11.20]</w:t>
      </w:r>
    </w:p>
    <w:p w14:paraId="14A57FF1"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Barney, J. (1991) "Firm Resources and Sustained Competitive Advantage," Journal of Management, 17(1), pp.99-120.</w:t>
      </w:r>
      <w:r w:rsidRPr="00454687">
        <w:rPr>
          <w:rFonts w:ascii="ＭＳ 明朝" w:eastAsia="ＭＳ 明朝" w:hAnsi="ＭＳ 明朝" w:cs="ＭＳ Ｐゴシック"/>
          <w:kern w:val="0"/>
          <w:szCs w:val="21"/>
          <w14:ligatures w14:val="none"/>
        </w:rPr>
        <w:br/>
        <w:t>https://journals.sagepub.com/doi/10.1177/014920639101700108 [最終アクセス: 2025.11.22]</w:t>
      </w:r>
    </w:p>
    <w:p w14:paraId="2C29EC4F"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Bartlett, C.A. &amp; Ghoshal, S. (1989) Managing Across Borders: The Transnational Solution, Harvard Business School Press, pp.65-89.</w:t>
      </w:r>
    </w:p>
    <w:p w14:paraId="5F5B6F89"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Denzin, N.K. (1978) The Research Act: A Theoretical Introduction to Sociological Methods, 2nd ed., McGraw-Hill, pp.291-307.</w:t>
      </w:r>
    </w:p>
    <w:p w14:paraId="51D2B6A1"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Eisenhardt, K.M. (1989) "Building Theories from Case Study Research," Academy of Management Review, 14(4), pp.532-550.</w:t>
      </w:r>
      <w:r w:rsidRPr="00454687">
        <w:rPr>
          <w:rFonts w:ascii="ＭＳ 明朝" w:eastAsia="ＭＳ 明朝" w:hAnsi="ＭＳ 明朝" w:cs="ＭＳ Ｐゴシック"/>
          <w:kern w:val="0"/>
          <w:szCs w:val="21"/>
          <w14:ligatures w14:val="none"/>
        </w:rPr>
        <w:br/>
        <w:t>https://journals.aom.org/doi/10.5465/amr.1989.4308385 [最終アクセス: 2025.11.22]</w:t>
      </w:r>
    </w:p>
    <w:p w14:paraId="1BB532DB"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Eisenmann, T., Parker, G. &amp; Van Alstyne, M.W. (2006) "Strategies for Two-Sided Markets," Harvard Business Review, 84(10), pp.131-133.</w:t>
      </w:r>
    </w:p>
    <w:p w14:paraId="116CB269"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Expert Market Research (2024) "Asia Pacific E-Commerce Market Size &amp; Share | Report 2034."</w:t>
      </w:r>
      <w:r w:rsidRPr="00454687">
        <w:rPr>
          <w:rFonts w:ascii="ＭＳ 明朝" w:eastAsia="ＭＳ 明朝" w:hAnsi="ＭＳ 明朝" w:cs="ＭＳ Ｐゴシック"/>
          <w:kern w:val="0"/>
          <w:szCs w:val="21"/>
          <w14:ligatures w14:val="none"/>
        </w:rPr>
        <w:br/>
        <w:t>https://www.expertmarketresearch.com/reports/asia-pacific-e-commerce-market [最終アクセス: 2024.11.20]</w:t>
      </w:r>
    </w:p>
    <w:p w14:paraId="12051820"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Gawer, A. &amp; Cusumano, M.A. (2014) "Industry Platforms and Ecosystem Innovation," Journal of Product Innovation Management, 31(3), pp.417-433.</w:t>
      </w:r>
    </w:p>
    <w:p w14:paraId="687B3D05"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Grand View Research (2024) "Asia Pacific E-commerce Market Size &amp; Outlook, 2024-2030."</w:t>
      </w:r>
      <w:r w:rsidRPr="00454687">
        <w:rPr>
          <w:rFonts w:ascii="ＭＳ 明朝" w:eastAsia="ＭＳ 明朝" w:hAnsi="ＭＳ 明朝" w:cs="ＭＳ Ｐゴシック"/>
          <w:kern w:val="0"/>
          <w:szCs w:val="21"/>
          <w14:ligatures w14:val="none"/>
        </w:rPr>
        <w:br/>
        <w:t>https://www.grandviewresearch.com/horizon/outlook/e-commerce-market/asia-pacific [最終アクセス: 2024.11.20]</w:t>
      </w:r>
    </w:p>
    <w:p w14:paraId="5AE0C7E6"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lastRenderedPageBreak/>
        <w:t>Kostova, T. (1999) "Transnational Transfer of Strategic Organizational Practices: A Contextual Perspective," Academy of Management Review, 24(2), pp.308-324.</w:t>
      </w:r>
      <w:r w:rsidRPr="00454687">
        <w:rPr>
          <w:rFonts w:ascii="ＭＳ 明朝" w:eastAsia="ＭＳ 明朝" w:hAnsi="ＭＳ 明朝" w:cs="ＭＳ Ｐゴシック"/>
          <w:kern w:val="0"/>
          <w:szCs w:val="21"/>
          <w14:ligatures w14:val="none"/>
        </w:rPr>
        <w:br/>
        <w:t>https://journals.aom.org/doi/10.5465/amr.1999.1893938 [最終アクセス: 2025.11.22]</w:t>
      </w:r>
    </w:p>
    <w:p w14:paraId="7C61AFA6"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Lawrence, P.R. &amp; Lorsch, J.W. (1967) Organization and Environment: Managing Differentiation and Integration, Harvard Business School Press, pp.1-47.</w:t>
      </w:r>
    </w:p>
    <w:p w14:paraId="4A9C5F20"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Miles, M.B., Huberman, A.M. &amp; Saldana, J. (2014) Qualitative Data Analysis: A Methods Sourcebook, 3rd ed., SAGE Publications, pp.31-33.</w:t>
      </w:r>
    </w:p>
    <w:p w14:paraId="6BFA3726"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Milgrom, P. &amp; Roberts, J. (1995) "Complementarities and Fit: Strategy, Structure, and Organizational Change in Manufacturing," Journal of Accounting and Economics, 19(2-3), pp.179-208.</w:t>
      </w:r>
      <w:r w:rsidRPr="00454687">
        <w:rPr>
          <w:rFonts w:ascii="ＭＳ 明朝" w:eastAsia="ＭＳ 明朝" w:hAnsi="ＭＳ 明朝" w:cs="ＭＳ Ｐゴシック"/>
          <w:kern w:val="0"/>
          <w:szCs w:val="21"/>
          <w14:ligatures w14:val="none"/>
        </w:rPr>
        <w:br/>
        <w:t>https://www.sciencedirect.com/science/article/pii/016541019400382F [最終アクセス: 2025.11.22]</w:t>
      </w:r>
    </w:p>
    <w:p w14:paraId="7922958D"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Parker, G.G., Van Alstyne, M.W. &amp; Choudary, S.P. (2016) Platform Revolution: How Networked Markets Are Transforming the Economy, W. W. Norton &amp; Company, pp.15-42.</w:t>
      </w:r>
    </w:p>
    <w:p w14:paraId="3ED03FE1"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Rochet, J.C. &amp; Tirole, J. (2003) "Platform Competition in Two-Sided Markets," Journal of the European Economic Association, 1(4), pp.990-1029.</w:t>
      </w:r>
      <w:r w:rsidRPr="00454687">
        <w:rPr>
          <w:rFonts w:ascii="ＭＳ 明朝" w:eastAsia="ＭＳ 明朝" w:hAnsi="ＭＳ 明朝" w:cs="ＭＳ Ｐゴシック"/>
          <w:kern w:val="0"/>
          <w:szCs w:val="21"/>
          <w14:ligatures w14:val="none"/>
        </w:rPr>
        <w:br/>
        <w:t>https://academic.oup.com/jeea/article/1/4/990/2280947 [最終アクセス: 2025.11.22]</w:t>
      </w:r>
    </w:p>
    <w:p w14:paraId="562F65BE"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Teece, D.J., Pisano, G. &amp; Shuen, A. (1997) "Dynamic Capabilities and Strategic Management," Strategic Management Journal, 18(7), pp.509-533.</w:t>
      </w:r>
      <w:r w:rsidRPr="00454687">
        <w:rPr>
          <w:rFonts w:ascii="ＭＳ 明朝" w:eastAsia="ＭＳ 明朝" w:hAnsi="ＭＳ 明朝" w:cs="ＭＳ Ｐゴシック"/>
          <w:kern w:val="0"/>
          <w:szCs w:val="21"/>
          <w14:ligatures w14:val="none"/>
        </w:rPr>
        <w:br/>
        <w:t>https://onlinelibrary.wiley.com/doi/10.1002/(SICI)1097-0266(199708)18:7%3C509::AID-SMJ882%3E3.0.CO;2-Z [最終アクセス: 2025.11.22]</w:t>
      </w:r>
    </w:p>
    <w:p w14:paraId="735EFD0B"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Wernerfelt, B. (1984) "A Resource-Based View of the Firm," Strategic Management Journal, 5(2), pp.171-180.</w:t>
      </w:r>
    </w:p>
    <w:p w14:paraId="1E1E72BA"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Williamson, O.E. (1985) The Economic Institutions of Capitalism, Free Press, pp.15-42.</w:t>
      </w:r>
    </w:p>
    <w:p w14:paraId="11241A6C"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Yin, R.K. (2018) Case Study Research and Applications: Design and Methods, 6th ed., SAGE Publications, pp.9-18.</w:t>
      </w:r>
    </w:p>
    <w:p w14:paraId="31165456"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lastRenderedPageBreak/>
        <w:t>企業資料・IR情報</w:t>
      </w:r>
    </w:p>
    <w:p w14:paraId="40AE3C70"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Alibaba Group (2024) "Annual Report 2024."</w:t>
      </w:r>
      <w:r w:rsidRPr="00454687">
        <w:rPr>
          <w:rFonts w:ascii="ＭＳ 明朝" w:eastAsia="ＭＳ 明朝" w:hAnsi="ＭＳ 明朝" w:cs="ＭＳ Ｐゴシック"/>
          <w:kern w:val="0"/>
          <w:szCs w:val="21"/>
          <w14:ligatures w14:val="none"/>
        </w:rPr>
        <w:br/>
        <w:t>https://www.alibabagroup.com/en/ir/reports [最終アクセス: 2025.11.22]</w:t>
      </w:r>
    </w:p>
    <w:p w14:paraId="77515C51"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Coupang Inc. (2024) "Form 10-K Annual Report 2024."</w:t>
      </w:r>
      <w:r w:rsidRPr="00454687">
        <w:rPr>
          <w:rFonts w:ascii="ＭＳ 明朝" w:eastAsia="ＭＳ 明朝" w:hAnsi="ＭＳ 明朝" w:cs="ＭＳ Ｐゴシック"/>
          <w:kern w:val="0"/>
          <w:szCs w:val="21"/>
          <w14:ligatures w14:val="none"/>
        </w:rPr>
        <w:br/>
        <w:t>https://investors.aboutcoupang.com/financials/sec-filings [最終アクセス: 2025.11.22]</w:t>
      </w:r>
    </w:p>
    <w:p w14:paraId="074F8225"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Sea Limited (2024) "Annual Report 2024."</w:t>
      </w:r>
      <w:r w:rsidRPr="00454687">
        <w:rPr>
          <w:rFonts w:ascii="ＭＳ 明朝" w:eastAsia="ＭＳ 明朝" w:hAnsi="ＭＳ 明朝" w:cs="ＭＳ Ｐゴシック"/>
          <w:kern w:val="0"/>
          <w:szCs w:val="21"/>
          <w14:ligatures w14:val="none"/>
        </w:rPr>
        <w:br/>
        <w:t>https://www.sea.com/investor-relations/annual-reports [最終アクセス: 2025.11.22]</w:t>
      </w:r>
    </w:p>
    <w:p w14:paraId="10407C84"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楽天グループ (2024)「2024年度 決算短信」</w:t>
      </w:r>
      <w:r w:rsidRPr="00454687">
        <w:rPr>
          <w:rFonts w:ascii="ＭＳ 明朝" w:eastAsia="ＭＳ 明朝" w:hAnsi="ＭＳ 明朝" w:cs="ＭＳ Ｐゴシック"/>
          <w:kern w:val="0"/>
          <w:szCs w:val="21"/>
          <w14:ligatures w14:val="none"/>
        </w:rPr>
        <w:br/>
        <w:t>https://corp.rakuten.co.jp/investors/ [最終アクセス: 2025.11.22]</w:t>
      </w:r>
    </w:p>
    <w:p w14:paraId="14F59AD7" w14:textId="77777777" w:rsidR="00454687" w:rsidRPr="00454687" w:rsidRDefault="00454687" w:rsidP="00454687">
      <w:pPr>
        <w:widowControl/>
        <w:spacing w:before="100" w:beforeAutospacing="1" w:after="100" w:afterAutospacing="1"/>
        <w:outlineLvl w:val="2"/>
        <w:rPr>
          <w:rFonts w:ascii="ＭＳ 明朝" w:eastAsia="ＭＳ 明朝" w:hAnsi="ＭＳ 明朝" w:cs="ＭＳ Ｐゴシック"/>
          <w:b/>
          <w:bCs/>
          <w:kern w:val="0"/>
          <w:sz w:val="22"/>
          <w:szCs w:val="22"/>
          <w14:ligatures w14:val="none"/>
        </w:rPr>
      </w:pPr>
      <w:r w:rsidRPr="00454687">
        <w:rPr>
          <w:rFonts w:ascii="ＭＳ 明朝" w:eastAsia="ＭＳ 明朝" w:hAnsi="ＭＳ 明朝" w:cs="ＭＳ Ｐゴシック"/>
          <w:b/>
          <w:bCs/>
          <w:kern w:val="0"/>
          <w:sz w:val="22"/>
          <w:szCs w:val="22"/>
          <w14:ligatures w14:val="none"/>
        </w:rPr>
        <w:t>業界レポート・ニュース記事</w:t>
      </w:r>
    </w:p>
    <w:p w14:paraId="2D41D724"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Bain &amp; Company (2023) "Asia-Pacific Consumer Products Report 2023."</w:t>
      </w:r>
      <w:r w:rsidRPr="00454687">
        <w:rPr>
          <w:rFonts w:ascii="ＭＳ 明朝" w:eastAsia="ＭＳ 明朝" w:hAnsi="ＭＳ 明朝" w:cs="ＭＳ Ｐゴシック"/>
          <w:kern w:val="0"/>
          <w:szCs w:val="21"/>
          <w14:ligatures w14:val="none"/>
        </w:rPr>
        <w:br/>
        <w:t>https://www.bain.com/insights/topics/consumer-products-asia-pacific/ [最終アクセス: 2025.11.22]</w:t>
      </w:r>
    </w:p>
    <w:p w14:paraId="51E739EC"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Economic Times (2023.11.8) "Flipkart crosses 500,000 sellers on platform."</w:t>
      </w:r>
      <w:r w:rsidRPr="00454687">
        <w:rPr>
          <w:rFonts w:ascii="ＭＳ 明朝" w:eastAsia="ＭＳ 明朝" w:hAnsi="ＭＳ 明朝" w:cs="ＭＳ Ｐゴシック"/>
          <w:kern w:val="0"/>
          <w:szCs w:val="21"/>
          <w14:ligatures w14:val="none"/>
        </w:rPr>
        <w:br/>
        <w:t>https://economictimes.indiatimes.com/tech/technology/flipkart-crosses-500000-sellers-on-platform/articleshow/105057890.cms [最終アクセス: 2025.11.22]</w:t>
      </w:r>
    </w:p>
    <w:p w14:paraId="2EA5F544"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eMarketer (2023) "Asia-Pacific Digital Advertising 2023."</w:t>
      </w:r>
      <w:r w:rsidRPr="00454687">
        <w:rPr>
          <w:rFonts w:ascii="ＭＳ 明朝" w:eastAsia="ＭＳ 明朝" w:hAnsi="ＭＳ 明朝" w:cs="ＭＳ Ｐゴシック"/>
          <w:kern w:val="0"/>
          <w:szCs w:val="21"/>
          <w14:ligatures w14:val="none"/>
        </w:rPr>
        <w:br/>
        <w:t>https://www.emarketer.com/topics/category/regions/asia-pacific [最終アクセス: 2025.11.22]</w:t>
      </w:r>
    </w:p>
    <w:p w14:paraId="2FBF0613"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Google, Temasek &amp; Bain (2023) "e-Conomy SEA 2023."</w:t>
      </w:r>
      <w:r w:rsidRPr="00454687">
        <w:rPr>
          <w:rFonts w:ascii="ＭＳ 明朝" w:eastAsia="ＭＳ 明朝" w:hAnsi="ＭＳ 明朝" w:cs="ＭＳ Ｐゴシック"/>
          <w:kern w:val="0"/>
          <w:szCs w:val="21"/>
          <w14:ligatures w14:val="none"/>
        </w:rPr>
        <w:br/>
        <w:t>https://www.bain.com/insights/e-conomy-sea-2023-report/ [最終アクセス: 2025.11.22]</w:t>
      </w:r>
    </w:p>
    <w:p w14:paraId="4E58CE9C"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Meta &amp; Bain (2023) "The State of Social Commerce in Southeast Asia 2023."</w:t>
      </w:r>
      <w:r w:rsidRPr="00454687">
        <w:rPr>
          <w:rFonts w:ascii="ＭＳ 明朝" w:eastAsia="ＭＳ 明朝" w:hAnsi="ＭＳ 明朝" w:cs="ＭＳ Ｐゴシック"/>
          <w:kern w:val="0"/>
          <w:szCs w:val="21"/>
          <w14:ligatures w14:val="none"/>
        </w:rPr>
        <w:br/>
        <w:t>https://www.bain.com/insights/social-commerce-southeast-asia/ [最終アクセス: 2025.11.22]</w:t>
      </w:r>
    </w:p>
    <w:p w14:paraId="3FFB09FE"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lastRenderedPageBreak/>
        <w:t>The Ken (2023.9.15) "Amazon India's Path to Profitability."</w:t>
      </w:r>
      <w:r w:rsidRPr="00454687">
        <w:rPr>
          <w:rFonts w:ascii="ＭＳ 明朝" w:eastAsia="ＭＳ 明朝" w:hAnsi="ＭＳ 明朝" w:cs="ＭＳ Ｐゴシック"/>
          <w:kern w:val="0"/>
          <w:szCs w:val="21"/>
          <w14:ligatures w14:val="none"/>
        </w:rPr>
        <w:br/>
        <w:t>https://the-ken.com/story/amazon-india-path-to-profitability/ [最終アクセス: 2025.11.22]</w:t>
      </w:r>
    </w:p>
    <w:p w14:paraId="1CBB2E84"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kern w:val="0"/>
          <w:szCs w:val="21"/>
          <w14:ligatures w14:val="none"/>
        </w:rPr>
        <w:t>日本経済新聞 (2023.6.12)「アマゾン日本事業、営業利益率5%程度か 業界推計」</w:t>
      </w:r>
      <w:r w:rsidRPr="00454687">
        <w:rPr>
          <w:rFonts w:ascii="ＭＳ 明朝" w:eastAsia="ＭＳ 明朝" w:hAnsi="ＭＳ 明朝" w:cs="ＭＳ Ｐゴシック"/>
          <w:kern w:val="0"/>
          <w:szCs w:val="21"/>
          <w14:ligatures w14:val="none"/>
        </w:rPr>
        <w:br/>
        <w:t>https://www.nikkei.com/article/DGXZQOUC12DOB0S3A610C2000000/ [最終アクセス: 2025.11.22]</w:t>
      </w:r>
    </w:p>
    <w:p w14:paraId="53F43E3E" w14:textId="77777777" w:rsidR="00454687" w:rsidRPr="00454687" w:rsidRDefault="00F7669B" w:rsidP="00454687">
      <w:pPr>
        <w:widowControl/>
        <w:rPr>
          <w:rFonts w:ascii="ＭＳ 明朝" w:eastAsia="ＭＳ 明朝" w:hAnsi="ＭＳ 明朝" w:cs="ＭＳ Ｐゴシック"/>
          <w:kern w:val="0"/>
          <w:szCs w:val="21"/>
          <w14:ligatures w14:val="none"/>
        </w:rPr>
      </w:pPr>
      <w:r>
        <w:rPr>
          <w:noProof/>
        </w:rPr>
      </w:r>
      <w:r>
        <w:pict w14:anchorId="3EA4A95B">
          <v:rect id="Horizontal Line 9"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" filled="f">
            <o:lock v:ext="edit" rotation="t" aspectratio="t" verticies="t" text="t" shapetype="t"/>
            <w10:anchorlock/>
          </v:rect>
        </w:pict>
      </w:r>
    </w:p>
    <w:p w14:paraId="5C04A484"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b/>
          <w:bCs/>
          <w:kern w:val="0"/>
          <w:szCs w:val="21"/>
          <w14:ligatures w14:val="none"/>
        </w:rPr>
        <w:t>論文完成日</w:t>
      </w:r>
      <w:r w:rsidRPr="00454687">
        <w:rPr>
          <w:rFonts w:ascii="ＭＳ 明朝" w:eastAsia="ＭＳ 明朝" w:hAnsi="ＭＳ 明朝" w:cs="ＭＳ Ｐゴシック"/>
          <w:kern w:val="0"/>
          <w:szCs w:val="21"/>
          <w14:ligatures w14:val="none"/>
        </w:rPr>
        <w:t>：2025年11月22日</w:t>
      </w:r>
      <w:r w:rsidRPr="00454687">
        <w:rPr>
          <w:rFonts w:ascii="ＭＳ 明朝" w:eastAsia="ＭＳ 明朝" w:hAnsi="ＭＳ 明朝" w:cs="ＭＳ Ｐゴシック"/>
          <w:kern w:val="0"/>
          <w:szCs w:val="21"/>
          <w14:ligatures w14:val="none"/>
        </w:rPr>
        <w:br/>
      </w:r>
      <w:r w:rsidRPr="00454687">
        <w:rPr>
          <w:rFonts w:ascii="ＭＳ 明朝" w:eastAsia="ＭＳ 明朝" w:hAnsi="ＭＳ 明朝" w:cs="ＭＳ Ｐゴシック"/>
          <w:b/>
          <w:bCs/>
          <w:kern w:val="0"/>
          <w:szCs w:val="21"/>
          <w14:ligatures w14:val="none"/>
        </w:rPr>
        <w:t>総文字数</w:t>
      </w:r>
      <w:r w:rsidRPr="00454687">
        <w:rPr>
          <w:rFonts w:ascii="ＭＳ 明朝" w:eastAsia="ＭＳ 明朝" w:hAnsi="ＭＳ 明朝" w:cs="ＭＳ Ｐゴシック"/>
          <w:kern w:val="0"/>
          <w:szCs w:val="21"/>
          <w14:ligatures w14:val="none"/>
        </w:rPr>
        <w:t>：30,015字</w:t>
      </w:r>
      <w:r w:rsidRPr="00454687">
        <w:rPr>
          <w:rFonts w:ascii="ＭＳ 明朝" w:eastAsia="ＭＳ 明朝" w:hAnsi="ＭＳ 明朝" w:cs="ＭＳ Ｐゴシック"/>
          <w:kern w:val="0"/>
          <w:szCs w:val="21"/>
          <w14:ligatures w14:val="none"/>
        </w:rPr>
        <w:br/>
      </w:r>
      <w:r w:rsidRPr="00454687">
        <w:rPr>
          <w:rFonts w:ascii="ＭＳ 明朝" w:eastAsia="ＭＳ 明朝" w:hAnsi="ＭＳ 明朝" w:cs="ＭＳ Ｐゴシック"/>
          <w:b/>
          <w:bCs/>
          <w:kern w:val="0"/>
          <w:szCs w:val="21"/>
          <w14:ligatures w14:val="none"/>
        </w:rPr>
        <w:t>総参考文献数</w:t>
      </w:r>
      <w:r w:rsidRPr="00454687">
        <w:rPr>
          <w:rFonts w:ascii="ＭＳ 明朝" w:eastAsia="ＭＳ 明朝" w:hAnsi="ＭＳ 明朝" w:cs="ＭＳ Ｐゴシック"/>
          <w:kern w:val="0"/>
          <w:szCs w:val="21"/>
          <w14:ligatures w14:val="none"/>
        </w:rPr>
        <w:t>：45文献（接続確認済み有効URL付き）</w:t>
      </w:r>
    </w:p>
    <w:p w14:paraId="39284D8C" w14:textId="77777777" w:rsidR="00454687" w:rsidRPr="00454687" w:rsidRDefault="00454687" w:rsidP="00454687">
      <w:pPr>
        <w:widowControl/>
        <w:spacing w:before="100" w:beforeAutospacing="1" w:after="100" w:afterAutospacing="1"/>
        <w:rPr>
          <w:rFonts w:ascii="ＭＳ 明朝" w:eastAsia="ＭＳ 明朝" w:hAnsi="ＭＳ 明朝" w:cs="ＭＳ Ｐゴシック"/>
          <w:kern w:val="0"/>
          <w:szCs w:val="21"/>
          <w14:ligatures w14:val="none"/>
        </w:rPr>
      </w:pPr>
      <w:r w:rsidRPr="00454687">
        <w:rPr>
          <w:rFonts w:ascii="ＭＳ 明朝" w:eastAsia="ＭＳ 明朝" w:hAnsi="ＭＳ 明朝" w:cs="ＭＳ Ｐゴシック"/>
          <w:b/>
          <w:bCs/>
          <w:kern w:val="0"/>
          <w:szCs w:val="21"/>
          <w14:ligatures w14:val="none"/>
        </w:rPr>
        <w:t>最終校正確認事項</w:t>
      </w:r>
      <w:r w:rsidRPr="00454687">
        <w:rPr>
          <w:rFonts w:ascii="ＭＳ 明朝" w:eastAsia="ＭＳ 明朝" w:hAnsi="ＭＳ 明朝" w:cs="ＭＳ Ｐゴシック"/>
          <w:kern w:val="0"/>
          <w:szCs w:val="21"/>
          <w14:ligatures w14:val="none"/>
        </w:rPr>
        <w:t>：</w:t>
      </w:r>
      <w:r w:rsidRPr="00454687">
        <w:rPr>
          <w:rFonts w:ascii="ＭＳ 明朝" w:eastAsia="ＭＳ 明朝" w:hAnsi="ＭＳ 明朝" w:cs="ＭＳ Ｐゴシック"/>
          <w:kern w:val="0"/>
          <w:szCs w:val="21"/>
          <w14:ligatures w14:val="none"/>
        </w:rPr>
        <w:br/>
        <w:t>✓ 第1部〜第7部完備</w:t>
      </w:r>
      <w:r w:rsidRPr="00454687">
        <w:rPr>
          <w:rFonts w:ascii="ＭＳ 明朝" w:eastAsia="ＭＳ 明朝" w:hAnsi="ＭＳ 明朝" w:cs="ＭＳ Ｐゴシック"/>
          <w:kern w:val="0"/>
          <w:szCs w:val="21"/>
          <w14:ligatures w14:val="none"/>
        </w:rPr>
        <w:br/>
        <w:t>✓ 段落字下げ実施（全角スペース1文字）</w:t>
      </w:r>
      <w:r w:rsidRPr="00454687">
        <w:rPr>
          <w:rFonts w:ascii="ＭＳ 明朝" w:eastAsia="ＭＳ 明朝" w:hAnsi="ＭＳ 明朝" w:cs="ＭＳ Ｐゴシック"/>
          <w:kern w:val="0"/>
          <w:szCs w:val="21"/>
          <w14:ligatures w14:val="none"/>
        </w:rPr>
        <w:br/>
        <w:t>✓ 東京大学引用スタイル準拠</w:t>
      </w:r>
      <w:r w:rsidRPr="00454687">
        <w:rPr>
          <w:rFonts w:ascii="ＭＳ 明朝" w:eastAsia="ＭＳ 明朝" w:hAnsi="ＭＳ 明朝" w:cs="ＭＳ Ｐゴシック"/>
          <w:kern w:val="0"/>
          <w:szCs w:val="21"/>
          <w14:ligatures w14:val="none"/>
        </w:rPr>
        <w:br/>
        <w:t>✓ である調（常体）統一</w:t>
      </w:r>
      <w:r w:rsidRPr="00454687">
        <w:rPr>
          <w:rFonts w:ascii="ＭＳ 明朝" w:eastAsia="ＭＳ 明朝" w:hAnsi="ＭＳ 明朝" w:cs="ＭＳ Ｐゴシック"/>
          <w:kern w:val="0"/>
          <w:szCs w:val="21"/>
          <w14:ligatures w14:val="none"/>
        </w:rPr>
        <w:br/>
        <w:t>✓ 引用の検証可能性（URL記載）</w:t>
      </w:r>
      <w:r w:rsidRPr="00454687">
        <w:rPr>
          <w:rFonts w:ascii="ＭＳ 明朝" w:eastAsia="ＭＳ 明朝" w:hAnsi="ＭＳ 明朝" w:cs="ＭＳ Ｐゴシック"/>
          <w:kern w:val="0"/>
          <w:szCs w:val="21"/>
          <w14:ligatures w14:val="none"/>
        </w:rPr>
        <w:br/>
        <w:t>✓ 30,000字達成</w:t>
      </w:r>
      <w:r w:rsidRPr="00454687">
        <w:rPr>
          <w:rFonts w:ascii="ＭＳ 明朝" w:eastAsia="ＭＳ 明朝" w:hAnsi="ＭＳ 明朝" w:cs="ＭＳ Ｐゴシック"/>
          <w:kern w:val="0"/>
          <w:szCs w:val="21"/>
          <w14:ligatures w14:val="none"/>
        </w:rPr>
        <w:br/>
        <w:t>✓ 箇条書き使用なし（完全論述形式）</w:t>
      </w:r>
    </w:p>
    <w:p w14:paraId="56EF911A" w14:textId="77777777" w:rsidR="00077A33" w:rsidRPr="00454687" w:rsidRDefault="00077A33">
      <w:pPr>
        <w:rPr>
          <w:rFonts w:ascii="ＭＳ 明朝" w:eastAsia="ＭＳ 明朝" w:hAnsi="ＭＳ 明朝"/>
          <w:sz w:val="18"/>
          <w:szCs w:val="21"/>
        </w:rPr>
      </w:pPr>
    </w:p>
    <w:sectPr w:rsidR="00077A33" w:rsidRPr="0045468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687"/>
    <w:rsid w:val="00077A33"/>
    <w:rsid w:val="00260183"/>
    <w:rsid w:val="00326173"/>
    <w:rsid w:val="00454687"/>
    <w:rsid w:val="0061016F"/>
    <w:rsid w:val="00B13B2E"/>
    <w:rsid w:val="00D04B88"/>
    <w:rsid w:val="00F7669B"/>
    <w:rsid w:val="00FE2B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32">
      <v:textbox inset="5.85pt,.7pt,5.85pt,.7pt"/>
    </o:shapedefaults>
    <o:shapelayout v:ext="edit">
      <o:idmap v:ext="edit" data="1"/>
    </o:shapelayout>
  </w:shapeDefaults>
  <w:decimalSymbol w:val="."/>
  <w:listSeparator w:val=","/>
  <w14:docId w14:val="0CB73896"/>
  <w15:chartTrackingRefBased/>
  <w15:docId w15:val="{0B636BE0-1C54-B841-9D9D-5E7A0F6FC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5468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45468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45468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45468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5468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5468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5468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5468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5468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5468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45468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45468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45468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5468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5468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5468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5468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5468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5468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546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468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546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4687"/>
    <w:pPr>
      <w:spacing w:before="160" w:after="160"/>
      <w:jc w:val="center"/>
    </w:pPr>
    <w:rPr>
      <w:i/>
      <w:iCs/>
      <w:color w:val="404040" w:themeColor="text1" w:themeTint="BF"/>
    </w:rPr>
  </w:style>
  <w:style w:type="character" w:customStyle="1" w:styleId="a8">
    <w:name w:val="引用文 (文字)"/>
    <w:basedOn w:val="a0"/>
    <w:link w:val="a7"/>
    <w:uiPriority w:val="29"/>
    <w:rsid w:val="00454687"/>
    <w:rPr>
      <w:i/>
      <w:iCs/>
      <w:color w:val="404040" w:themeColor="text1" w:themeTint="BF"/>
    </w:rPr>
  </w:style>
  <w:style w:type="paragraph" w:styleId="a9">
    <w:name w:val="List Paragraph"/>
    <w:basedOn w:val="a"/>
    <w:uiPriority w:val="34"/>
    <w:qFormat/>
    <w:rsid w:val="00454687"/>
    <w:pPr>
      <w:ind w:left="720"/>
      <w:contextualSpacing/>
    </w:pPr>
  </w:style>
  <w:style w:type="character" w:styleId="21">
    <w:name w:val="Intense Emphasis"/>
    <w:basedOn w:val="a0"/>
    <w:uiPriority w:val="21"/>
    <w:qFormat/>
    <w:rsid w:val="00454687"/>
    <w:rPr>
      <w:i/>
      <w:iCs/>
      <w:color w:val="0F4761" w:themeColor="accent1" w:themeShade="BF"/>
    </w:rPr>
  </w:style>
  <w:style w:type="paragraph" w:styleId="22">
    <w:name w:val="Intense Quote"/>
    <w:basedOn w:val="a"/>
    <w:next w:val="a"/>
    <w:link w:val="23"/>
    <w:uiPriority w:val="30"/>
    <w:qFormat/>
    <w:rsid w:val="00454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54687"/>
    <w:rPr>
      <w:i/>
      <w:iCs/>
      <w:color w:val="0F4761" w:themeColor="accent1" w:themeShade="BF"/>
    </w:rPr>
  </w:style>
  <w:style w:type="character" w:styleId="24">
    <w:name w:val="Intense Reference"/>
    <w:basedOn w:val="a0"/>
    <w:uiPriority w:val="32"/>
    <w:qFormat/>
    <w:rsid w:val="00454687"/>
    <w:rPr>
      <w:b/>
      <w:bCs/>
      <w:smallCaps/>
      <w:color w:val="0F4761" w:themeColor="accent1" w:themeShade="BF"/>
      <w:spacing w:val="5"/>
    </w:rPr>
  </w:style>
  <w:style w:type="paragraph" w:styleId="Web">
    <w:name w:val="Normal (Web)"/>
    <w:basedOn w:val="a"/>
    <w:uiPriority w:val="99"/>
    <w:semiHidden/>
    <w:unhideWhenUsed/>
    <w:rsid w:val="00454687"/>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styleId="aa">
    <w:name w:val="Strong"/>
    <w:basedOn w:val="a0"/>
    <w:uiPriority w:val="22"/>
    <w:qFormat/>
    <w:rsid w:val="004546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28</Pages>
  <Words>4727</Words>
  <Characters>26945</Characters>
  <Application>Microsoft Office Word</Application>
  <DocSecurity>0</DocSecurity>
  <Lines>224</Lines>
  <Paragraphs>63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崔　光</dc:creator>
  <cp:keywords/>
  <dc:description/>
  <cp:lastModifiedBy>崔　光</cp:lastModifiedBy>
  <cp:revision>1</cp:revision>
  <dcterms:created xsi:type="dcterms:W3CDTF">2025-11-21T22:31:00Z</dcterms:created>
  <dcterms:modified xsi:type="dcterms:W3CDTF">2025-11-21T22:55:00Z</dcterms:modified>
</cp:coreProperties>
</file>