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A68A3E"/>
          <w:sz w:val="48"/>
        </w:rPr>
        <w:t>Casa Yano</w:t>
      </w:r>
    </w:p>
    <w:p>
      <w:pPr>
        <w:spacing w:after="200"/>
      </w:pPr>
      <w:r>
        <w:rPr>
          <w:i w:val="0"/>
          <w:color w:val="2D2D2D"/>
          <w:sz w:val="24"/>
        </w:rPr>
        <w:t>210 W Yanonali Street, Santa Barbara, CA 93101</w:t>
      </w:r>
    </w:p>
    <w:p>
      <w:pPr>
        <w:spacing w:after="40"/>
      </w:pPr>
      <w:r>
        <w:rPr>
          <w:i w:val="0"/>
          <w:color w:val="2D2D2D"/>
          <w:sz w:val="26"/>
        </w:rPr>
        <w:t>Loan Structure Proposal - Graduated Advance Facility</w:t>
      </w:r>
    </w:p>
    <w:p>
      <w:pPr>
        <w:spacing w:after="280"/>
      </w:pPr>
      <w:r>
        <w:rPr>
          <w:i/>
          <w:color w:val="666666"/>
          <w:sz w:val="20"/>
        </w:rPr>
        <w:t>Prepared for Ben Scott, Montecito Bank &amp; Trust   |   April 22, 2026</w:t>
      </w:r>
    </w:p>
    <w:p>
      <w:pPr>
        <w:spacing w:before="280" w:after="120"/>
        <w:pBdr>
          <w:bottom w:val="single" w:sz="4" w:space="1" w:color="C5A55A"/>
        </w:pBdr>
      </w:pPr>
      <w:r>
        <w:rPr>
          <w:b/>
          <w:color w:val="A68A3E"/>
          <w:sz w:val="22"/>
        </w:rPr>
        <w:t>STRUCTURE OVERVIEW</w:t>
      </w:r>
    </w:p>
    <w:p>
      <w:pPr>
        <w:spacing w:after="200"/>
      </w:pPr>
      <w:r>
        <w:rPr>
          <w:b w:val="0"/>
          <w:i w:val="0"/>
          <w:sz w:val="21"/>
        </w:rPr>
        <w:t>This proposal outlines a two-component loan structure: an initial funded advance at closing plus a committed earn-out facility that funds incrementally based on proven trailing operating performance. The structure captures the economic value of the property's strong early operating performance while staging credit exposure to proven results.</w:t>
      </w:r>
    </w:p>
    <w:p>
      <w:pPr>
        <w:spacing w:before="280" w:after="120"/>
        <w:pBdr>
          <w:bottom w:val="single" w:sz="4" w:space="1" w:color="C5A55A"/>
        </w:pBdr>
      </w:pPr>
      <w:r>
        <w:rPr>
          <w:b/>
          <w:color w:val="A68A3E"/>
          <w:sz w:val="22"/>
        </w:rPr>
        <w:t>BASE LOAN (FUNDED AT CLOSING)</w:t>
      </w:r>
    </w:p>
    <w:tbl>
      <w:tblPr>
        <w:tblW w:type="auto" w:w="0"/>
        <w:tblLayout w:type="fixed"/>
        <w:tblLook w:firstColumn="1" w:firstRow="1" w:lastColumn="0" w:lastRow="0" w:noHBand="0" w:noVBand="1" w:val="04A0"/>
      </w:tblPr>
      <w:tblGrid>
        <w:gridCol w:w="2880"/>
        <w:gridCol w:w="6912"/>
      </w:tblGrid>
      <w:tr>
        <w:tc>
          <w:tcPr>
            <w:tcW w:type="dxa" w:w="2880"/>
            <w:shd w:fill="F5F5F5"/>
          </w:tcPr>
          <w:p>
            <w:pPr>
              <w:spacing w:after="40"/>
            </w:pPr>
            <w:r>
              <w:rPr>
                <w:b/>
                <w:sz w:val="20"/>
              </w:rPr>
              <w:t>Loan Amount</w:t>
            </w:r>
          </w:p>
        </w:tc>
        <w:tc>
          <w:tcPr>
            <w:tcW w:type="dxa" w:w="6912"/>
            <w:shd w:fill="F5F5F5"/>
          </w:tcPr>
          <w:p>
            <w:pPr>
              <w:spacing w:after="40"/>
            </w:pPr>
            <w:r>
              <w:rPr>
                <w:sz w:val="20"/>
              </w:rPr>
              <w:t>$2,000,000</w:t>
            </w:r>
          </w:p>
        </w:tc>
      </w:tr>
      <w:tr>
        <w:tc>
          <w:tcPr>
            <w:tcW w:type="dxa" w:w="2880"/>
          </w:tcPr>
          <w:p>
            <w:pPr>
              <w:spacing w:after="40"/>
            </w:pPr>
            <w:r>
              <w:rPr>
                <w:b/>
                <w:sz w:val="20"/>
              </w:rPr>
              <w:t>Borrower</w:t>
            </w:r>
          </w:p>
        </w:tc>
        <w:tc>
          <w:tcPr>
            <w:tcW w:type="dxa" w:w="6912"/>
          </w:tcPr>
          <w:p>
            <w:pPr>
              <w:spacing w:after="40"/>
            </w:pPr>
            <w:r>
              <w:rPr>
                <w:sz w:val="20"/>
              </w:rPr>
              <w:t>DCP Wealth Fund, LLC (property-owning entity)</w:t>
            </w:r>
          </w:p>
        </w:tc>
      </w:tr>
      <w:tr>
        <w:tc>
          <w:tcPr>
            <w:tcW w:type="dxa" w:w="2880"/>
            <w:shd w:fill="F5F5F5"/>
          </w:tcPr>
          <w:p>
            <w:pPr>
              <w:spacing w:after="40"/>
            </w:pPr>
            <w:r>
              <w:rPr>
                <w:b/>
                <w:sz w:val="20"/>
              </w:rPr>
              <w:t>Guarantors</w:t>
            </w:r>
          </w:p>
        </w:tc>
        <w:tc>
          <w:tcPr>
            <w:tcW w:type="dxa" w:w="6912"/>
            <w:shd w:fill="F5F5F5"/>
          </w:tcPr>
          <w:p>
            <w:pPr>
              <w:spacing w:after="40"/>
            </w:pPr>
            <w:r>
              <w:rPr>
                <w:sz w:val="20"/>
              </w:rPr>
              <w:t>20%+ owners and control parties</w:t>
            </w:r>
          </w:p>
        </w:tc>
      </w:tr>
      <w:tr>
        <w:tc>
          <w:tcPr>
            <w:tcW w:type="dxa" w:w="2880"/>
          </w:tcPr>
          <w:p>
            <w:pPr>
              <w:spacing w:after="40"/>
            </w:pPr>
            <w:r>
              <w:rPr>
                <w:b/>
                <w:sz w:val="20"/>
              </w:rPr>
              <w:t>Rate</w:t>
            </w:r>
          </w:p>
        </w:tc>
        <w:tc>
          <w:tcPr>
            <w:tcW w:type="dxa" w:w="6912"/>
          </w:tcPr>
          <w:p>
            <w:pPr>
              <w:spacing w:after="40"/>
            </w:pPr>
            <w:r>
              <w:rPr>
                <w:sz w:val="20"/>
              </w:rPr>
              <w:t>5-Year Treasury + 2.35% spread (approx. 6.25% as of April 2026)</w:t>
            </w:r>
          </w:p>
        </w:tc>
      </w:tr>
      <w:tr>
        <w:tc>
          <w:tcPr>
            <w:tcW w:type="dxa" w:w="2880"/>
            <w:shd w:fill="F5F5F5"/>
          </w:tcPr>
          <w:p>
            <w:pPr>
              <w:spacing w:after="40"/>
            </w:pPr>
            <w:r>
              <w:rPr>
                <w:b/>
                <w:sz w:val="20"/>
              </w:rPr>
              <w:t>Rate Term</w:t>
            </w:r>
          </w:p>
        </w:tc>
        <w:tc>
          <w:tcPr>
            <w:tcW w:type="dxa" w:w="6912"/>
            <w:shd w:fill="F5F5F5"/>
          </w:tcPr>
          <w:p>
            <w:pPr>
              <w:spacing w:after="40"/>
            </w:pPr>
            <w:r>
              <w:rPr>
                <w:sz w:val="20"/>
              </w:rPr>
              <w:t>Held at approval; reset at Year 5 (spread remains fixed)</w:t>
            </w:r>
          </w:p>
        </w:tc>
      </w:tr>
      <w:tr>
        <w:tc>
          <w:tcPr>
            <w:tcW w:type="dxa" w:w="2880"/>
          </w:tcPr>
          <w:p>
            <w:pPr>
              <w:spacing w:after="40"/>
            </w:pPr>
            <w:r>
              <w:rPr>
                <w:b/>
                <w:sz w:val="20"/>
              </w:rPr>
              <w:t>Amortization</w:t>
            </w:r>
          </w:p>
        </w:tc>
        <w:tc>
          <w:tcPr>
            <w:tcW w:type="dxa" w:w="6912"/>
          </w:tcPr>
          <w:p>
            <w:pPr>
              <w:spacing w:after="40"/>
            </w:pPr>
            <w:r>
              <w:rPr>
                <w:sz w:val="20"/>
              </w:rPr>
              <w:t>25 years (30 years if residential classification applies)</w:t>
            </w:r>
          </w:p>
        </w:tc>
      </w:tr>
      <w:tr>
        <w:tc>
          <w:tcPr>
            <w:tcW w:type="dxa" w:w="2880"/>
            <w:shd w:fill="F5F5F5"/>
          </w:tcPr>
          <w:p>
            <w:pPr>
              <w:spacing w:after="40"/>
            </w:pPr>
            <w:r>
              <w:rPr>
                <w:b/>
                <w:sz w:val="20"/>
              </w:rPr>
              <w:t>Loan Term</w:t>
            </w:r>
          </w:p>
        </w:tc>
        <w:tc>
          <w:tcPr>
            <w:tcW w:type="dxa" w:w="6912"/>
            <w:shd w:fill="F5F5F5"/>
          </w:tcPr>
          <w:p>
            <w:pPr>
              <w:spacing w:after="40"/>
            </w:pPr>
            <w:r>
              <w:rPr>
                <w:sz w:val="20"/>
              </w:rPr>
              <w:t>10 years</w:t>
            </w:r>
          </w:p>
        </w:tc>
      </w:tr>
      <w:tr>
        <w:tc>
          <w:tcPr>
            <w:tcW w:type="dxa" w:w="2880"/>
          </w:tcPr>
          <w:p>
            <w:pPr>
              <w:spacing w:after="40"/>
            </w:pPr>
            <w:r>
              <w:rPr>
                <w:b/>
                <w:sz w:val="20"/>
              </w:rPr>
              <w:t>Loan Fee</w:t>
            </w:r>
          </w:p>
        </w:tc>
        <w:tc>
          <w:tcPr>
            <w:tcW w:type="dxa" w:w="6912"/>
          </w:tcPr>
          <w:p>
            <w:pPr>
              <w:spacing w:after="40"/>
            </w:pPr>
            <w:r>
              <w:rPr>
                <w:sz w:val="20"/>
              </w:rPr>
              <w:t>0.50% ($10,000)</w:t>
            </w:r>
          </w:p>
        </w:tc>
      </w:tr>
      <w:tr>
        <w:tc>
          <w:tcPr>
            <w:tcW w:type="dxa" w:w="2880"/>
            <w:shd w:fill="F5F5F5"/>
          </w:tcPr>
          <w:p>
            <w:pPr>
              <w:spacing w:after="40"/>
            </w:pPr>
            <w:r>
              <w:rPr>
                <w:b/>
                <w:sz w:val="20"/>
              </w:rPr>
              <w:t>Prepayment Penalty</w:t>
            </w:r>
          </w:p>
        </w:tc>
        <w:tc>
          <w:tcPr>
            <w:tcW w:type="dxa" w:w="6912"/>
            <w:shd w:fill="F5F5F5"/>
          </w:tcPr>
          <w:p>
            <w:pPr>
              <w:spacing w:after="40"/>
            </w:pPr>
            <w:r>
              <w:rPr>
                <w:sz w:val="20"/>
              </w:rPr>
              <w:t>5/5: 3-2-1-1-1 / 3-2-1-1-1</w:t>
            </w:r>
          </w:p>
        </w:tc>
      </w:tr>
      <w:tr>
        <w:tc>
          <w:tcPr>
            <w:tcW w:type="dxa" w:w="2880"/>
          </w:tcPr>
          <w:p>
            <w:pPr>
              <w:spacing w:after="40"/>
            </w:pPr>
            <w:r>
              <w:rPr>
                <w:b/>
                <w:sz w:val="20"/>
              </w:rPr>
              <w:t>Collateral</w:t>
            </w:r>
          </w:p>
        </w:tc>
        <w:tc>
          <w:tcPr>
            <w:tcW w:type="dxa" w:w="6912"/>
          </w:tcPr>
          <w:p>
            <w:pPr>
              <w:spacing w:after="40"/>
            </w:pPr>
            <w:r>
              <w:rPr>
                <w:sz w:val="20"/>
              </w:rPr>
              <w:t>First trust deed on real estate</w:t>
            </w:r>
          </w:p>
        </w:tc>
      </w:tr>
      <w:tr>
        <w:tc>
          <w:tcPr>
            <w:tcW w:type="dxa" w:w="2880"/>
            <w:shd w:fill="F5F5F5"/>
          </w:tcPr>
          <w:p>
            <w:pPr>
              <w:spacing w:after="40"/>
            </w:pPr>
            <w:r>
              <w:rPr>
                <w:b/>
                <w:sz w:val="20"/>
              </w:rPr>
              <w:t>Coverage Requirement</w:t>
            </w:r>
          </w:p>
        </w:tc>
        <w:tc>
          <w:tcPr>
            <w:tcW w:type="dxa" w:w="6912"/>
            <w:shd w:fill="F5F5F5"/>
          </w:tcPr>
          <w:p>
            <w:pPr>
              <w:spacing w:after="40"/>
            </w:pPr>
            <w:r>
              <w:rPr>
                <w:sz w:val="20"/>
              </w:rPr>
              <w:t>1.35x minimum DSCR at close</w:t>
            </w:r>
          </w:p>
        </w:tc>
      </w:tr>
    </w:tbl>
    <w:p>
      <w:pPr>
        <w:spacing w:before="280" w:after="120"/>
        <w:pBdr>
          <w:bottom w:val="single" w:sz="4" w:space="1" w:color="C5A55A"/>
        </w:pBdr>
      </w:pPr>
      <w:r>
        <w:rPr>
          <w:b/>
          <w:color w:val="A68A3E"/>
          <w:sz w:val="22"/>
        </w:rPr>
        <w:t>COMMITTED EARN-OUT FACILITY</w:t>
      </w:r>
    </w:p>
    <w:tbl>
      <w:tblPr>
        <w:tblW w:type="auto" w:w="0"/>
        <w:tblLayout w:type="fixed"/>
        <w:tblLook w:firstColumn="1" w:firstRow="1" w:lastColumn="0" w:lastRow="0" w:noHBand="0" w:noVBand="1" w:val="04A0"/>
      </w:tblPr>
      <w:tblGrid>
        <w:gridCol w:w="2880"/>
        <w:gridCol w:w="6912"/>
      </w:tblGrid>
      <w:tr>
        <w:tc>
          <w:tcPr>
            <w:tcW w:type="dxa" w:w="2880"/>
            <w:shd w:fill="F5F5F5"/>
          </w:tcPr>
          <w:p>
            <w:pPr>
              <w:spacing w:after="40"/>
            </w:pPr>
            <w:r>
              <w:rPr>
                <w:b/>
                <w:sz w:val="20"/>
              </w:rPr>
              <w:t>Maximum Facility Size</w:t>
            </w:r>
          </w:p>
        </w:tc>
        <w:tc>
          <w:tcPr>
            <w:tcW w:type="dxa" w:w="6912"/>
            <w:shd w:fill="F5F5F5"/>
          </w:tcPr>
          <w:p>
            <w:pPr>
              <w:spacing w:after="40"/>
            </w:pPr>
            <w:r>
              <w:rPr>
                <w:sz w:val="20"/>
              </w:rPr>
              <w:t>$1,300,000 (committed at closing)</w:t>
            </w:r>
          </w:p>
        </w:tc>
      </w:tr>
      <w:tr>
        <w:tc>
          <w:tcPr>
            <w:tcW w:type="dxa" w:w="2880"/>
          </w:tcPr>
          <w:p>
            <w:pPr>
              <w:spacing w:after="40"/>
            </w:pPr>
            <w:r>
              <w:rPr>
                <w:b/>
                <w:sz w:val="20"/>
              </w:rPr>
              <w:t>Commitment Period</w:t>
            </w:r>
          </w:p>
        </w:tc>
        <w:tc>
          <w:tcPr>
            <w:tcW w:type="dxa" w:w="6912"/>
          </w:tcPr>
          <w:p>
            <w:pPr>
              <w:spacing w:after="40"/>
            </w:pPr>
            <w:r>
              <w:rPr>
                <w:sz w:val="20"/>
              </w:rPr>
              <w:t>24 months from closing</w:t>
            </w:r>
          </w:p>
        </w:tc>
      </w:tr>
      <w:tr>
        <w:tc>
          <w:tcPr>
            <w:tcW w:type="dxa" w:w="2880"/>
            <w:shd w:fill="F5F5F5"/>
          </w:tcPr>
          <w:p>
            <w:pPr>
              <w:spacing w:after="40"/>
            </w:pPr>
            <w:r>
              <w:rPr>
                <w:b/>
                <w:sz w:val="20"/>
              </w:rPr>
              <w:t>Pricing</w:t>
            </w:r>
          </w:p>
        </w:tc>
        <w:tc>
          <w:tcPr>
            <w:tcW w:type="dxa" w:w="6912"/>
            <w:shd w:fill="F5F5F5"/>
          </w:tcPr>
          <w:p>
            <w:pPr>
              <w:spacing w:after="40"/>
            </w:pPr>
            <w:r>
              <w:rPr>
                <w:sz w:val="20"/>
              </w:rPr>
              <w:t>Same spread (2.35%) over 5-Year Treasury at time of funding</w:t>
            </w:r>
          </w:p>
        </w:tc>
      </w:tr>
      <w:tr>
        <w:tc>
          <w:tcPr>
            <w:tcW w:type="dxa" w:w="2880"/>
          </w:tcPr>
          <w:p>
            <w:pPr>
              <w:spacing w:after="40"/>
            </w:pPr>
            <w:r>
              <w:rPr>
                <w:b/>
                <w:sz w:val="20"/>
              </w:rPr>
              <w:t>Upsize Fee</w:t>
            </w:r>
          </w:p>
        </w:tc>
        <w:tc>
          <w:tcPr>
            <w:tcW w:type="dxa" w:w="6912"/>
          </w:tcPr>
          <w:p>
            <w:pPr>
              <w:spacing w:after="40"/>
            </w:pPr>
            <w:r>
              <w:rPr>
                <w:sz w:val="20"/>
              </w:rPr>
              <w:t>0.25% on drawn amount only (no commitment fee on undrawn portion)</w:t>
            </w:r>
          </w:p>
        </w:tc>
      </w:tr>
      <w:tr>
        <w:tc>
          <w:tcPr>
            <w:tcW w:type="dxa" w:w="2880"/>
            <w:shd w:fill="F5F5F5"/>
          </w:tcPr>
          <w:p>
            <w:pPr>
              <w:spacing w:after="40"/>
            </w:pPr>
            <w:r>
              <w:rPr>
                <w:b/>
                <w:sz w:val="20"/>
              </w:rPr>
              <w:t>Amortization</w:t>
            </w:r>
          </w:p>
        </w:tc>
        <w:tc>
          <w:tcPr>
            <w:tcW w:type="dxa" w:w="6912"/>
            <w:shd w:fill="F5F5F5"/>
          </w:tcPr>
          <w:p>
            <w:pPr>
              <w:spacing w:after="40"/>
            </w:pPr>
            <w:r>
              <w:rPr>
                <w:sz w:val="20"/>
              </w:rPr>
              <w:t>Remaining term of base loan, recalibrated at each draw</w:t>
            </w:r>
          </w:p>
        </w:tc>
      </w:tr>
      <w:tr>
        <w:tc>
          <w:tcPr>
            <w:tcW w:type="dxa" w:w="2880"/>
          </w:tcPr>
          <w:p>
            <w:pPr>
              <w:spacing w:after="40"/>
            </w:pPr>
            <w:r>
              <w:rPr>
                <w:b/>
                <w:sz w:val="20"/>
              </w:rPr>
              <w:t>Coverage Requirement</w:t>
            </w:r>
          </w:p>
        </w:tc>
        <w:tc>
          <w:tcPr>
            <w:tcW w:type="dxa" w:w="6912"/>
          </w:tcPr>
          <w:p>
            <w:pPr>
              <w:spacing w:after="40"/>
            </w:pPr>
            <w:r>
              <w:rPr>
                <w:sz w:val="20"/>
              </w:rPr>
              <w:t>Minimum 1.40x DSCR on trailing period NOI at each draw</w:t>
            </w:r>
          </w:p>
        </w:tc>
      </w:tr>
      <w:tr>
        <w:tc>
          <w:tcPr>
            <w:tcW w:type="dxa" w:w="2880"/>
            <w:shd w:fill="F5F5F5"/>
          </w:tcPr>
          <w:p>
            <w:pPr>
              <w:spacing w:after="40"/>
            </w:pPr>
            <w:r>
              <w:rPr>
                <w:b/>
                <w:sz w:val="20"/>
              </w:rPr>
              <w:t>Draw Type</w:t>
            </w:r>
          </w:p>
        </w:tc>
        <w:tc>
          <w:tcPr>
            <w:tcW w:type="dxa" w:w="6912"/>
            <w:shd w:fill="F5F5F5"/>
          </w:tcPr>
          <w:p>
            <w:pPr>
              <w:spacing w:after="40"/>
            </w:pPr>
            <w:r>
              <w:rPr>
                <w:sz w:val="20"/>
              </w:rPr>
              <w:t>Borrower option (right, not obligation)</w:t>
            </w:r>
          </w:p>
        </w:tc>
      </w:tr>
    </w:tbl>
    <w:p>
      <w:pPr>
        <w:spacing w:after="80"/>
      </w:pPr>
      <w:r>
        <w:rPr>
          <w:b w:val="0"/>
          <w:i w:val="0"/>
          <w:sz w:val="21"/>
        </w:rPr>
      </w:r>
    </w:p>
    <w:p>
      <w:pPr>
        <w:spacing w:after="80"/>
      </w:pPr>
      <w:r>
        <w:rPr>
          <w:b/>
          <w:i w:val="0"/>
          <w:sz w:val="21"/>
        </w:rPr>
        <w:t>Tiered Funding Triggers:</w:t>
      </w:r>
    </w:p>
    <w:tbl>
      <w:tblPr>
        <w:tblW w:type="auto" w:w="0"/>
        <w:tblLayout w:type="fixed"/>
        <w:tblLook w:firstColumn="1" w:firstRow="1" w:lastColumn="0" w:lastRow="0" w:noHBand="0" w:noVBand="1" w:val="04A0"/>
      </w:tblPr>
      <w:tblGrid>
        <w:gridCol w:w="2592"/>
        <w:gridCol w:w="4032"/>
        <w:gridCol w:w="3168"/>
      </w:tblGrid>
      <w:tr>
        <w:tc>
          <w:tcPr>
            <w:tcW w:type="dxa" w:w="2592"/>
            <w:shd w:fill="2D2D2D"/>
          </w:tcPr>
          <w:p>
            <w:pPr>
              <w:spacing w:after="40"/>
            </w:pPr>
            <w:r>
              <w:rPr>
                <w:b/>
                <w:color w:val="FFFFFF"/>
                <w:sz w:val="20"/>
              </w:rPr>
              <w:t>Test Window</w:t>
            </w:r>
          </w:p>
        </w:tc>
        <w:tc>
          <w:tcPr>
            <w:tcW w:type="dxa" w:w="4032"/>
            <w:shd w:fill="2D2D2D"/>
          </w:tcPr>
          <w:p>
            <w:pPr>
              <w:spacing w:after="40"/>
            </w:pPr>
            <w:r>
              <w:rPr>
                <w:b/>
                <w:color w:val="FFFFFF"/>
                <w:sz w:val="20"/>
              </w:rPr>
              <w:t>Trigger</w:t>
            </w:r>
          </w:p>
        </w:tc>
        <w:tc>
          <w:tcPr>
            <w:tcW w:type="dxa" w:w="3168"/>
            <w:shd w:fill="2D2D2D"/>
          </w:tcPr>
          <w:p>
            <w:pPr>
              <w:spacing w:after="40"/>
            </w:pPr>
            <w:r>
              <w:rPr>
                <w:b/>
                <w:color w:val="FFFFFF"/>
                <w:sz w:val="20"/>
              </w:rPr>
              <w:t>Aggregate Earn-Out Available</w:t>
            </w:r>
          </w:p>
        </w:tc>
      </w:tr>
      <w:tr>
        <w:tc>
          <w:tcPr>
            <w:tcW w:type="dxa" w:w="2592"/>
            <w:shd w:fill="F5ECD7"/>
          </w:tcPr>
          <w:p>
            <w:pPr>
              <w:spacing w:after="40"/>
            </w:pPr>
            <w:r>
              <w:rPr>
                <w:sz w:val="20"/>
              </w:rPr>
              <w:t>T6 Annualized (Oct 2026)</w:t>
            </w:r>
          </w:p>
        </w:tc>
        <w:tc>
          <w:tcPr>
            <w:tcW w:type="dxa" w:w="4032"/>
            <w:shd w:fill="F5ECD7"/>
          </w:tcPr>
          <w:p>
            <w:pPr>
              <w:spacing w:after="40"/>
            </w:pPr>
            <w:r>
              <w:rPr>
                <w:sz w:val="20"/>
              </w:rPr>
              <w:t>T6 annualized NOI &gt;= $350,000</w:t>
            </w:r>
          </w:p>
        </w:tc>
        <w:tc>
          <w:tcPr>
            <w:tcW w:type="dxa" w:w="3168"/>
            <w:shd w:fill="F5ECD7"/>
          </w:tcPr>
          <w:p>
            <w:pPr>
              <w:spacing w:after="40"/>
            </w:pPr>
            <w:r>
              <w:rPr>
                <w:b/>
                <w:sz w:val="20"/>
              </w:rPr>
              <w:t>Up to $500,000</w:t>
            </w:r>
          </w:p>
        </w:tc>
      </w:tr>
      <w:tr>
        <w:tc>
          <w:tcPr>
            <w:tcW w:type="dxa" w:w="2592"/>
          </w:tcPr>
          <w:p>
            <w:pPr>
              <w:spacing w:after="40"/>
            </w:pPr>
            <w:r>
              <w:rPr>
                <w:sz w:val="20"/>
              </w:rPr>
              <w:t>T12 Actual (Apr 2027)</w:t>
            </w:r>
          </w:p>
        </w:tc>
        <w:tc>
          <w:tcPr>
            <w:tcW w:type="dxa" w:w="4032"/>
          </w:tcPr>
          <w:p>
            <w:pPr>
              <w:spacing w:after="40"/>
            </w:pPr>
            <w:r>
              <w:rPr>
                <w:sz w:val="20"/>
              </w:rPr>
              <w:t>T12 actual NOI &gt;= $375,000</w:t>
            </w:r>
          </w:p>
        </w:tc>
        <w:tc>
          <w:tcPr>
            <w:tcW w:type="dxa" w:w="3168"/>
          </w:tcPr>
          <w:p>
            <w:pPr>
              <w:spacing w:after="40"/>
            </w:pPr>
            <w:r>
              <w:rPr>
                <w:b/>
                <w:sz w:val="20"/>
              </w:rPr>
              <w:t>Up to $900,000 aggregate</w:t>
            </w:r>
          </w:p>
        </w:tc>
      </w:tr>
      <w:tr>
        <w:tc>
          <w:tcPr>
            <w:tcW w:type="dxa" w:w="2592"/>
            <w:shd w:fill="F5ECD7"/>
          </w:tcPr>
          <w:p>
            <w:pPr>
              <w:spacing w:after="40"/>
            </w:pPr>
            <w:r>
              <w:rPr>
                <w:sz w:val="20"/>
              </w:rPr>
              <w:t>T12 Actual (Apr 2027)</w:t>
            </w:r>
          </w:p>
        </w:tc>
        <w:tc>
          <w:tcPr>
            <w:tcW w:type="dxa" w:w="4032"/>
            <w:shd w:fill="F5ECD7"/>
          </w:tcPr>
          <w:p>
            <w:pPr>
              <w:spacing w:after="40"/>
            </w:pPr>
            <w:r>
              <w:rPr>
                <w:sz w:val="20"/>
              </w:rPr>
              <w:t>T12 actual NOI &gt;= $425,000</w:t>
            </w:r>
          </w:p>
        </w:tc>
        <w:tc>
          <w:tcPr>
            <w:tcW w:type="dxa" w:w="3168"/>
            <w:shd w:fill="F5ECD7"/>
          </w:tcPr>
          <w:p>
            <w:pPr>
              <w:spacing w:after="40"/>
            </w:pPr>
            <w:r>
              <w:rPr>
                <w:b/>
                <w:sz w:val="20"/>
              </w:rPr>
              <w:t>Up to $1,300,000 aggregate</w:t>
            </w:r>
          </w:p>
        </w:tc>
      </w:tr>
    </w:tbl>
    <w:p>
      <w:pPr>
        <w:spacing w:after="80"/>
      </w:pPr>
      <w:r>
        <w:rPr>
          <w:b w:val="0"/>
          <w:i w:val="0"/>
          <w:sz w:val="21"/>
        </w:rPr>
      </w:r>
    </w:p>
    <w:p>
      <w:pPr>
        <w:spacing w:after="200"/>
      </w:pPr>
      <w:r>
        <w:rPr>
          <w:b w:val="0"/>
          <w:i/>
          <w:sz w:val="18"/>
        </w:rPr>
        <w:t>Each draw must independently satisfy the minimum 1.40x DSCR test. Earn-out rights expire if not drawn within the 24-month commitment period.</w:t>
      </w:r>
    </w:p>
    <w:p>
      <w:pPr>
        <w:spacing w:before="280" w:after="120"/>
        <w:pBdr>
          <w:bottom w:val="single" w:sz="4" w:space="1" w:color="C5A55A"/>
        </w:pBdr>
      </w:pPr>
      <w:r>
        <w:rPr>
          <w:b/>
          <w:color w:val="A68A3E"/>
          <w:sz w:val="22"/>
        </w:rPr>
        <w:t>BENEFITS TO MBT / LENDER</w:t>
      </w:r>
    </w:p>
    <w:p>
      <w:pPr>
        <w:pStyle w:val="ListBullet"/>
        <w:spacing w:after="100"/>
      </w:pPr>
      <w:r>
        <w:rPr>
          <w:b/>
          <w:sz w:val="21"/>
        </w:rPr>
        <w:t xml:space="preserve">Staged credit exposure. </w:t>
      </w:r>
      <w:r>
        <w:rPr>
          <w:sz w:val="21"/>
        </w:rPr>
        <w:t>Initial funding of $2.0M is based on in-place performance and stabilized appraisal. Incremental $1.3M funds only after proven trailing performance meets defined coverage thresholds. This is a structurally safer deployment of capital than writing the full amount on Day 1 against projected NOI.</w:t>
      </w:r>
    </w:p>
    <w:p>
      <w:pPr>
        <w:pStyle w:val="ListBullet"/>
        <w:spacing w:after="100"/>
      </w:pPr>
      <w:r>
        <w:rPr>
          <w:b/>
          <w:sz w:val="21"/>
        </w:rPr>
        <w:t xml:space="preserve">Protects the banking relationship. </w:t>
      </w:r>
      <w:r>
        <w:rPr>
          <w:sz w:val="21"/>
        </w:rPr>
        <w:t>Without an earn-out, the borrower is likely to seek supplemental debt from a non-relationship lender (DSCR or CMBS) to reach targeted proceeds, fragmenting the relationship and the deposit base. This structure keeps all debt - and the corresponding deposits, treasury, and follow-on opportunities - at MBT.</w:t>
      </w:r>
    </w:p>
    <w:p>
      <w:pPr>
        <w:pStyle w:val="ListBullet"/>
        <w:spacing w:after="100"/>
      </w:pPr>
      <w:r>
        <w:rPr>
          <w:b/>
          <w:sz w:val="21"/>
        </w:rPr>
        <w:t xml:space="preserve">Credit-committee friendly. </w:t>
      </w:r>
      <w:r>
        <w:rPr>
          <w:sz w:val="21"/>
        </w:rPr>
        <w:t>The structure presents as: 'We are lending $2M today on strong in-place performance, with optional upsize only after proven trailing NOI meets defined thresholds at defined coverage.' That framing is easier to approve than a speculative $3M loan based on projections.</w:t>
      </w:r>
    </w:p>
    <w:p>
      <w:pPr>
        <w:pStyle w:val="ListBullet"/>
        <w:spacing w:after="100"/>
      </w:pPr>
      <w:r>
        <w:rPr>
          <w:b/>
          <w:sz w:val="21"/>
        </w:rPr>
        <w:t xml:space="preserve">Higher yield on proven credit. </w:t>
      </w:r>
      <w:r>
        <w:rPr>
          <w:sz w:val="21"/>
        </w:rPr>
        <w:t>If performance delivers, MBT deploys additional capital at attractive spreads on a strengthened credit. If performance does not deliver, the capital is never at risk. Asymmetric upside for the bank.</w:t>
      </w:r>
    </w:p>
    <w:p>
      <w:pPr>
        <w:pStyle w:val="ListBullet"/>
        <w:spacing w:after="100"/>
      </w:pPr>
      <w:r>
        <w:rPr>
          <w:b/>
          <w:sz w:val="21"/>
        </w:rPr>
        <w:t xml:space="preserve">Efficient marginal underwriting. </w:t>
      </w:r>
      <w:r>
        <w:rPr>
          <w:sz w:val="21"/>
        </w:rPr>
        <w:t>The bank has already performed underwriting on this borrower and property. Incremental earn-out draws require marginal credit review against pre-defined triggers, not full re-underwriting. High origination ROI on the incremental proceeds.</w:t>
      </w:r>
    </w:p>
    <w:p>
      <w:pPr>
        <w:pStyle w:val="ListBullet"/>
        <w:spacing w:after="100"/>
      </w:pPr>
      <w:r>
        <w:rPr>
          <w:b/>
          <w:sz w:val="21"/>
        </w:rPr>
        <w:t xml:space="preserve">Defensive against refinance risk. </w:t>
      </w:r>
      <w:r>
        <w:rPr>
          <w:sz w:val="21"/>
        </w:rPr>
        <w:t>Without this structure, the borrower may refinance with another institution in 12-18 months to access proceeds MBT is not providing. The earn-out locks the borrower into a 10-year relationship at origination.</w:t>
      </w:r>
    </w:p>
    <w:p>
      <w:pPr>
        <w:spacing w:before="280" w:after="120"/>
        <w:pBdr>
          <w:bottom w:val="single" w:sz="4" w:space="1" w:color="C5A55A"/>
        </w:pBdr>
      </w:pPr>
      <w:r>
        <w:rPr>
          <w:b/>
          <w:color w:val="A68A3E"/>
          <w:sz w:val="22"/>
        </w:rPr>
        <w:t>COVERAGE ANALYSIS AT EACH FUNDING TIER</w:t>
      </w:r>
    </w:p>
    <w:p>
      <w:pPr>
        <w:spacing w:after="160"/>
      </w:pPr>
      <w:r>
        <w:rPr>
          <w:b w:val="0"/>
          <w:i w:val="0"/>
          <w:sz w:val="21"/>
        </w:rPr>
        <w:t>Based on the blended 2026 pro forma (closed actuals through March plus forward bookings and seasonal projections), projected full-year 2026 NOI after known fixed costs is $338,428. Assuming modest 5% annual growth into stabilization:</w:t>
      </w:r>
    </w:p>
    <w:tbl>
      <w:tblPr>
        <w:tblW w:type="auto" w:w="0"/>
        <w:tblLayout w:type="fixed"/>
        <w:tblLook w:firstColumn="1" w:firstRow="1" w:lastColumn="0" w:lastRow="0" w:noHBand="0" w:noVBand="1" w:val="04A0"/>
      </w:tblPr>
      <w:tblGrid>
        <w:gridCol w:w="2448"/>
        <w:gridCol w:w="2304"/>
        <w:gridCol w:w="2304"/>
        <w:gridCol w:w="2592"/>
      </w:tblGrid>
      <w:tr>
        <w:tc>
          <w:tcPr>
            <w:tcW w:type="dxa" w:w="2448"/>
            <w:shd w:fill="2D2D2D"/>
          </w:tcPr>
          <w:p>
            <w:pPr>
              <w:spacing w:after="40"/>
            </w:pPr>
            <w:r>
              <w:rPr>
                <w:b/>
                <w:color w:val="FFFFFF"/>
                <w:sz w:val="20"/>
              </w:rPr>
              <w:t>Scenario</w:t>
            </w:r>
          </w:p>
        </w:tc>
        <w:tc>
          <w:tcPr>
            <w:tcW w:type="dxa" w:w="2304"/>
            <w:shd w:fill="2D2D2D"/>
          </w:tcPr>
          <w:p>
            <w:pPr>
              <w:spacing w:after="40"/>
            </w:pPr>
            <w:r>
              <w:rPr>
                <w:b/>
                <w:color w:val="FFFFFF"/>
                <w:sz w:val="20"/>
              </w:rPr>
              <w:t>Total Loan</w:t>
            </w:r>
          </w:p>
        </w:tc>
        <w:tc>
          <w:tcPr>
            <w:tcW w:type="dxa" w:w="2304"/>
            <w:shd w:fill="2D2D2D"/>
          </w:tcPr>
          <w:p>
            <w:pPr>
              <w:spacing w:after="40"/>
            </w:pPr>
            <w:r>
              <w:rPr>
                <w:b/>
                <w:color w:val="FFFFFF"/>
                <w:sz w:val="20"/>
              </w:rPr>
              <w:t>Annual DS (25-yr)</w:t>
            </w:r>
          </w:p>
        </w:tc>
        <w:tc>
          <w:tcPr>
            <w:tcW w:type="dxa" w:w="2592"/>
            <w:shd w:fill="2D2D2D"/>
          </w:tcPr>
          <w:p>
            <w:pPr>
              <w:spacing w:after="40"/>
            </w:pPr>
            <w:r>
              <w:rPr>
                <w:b/>
                <w:color w:val="FFFFFF"/>
                <w:sz w:val="20"/>
              </w:rPr>
              <w:t>DSCR @ $375K NOI</w:t>
            </w:r>
          </w:p>
        </w:tc>
      </w:tr>
      <w:tr>
        <w:tc>
          <w:tcPr>
            <w:tcW w:type="dxa" w:w="2448"/>
            <w:shd w:fill="F5F5F5"/>
          </w:tcPr>
          <w:p>
            <w:pPr>
              <w:spacing w:after="40"/>
            </w:pPr>
            <w:r>
              <w:rPr>
                <w:b/>
                <w:sz w:val="20"/>
              </w:rPr>
              <w:t>Base Loan Only</w:t>
            </w:r>
          </w:p>
        </w:tc>
        <w:tc>
          <w:tcPr>
            <w:tcW w:type="dxa" w:w="2304"/>
            <w:shd w:fill="F5F5F5"/>
          </w:tcPr>
          <w:p>
            <w:pPr>
              <w:spacing w:after="40"/>
            </w:pPr>
            <w:r>
              <w:rPr>
                <w:sz w:val="20"/>
              </w:rPr>
              <w:t>$2,000,000</w:t>
            </w:r>
          </w:p>
        </w:tc>
        <w:tc>
          <w:tcPr>
            <w:tcW w:type="dxa" w:w="2304"/>
            <w:shd w:fill="F5F5F5"/>
          </w:tcPr>
          <w:p>
            <w:pPr>
              <w:spacing w:after="40"/>
            </w:pPr>
            <w:r>
              <w:rPr>
                <w:sz w:val="20"/>
              </w:rPr>
              <w:t>$158,321</w:t>
            </w:r>
          </w:p>
        </w:tc>
        <w:tc>
          <w:tcPr>
            <w:tcW w:type="dxa" w:w="2592"/>
            <w:shd w:fill="F5F5F5"/>
          </w:tcPr>
          <w:p>
            <w:pPr>
              <w:spacing w:after="40"/>
            </w:pPr>
            <w:r>
              <w:rPr>
                <w:b/>
                <w:sz w:val="20"/>
              </w:rPr>
              <w:t>2.37x</w:t>
            </w:r>
          </w:p>
        </w:tc>
      </w:tr>
      <w:tr>
        <w:tc>
          <w:tcPr>
            <w:tcW w:type="dxa" w:w="2448"/>
          </w:tcPr>
          <w:p>
            <w:pPr>
              <w:spacing w:after="40"/>
            </w:pPr>
            <w:r>
              <w:rPr>
                <w:b/>
                <w:sz w:val="20"/>
              </w:rPr>
              <w:t>Base + $500K Earn-Out</w:t>
            </w:r>
          </w:p>
        </w:tc>
        <w:tc>
          <w:tcPr>
            <w:tcW w:type="dxa" w:w="2304"/>
          </w:tcPr>
          <w:p>
            <w:pPr>
              <w:spacing w:after="40"/>
            </w:pPr>
            <w:r>
              <w:rPr>
                <w:sz w:val="20"/>
              </w:rPr>
              <w:t>$2,500,000</w:t>
            </w:r>
          </w:p>
        </w:tc>
        <w:tc>
          <w:tcPr>
            <w:tcW w:type="dxa" w:w="2304"/>
          </w:tcPr>
          <w:p>
            <w:pPr>
              <w:spacing w:after="40"/>
            </w:pPr>
            <w:r>
              <w:rPr>
                <w:sz w:val="20"/>
              </w:rPr>
              <w:t>$197,901</w:t>
            </w:r>
          </w:p>
        </w:tc>
        <w:tc>
          <w:tcPr>
            <w:tcW w:type="dxa" w:w="2592"/>
          </w:tcPr>
          <w:p>
            <w:pPr>
              <w:spacing w:after="40"/>
            </w:pPr>
            <w:r>
              <w:rPr>
                <w:b/>
                <w:sz w:val="20"/>
              </w:rPr>
              <w:t>1.89x</w:t>
            </w:r>
          </w:p>
        </w:tc>
      </w:tr>
      <w:tr>
        <w:tc>
          <w:tcPr>
            <w:tcW w:type="dxa" w:w="2448"/>
            <w:shd w:fill="F5F5F5"/>
          </w:tcPr>
          <w:p>
            <w:pPr>
              <w:spacing w:after="40"/>
            </w:pPr>
            <w:r>
              <w:rPr>
                <w:b/>
                <w:sz w:val="20"/>
              </w:rPr>
              <w:t>Base + $900K Earn-Out</w:t>
            </w:r>
          </w:p>
        </w:tc>
        <w:tc>
          <w:tcPr>
            <w:tcW w:type="dxa" w:w="2304"/>
            <w:shd w:fill="F5F5F5"/>
          </w:tcPr>
          <w:p>
            <w:pPr>
              <w:spacing w:after="40"/>
            </w:pPr>
            <w:r>
              <w:rPr>
                <w:sz w:val="20"/>
              </w:rPr>
              <w:t>$2,900,000</w:t>
            </w:r>
          </w:p>
        </w:tc>
        <w:tc>
          <w:tcPr>
            <w:tcW w:type="dxa" w:w="2304"/>
            <w:shd w:fill="F5F5F5"/>
          </w:tcPr>
          <w:p>
            <w:pPr>
              <w:spacing w:after="40"/>
            </w:pPr>
            <w:r>
              <w:rPr>
                <w:sz w:val="20"/>
              </w:rPr>
              <w:t>$229,565</w:t>
            </w:r>
          </w:p>
        </w:tc>
        <w:tc>
          <w:tcPr>
            <w:tcW w:type="dxa" w:w="2592"/>
            <w:shd w:fill="F5F5F5"/>
          </w:tcPr>
          <w:p>
            <w:pPr>
              <w:spacing w:after="40"/>
            </w:pPr>
            <w:r>
              <w:rPr>
                <w:b/>
                <w:sz w:val="20"/>
              </w:rPr>
              <w:t>1.63x</w:t>
            </w:r>
          </w:p>
        </w:tc>
      </w:tr>
      <w:tr>
        <w:tc>
          <w:tcPr>
            <w:tcW w:type="dxa" w:w="2448"/>
          </w:tcPr>
          <w:p>
            <w:pPr>
              <w:spacing w:after="40"/>
            </w:pPr>
            <w:r>
              <w:rPr>
                <w:b/>
                <w:sz w:val="20"/>
              </w:rPr>
              <w:t>Base + $1.3M Earn-Out</w:t>
            </w:r>
          </w:p>
        </w:tc>
        <w:tc>
          <w:tcPr>
            <w:tcW w:type="dxa" w:w="2304"/>
          </w:tcPr>
          <w:p>
            <w:pPr>
              <w:spacing w:after="40"/>
            </w:pPr>
            <w:r>
              <w:rPr>
                <w:sz w:val="20"/>
              </w:rPr>
              <w:t>$3,300,000</w:t>
            </w:r>
          </w:p>
        </w:tc>
        <w:tc>
          <w:tcPr>
            <w:tcW w:type="dxa" w:w="2304"/>
          </w:tcPr>
          <w:p>
            <w:pPr>
              <w:spacing w:after="40"/>
            </w:pPr>
            <w:r>
              <w:rPr>
                <w:sz w:val="20"/>
              </w:rPr>
              <w:t>$261,229</w:t>
            </w:r>
          </w:p>
        </w:tc>
        <w:tc>
          <w:tcPr>
            <w:tcW w:type="dxa" w:w="2592"/>
          </w:tcPr>
          <w:p>
            <w:pPr>
              <w:spacing w:after="40"/>
            </w:pPr>
            <w:r>
              <w:rPr>
                <w:b/>
                <w:sz w:val="20"/>
              </w:rPr>
              <w:t>1.44x</w:t>
            </w:r>
          </w:p>
        </w:tc>
      </w:tr>
    </w:tbl>
    <w:p>
      <w:pPr>
        <w:spacing w:after="80"/>
      </w:pPr>
      <w:r>
        <w:rPr>
          <w:b w:val="0"/>
          <w:i w:val="0"/>
          <w:sz w:val="21"/>
        </w:rPr>
      </w:r>
    </w:p>
    <w:p>
      <w:pPr>
        <w:spacing w:after="200"/>
      </w:pPr>
      <w:r>
        <w:rPr>
          <w:b w:val="0"/>
          <w:i/>
          <w:sz w:val="18"/>
        </w:rPr>
        <w:t>Even at the maximum earn-out, DSCR remains at 1.44x - comfortably above the 1.35x covenant with meaningful cushion for appraiser haircut, rate movement, or interim performance volatility.</w:t>
      </w:r>
    </w:p>
    <w:p>
      <w:pPr>
        <w:spacing w:before="280" w:after="120"/>
        <w:pBdr>
          <w:bottom w:val="single" w:sz="4" w:space="1" w:color="C5A55A"/>
        </w:pBdr>
      </w:pPr>
      <w:r>
        <w:rPr>
          <w:b/>
          <w:color w:val="A68A3E"/>
          <w:sz w:val="22"/>
        </w:rPr>
        <w:t>STRUCTURAL ALIGNMENT</w:t>
      </w:r>
    </w:p>
    <w:p>
      <w:pPr>
        <w:spacing w:after="120"/>
      </w:pPr>
      <w:r>
        <w:rPr>
          <w:b w:val="0"/>
          <w:i w:val="0"/>
          <w:sz w:val="21"/>
        </w:rPr>
        <w:t>This structure aligns borrower and lender interests:</w:t>
      </w:r>
    </w:p>
    <w:p>
      <w:pPr>
        <w:pStyle w:val="ListBullet"/>
        <w:spacing w:after="60"/>
      </w:pPr>
      <w:r>
        <w:rPr>
          <w:rFonts w:ascii="Calibri" w:hAnsi="Calibri"/>
          <w:sz w:val="21"/>
        </w:rPr>
        <w:t>Both parties benefit when the property continues to perform - MBT deploys more capital at attractive yields, borrower accesses capital for accretive redeployment.</w:t>
      </w:r>
    </w:p>
    <w:p>
      <w:pPr>
        <w:pStyle w:val="ListBullet"/>
        <w:spacing w:after="60"/>
      </w:pPr>
      <w:r>
        <w:rPr>
          <w:rFonts w:ascii="Calibri" w:hAnsi="Calibri"/>
          <w:sz w:val="21"/>
        </w:rPr>
        <w:t>Both parties are protected if performance underperforms - MBT is not over-extended against projections, borrower is not forced to draw capital that cannot be covered.</w:t>
      </w:r>
    </w:p>
    <w:p>
      <w:pPr>
        <w:pStyle w:val="ListBullet"/>
        <w:spacing w:after="60"/>
      </w:pPr>
      <w:r>
        <w:rPr>
          <w:rFonts w:ascii="Calibri" w:hAnsi="Calibri"/>
          <w:sz w:val="21"/>
        </w:rPr>
        <w:t>Both parties benefit from the long-term relationship captured by the structure - MBT retains a 10-year lending relationship and deposit base, borrower retains relationship-based pricing and flexibility.</w:t>
      </w:r>
    </w:p>
    <w:p>
      <w:pPr>
        <w:spacing w:after="200"/>
      </w:pPr>
      <w:r>
        <w:rPr>
          <w:b w:val="0"/>
          <w:i w:val="0"/>
          <w:sz w:val="21"/>
        </w:rPr>
      </w:r>
    </w:p>
    <w:p>
      <w:pPr>
        <w:spacing w:before="280" w:after="120"/>
        <w:pBdr>
          <w:bottom w:val="single" w:sz="4" w:space="1" w:color="C5A55A"/>
        </w:pBdr>
      </w:pPr>
      <w:r>
        <w:rPr>
          <w:b/>
          <w:color w:val="A68A3E"/>
          <w:sz w:val="22"/>
        </w:rPr>
        <w:t>PROPOSED NEXT STEPS</w:t>
      </w:r>
    </w:p>
    <w:p>
      <w:pPr>
        <w:pStyle w:val="ListBullet"/>
        <w:spacing w:after="60"/>
      </w:pPr>
      <w:r>
        <w:rPr>
          <w:rFonts w:ascii="Calibri" w:hAnsi="Calibri"/>
          <w:sz w:val="21"/>
        </w:rPr>
        <w:t>MBT review and feedback on proposed structure, triggers, and coverage thresholds</w:t>
      </w:r>
    </w:p>
    <w:p>
      <w:pPr>
        <w:pStyle w:val="ListBullet"/>
        <w:spacing w:after="60"/>
      </w:pPr>
      <w:r>
        <w:rPr>
          <w:rFonts w:ascii="Calibri" w:hAnsi="Calibri"/>
          <w:sz w:val="21"/>
        </w:rPr>
        <w:t>Confirmation of pricing mechanics (spread lock, Treasury reset mechanics, earn-out pricing)</w:t>
      </w:r>
    </w:p>
    <w:p>
      <w:pPr>
        <w:pStyle w:val="ListBullet"/>
        <w:spacing w:after="60"/>
      </w:pPr>
      <w:r>
        <w:rPr>
          <w:rFonts w:ascii="Calibri" w:hAnsi="Calibri"/>
          <w:sz w:val="21"/>
        </w:rPr>
        <w:t>Credit-committee presentation outline (borrower available to provide supporting materials as needed)</w:t>
      </w:r>
    </w:p>
    <w:p>
      <w:pPr>
        <w:pStyle w:val="ListBullet"/>
        <w:spacing w:after="60"/>
      </w:pPr>
      <w:r>
        <w:rPr>
          <w:rFonts w:ascii="Calibri" w:hAnsi="Calibri"/>
          <w:sz w:val="21"/>
        </w:rPr>
        <w:t>Engagement of appraiser and environmental review following mutual agreement on structure</w:t>
      </w:r>
    </w:p>
    <w:p>
      <w:pPr>
        <w:spacing w:after="400"/>
      </w:pPr>
      <w:r>
        <w:rPr>
          <w:b w:val="0"/>
          <w:i w:val="0"/>
          <w:sz w:val="21"/>
        </w:rPr>
      </w:r>
    </w:p>
    <w:p>
      <w:pPr>
        <w:jc w:val="center"/>
      </w:pPr>
      <w:r>
        <w:rPr>
          <w:i/>
          <w:color w:val="666666"/>
          <w:sz w:val="17"/>
        </w:rPr>
        <w:t>Proposal prepared by Driven Capital Partners   |   Indicative - subject to mutual agreement and credit approval</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