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Clinical Data Derivation Engine — Design Document</w:t>
      </w:r>
    </w:p>
    <w:p>
      <w:pPr>
        <w:pStyle w:val="Author"/>
      </w:pPr>
      <w:r>
        <w:t xml:space="preserve">Matthieu Boujonnier</w:t>
      </w:r>
    </w:p>
    <w:p>
      <w:pPr>
        <w:pStyle w:val="Date"/>
      </w:pPr>
      <w:r>
        <w:t xml:space="preserve">2026-04-13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X33b4b63b901f237cf4a759e1d2f7808ccfdde2f"/>
    <w:p>
      <w:pPr>
        <w:pStyle w:val="Heading1"/>
      </w:pPr>
      <w:r>
        <w:t xml:space="preserve">Design Document — Clinical Data Derivation Engine (CDDE)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Matthieu Boujonnier |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2026 |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Start w:id="9" w:name="system-architecture"/>
    <w:p>
      <w:pPr>
        <w:pStyle w:val="Heading2"/>
      </w:pPr>
      <w:r>
        <w:t xml:space="preserve">1. System Architecture</w:t>
      </w:r>
    </w:p>
    <w:p>
      <w:pPr>
        <w:pStyle w:val="FirstParagraph"/>
      </w:pPr>
      <w:r>
        <w:t xml:space="preserve">CDDE automates the SDTM-to-ADaM derivation step of the clinical trial data pipeline. The system reads a YAML transformation specification and structured SDTM data (XPT format), dispatches five specialized AI agents to generate, verify, and audit derivation code, and outputs analysis-ready ADaM datasets with a complete audit trail.</w:t>
      </w:r>
    </w:p>
    <w:p>
      <w:pPr>
        <w:pStyle w:val="BodyText"/>
      </w:pPr>
      <w:r>
        <w:t xml:space="preserve">The backend follows a strict layered design enforced by 19 import-linter contracts plus 10 custom AST-based pre-commit checks:</w:t>
      </w:r>
    </w:p>
    <w:p>
      <w:pPr>
        <w:pStyle w:val="SourceCode"/>
      </w:pPr>
      <w:r>
        <w:rPr>
          <w:rStyle w:val="VerbatimChar"/>
        </w:rPr>
        <w:t xml:space="preserve">domain/          (pure Python: models, DAG, spec parsing, ground truth comparison)</w:t>
      </w:r>
      <w:r>
        <w:br/>
      </w:r>
      <w:r>
        <w:rPr>
          <w:rStyle w:val="VerbatimChar"/>
        </w:rPr>
        <w:t xml:space="preserve">   ↑</w:t>
      </w:r>
      <w:r>
        <w:br/>
      </w:r>
      <w:r>
        <w:rPr>
          <w:rStyle w:val="VerbatimChar"/>
        </w:rPr>
        <w:t xml:space="preserve">agents/          (PydanticAI agent definitions + shared tools)</w:t>
      </w:r>
      <w:r>
        <w:br/>
      </w:r>
      <w:r>
        <w:rPr>
          <w:rStyle w:val="VerbatimChar"/>
        </w:rPr>
        <w:t xml:space="preserve">   ↑</w:t>
      </w:r>
      <w:r>
        <w:br/>
      </w:r>
      <w:r>
        <w:rPr>
          <w:rStyle w:val="VerbatimChar"/>
        </w:rPr>
        <w:t xml:space="preserve">engine/          (YAML pipeline interpreter, DAG execution, step executors)</w:t>
      </w:r>
      <w:r>
        <w:br/>
      </w:r>
      <w:r>
        <w:rPr>
          <w:rStyle w:val="VerbatimChar"/>
        </w:rPr>
        <w:t xml:space="preserve">   ↑</w:t>
      </w:r>
      <w:r>
        <w:br/>
      </w:r>
      <w:r>
        <w:rPr>
          <w:rStyle w:val="VerbatimChar"/>
        </w:rPr>
        <w:t xml:space="preserve">verification/ + audit/ + persistence/</w:t>
      </w:r>
      <w:r>
        <w:br/>
      </w:r>
      <w:r>
        <w:rPr>
          <w:rStyle w:val="VerbatimChar"/>
        </w:rPr>
        <w:t xml:space="preserve">   ↑</w:t>
      </w:r>
      <w:r>
        <w:br/>
      </w:r>
      <w:r>
        <w:rPr>
          <w:rStyle w:val="VerbatimChar"/>
        </w:rPr>
        <w:t xml:space="preserve">api/             (FastAPI REST + FastMCP 3.0 server)</w:t>
      </w:r>
    </w:p>
    <w:p>
      <w:pPr>
        <w:pStyle w:val="FirstParagraph"/>
      </w:pPr>
      <w:r>
        <w:t xml:space="preserve">The frontend is a separate</w:t>
      </w:r>
      <w:r>
        <w:t xml:space="preserve"> </w:t>
      </w:r>
      <w:r>
        <w:rPr>
          <w:b/>
          <w:bCs/>
        </w:rPr>
        <w:t xml:space="preserve">Vite + React 18 + TypeScript SPA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, consuming the FastAPI backend via a typed TanStack Query client. The two services are independently deployable and compose via Docker (see §8).</w:t>
      </w:r>
    </w:p>
    <w:p>
      <w:pPr>
        <w:pStyle w:val="BodyText"/>
      </w:pPr>
      <w:r>
        <w:rPr>
          <w:b/>
          <w:bCs/>
        </w:rPr>
        <w:t xml:space="preserve">Key design choice:</w:t>
      </w:r>
      <w:r>
        <w:t xml:space="preserve"> </w:t>
      </w:r>
      <w:r>
        <w:t xml:space="preserve">PydanticAI for typed agent abstractions (</w:t>
      </w:r>
      <w:r>
        <w:rPr>
          <w:rStyle w:val="VerbatimChar"/>
        </w:rPr>
        <w:t xml:space="preserve">Agent[DepsType, OutputType]</w:t>
      </w:r>
      <w:r>
        <w:t xml:space="preserve">) + custom Python async orchestration for clinical workflow control. We evaluated CrewAI but rejected it:</w:t>
      </w:r>
      <w:r>
        <w:t xml:space="preserve"> </w:t>
      </w:r>
      <w:r>
        <w:rPr>
          <w:rStyle w:val="VerbatimChar"/>
        </w:rPr>
        <w:t xml:space="preserve">async_execution</w:t>
      </w:r>
      <w:r>
        <w:t xml:space="preserve"> </w:t>
      </w:r>
      <w:r>
        <w:t xml:space="preserve">has known bugs (PR #2466),</w:t>
      </w:r>
      <w:r>
        <w:t xml:space="preserve"> </w:t>
      </w:r>
      <w:r>
        <w:rPr>
          <w:rStyle w:val="VerbatimChar"/>
        </w:rPr>
        <w:t xml:space="preserve">human_input</w:t>
      </w:r>
      <w:r>
        <w:t xml:space="preserve"> </w:t>
      </w:r>
      <w:r>
        <w:t xml:space="preserve">is CLI-only, and structured output is bolted-on rather than native. PydanticAI passed all five orchestration patterns in prototype validation (parallel agents via</w:t>
      </w:r>
      <w:r>
        <w:t xml:space="preserve"> </w:t>
      </w:r>
      <w:r>
        <w:rPr>
          <w:rStyle w:val="VerbatimChar"/>
        </w:rPr>
        <w:t xml:space="preserve">asyncio.gather</w:t>
      </w:r>
      <w:r>
        <w:t xml:space="preserve"> </w:t>
      </w:r>
      <w:r>
        <w:t xml:space="preserve">arrived within 0.01s).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SPA["React SPA&lt;br/&gt;(HITL dialogs, DAG view, data preview)"]</w:t>
      </w:r>
      <w:r>
        <w:br/>
      </w:r>
      <w:r>
        <w:rPr>
          <w:rStyle w:val="VerbatimChar"/>
        </w:rPr>
        <w:t xml:space="preserve">    API["FastAPI + FastMCP&lt;br/&gt;(REST + MCP tools)"]</w:t>
      </w:r>
      <w:r>
        <w:br/>
      </w:r>
      <w:r>
        <w:rPr>
          <w:rStyle w:val="VerbatimChar"/>
        </w:rPr>
        <w:t xml:space="preserve">    Engine["Pipeline Interpreter&lt;br/&gt;(YAML-driven, DAG layer dispatch)"]</w:t>
      </w:r>
      <w:r>
        <w:br/>
      </w:r>
      <w:r>
        <w:rPr>
          <w:rStyle w:val="VerbatimChar"/>
        </w:rPr>
        <w:t xml:space="preserve">    Agents["PydanticAI Agents&lt;br/&gt;(5 agents, typed I/O)"]</w:t>
      </w:r>
      <w:r>
        <w:br/>
      </w:r>
      <w:r>
        <w:rPr>
          <w:rStyle w:val="VerbatimChar"/>
        </w:rPr>
        <w:t xml:space="preserve">    Gateway["LLM Gateway&lt;br/&gt;(OpenAI-compatible endpoint)"]</w:t>
      </w:r>
      <w:r>
        <w:br/>
      </w:r>
      <w:r>
        <w:rPr>
          <w:rStyle w:val="VerbatimChar"/>
        </w:rPr>
        <w:t xml:space="preserve">    Memory["Memory Layer&lt;br/&gt;(SQLite: patterns, feedback, qc_history, workflow_states)"]</w:t>
      </w:r>
      <w:r>
        <w:br/>
      </w:r>
      <w:r>
        <w:rPr>
          <w:rStyle w:val="VerbatimChar"/>
        </w:rPr>
        <w:t xml:space="preserve">    Lens["AgentLens Proxy&lt;br/&gt;(traces + guards)"]</w:t>
      </w:r>
      <w:r>
        <w:br/>
      </w:r>
      <w:r>
        <w:rPr>
          <w:rStyle w:val="VerbatimChar"/>
        </w:rPr>
        <w:t xml:space="preserve">    LLM["LLM API&lt;br/&gt;(Claude / Azure OpenAI)"]</w:t>
      </w:r>
      <w:r>
        <w:br/>
      </w:r>
      <w:r>
        <w:br/>
      </w:r>
      <w:r>
        <w:rPr>
          <w:rStyle w:val="VerbatimChar"/>
        </w:rPr>
        <w:t xml:space="preserve">    SPA --&gt; API</w:t>
      </w:r>
      <w:r>
        <w:br/>
      </w:r>
      <w:r>
        <w:rPr>
          <w:rStyle w:val="VerbatimChar"/>
        </w:rPr>
        <w:t xml:space="preserve">    API --&gt; Engine</w:t>
      </w:r>
      <w:r>
        <w:br/>
      </w:r>
      <w:r>
        <w:rPr>
          <w:rStyle w:val="VerbatimChar"/>
        </w:rPr>
        <w:t xml:space="preserve">    Engine --&gt; Agents</w:t>
      </w:r>
      <w:r>
        <w:br/>
      </w:r>
      <w:r>
        <w:rPr>
          <w:rStyle w:val="VerbatimChar"/>
        </w:rPr>
        <w:t xml:space="preserve">    Engine --&gt; Memory</w:t>
      </w:r>
      <w:r>
        <w:br/>
      </w:r>
      <w:r>
        <w:rPr>
          <w:rStyle w:val="VerbatimChar"/>
        </w:rPr>
        <w:t xml:space="preserve">    Agents --&gt; Gateway</w:t>
      </w:r>
      <w:r>
        <w:br/>
      </w:r>
      <w:r>
        <w:rPr>
          <w:rStyle w:val="VerbatimChar"/>
        </w:rPr>
        <w:t xml:space="preserve">    Gateway --&gt; Lens</w:t>
      </w:r>
      <w:r>
        <w:br/>
      </w:r>
      <w:r>
        <w:rPr>
          <w:rStyle w:val="VerbatimChar"/>
        </w:rPr>
        <w:t xml:space="preserve">    Lens --&gt; LLM</w:t>
      </w:r>
    </w:p>
    <w:p>
      <w:pPr>
        <w:pStyle w:val="FirstParagraph"/>
      </w:pPr>
      <w:r>
        <w:t xml:space="preserve">The engine is study-agnostic: the same code processes any spec. We validate against the</w:t>
      </w:r>
      <w:r>
        <w:t xml:space="preserve"> </w:t>
      </w:r>
      <w:r>
        <w:rPr>
          <w:b/>
          <w:bCs/>
        </w:rPr>
        <w:t xml:space="preserve">CDISC Pilot Study (cdiscpilot01)</w:t>
      </w:r>
      <w:r>
        <w:t xml:space="preserve"> </w:t>
      </w:r>
      <w:r>
        <w:t xml:space="preserve">– an Alzheimer’s anti-dementia trial with 7 ADSL derivations (AGEGR1, TRTDUR, SAFFL, ITTFL, EFFFL, DISCONFL, DURDIS).</w:t>
      </w:r>
    </w:p>
    <w:p>
      <w:r>
        <w:pict>
          <v:rect style="width:0;height:1.5pt" o:hralign="center" o:hrstd="t" o:hr="t"/>
        </w:pict>
      </w:r>
    </w:p>
    <w:bookmarkEnd w:id="9"/>
    <w:bookmarkStart w:id="10" w:name="agent-roles"/>
    <w:p>
      <w:pPr>
        <w:pStyle w:val="Heading2"/>
      </w:pPr>
      <w:r>
        <w:t xml:space="preserve">2. Agent Roles</w:t>
      </w:r>
    </w:p>
    <w:p>
      <w:pPr>
        <w:pStyle w:val="FirstParagraph"/>
      </w:pPr>
      <w:r>
        <w:t xml:space="preserve">Five agents mirror the real pharma workflow – each with a distinct cognitive task: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2376"/>
        <w:gridCol w:w="1188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Output Type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Why Separate?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 Interpreter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SpecInterpretation</w:t>
            </w:r>
          </w:p>
        </w:tc>
        <w:tc>
          <w:tcPr/>
          <w:p>
            <w:pPr>
              <w:pStyle w:val="Compact"/>
            </w:pPr>
            <w:r>
              <w:t xml:space="preserve">Parse YAML spec, extract structured rules, flag ambiguities</w:t>
            </w:r>
          </w:p>
        </w:tc>
        <w:tc>
          <w:tcPr/>
          <w:p>
            <w:pPr>
              <w:pStyle w:val="Compact"/>
            </w:pPr>
            <w:r>
              <w:t xml:space="preserve">Document understanding is not code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Derivation Coder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DerivationCode</w:t>
            </w:r>
          </w:p>
        </w:tc>
        <w:tc>
          <w:tcPr/>
          <w:p>
            <w:pPr>
              <w:pStyle w:val="Compact"/>
            </w:pPr>
            <w:r>
              <w:t xml:space="preserve">Generate Python derivation functions from rules</w:t>
            </w:r>
          </w:p>
        </w:tc>
        <w:tc>
          <w:tcPr/>
          <w:p>
            <w:pPr>
              <w:pStyle w:val="Compact"/>
            </w:pPr>
            <w:r>
              <w:t xml:space="preserve">Primary programmer (regulatory role)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QC Programmer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DerivationCode</w:t>
            </w:r>
          </w:p>
        </w:tc>
        <w:tc>
          <w:tcPr/>
          <w:p>
            <w:pPr>
              <w:pStyle w:val="Compact"/>
            </w:pPr>
            <w:r>
              <w:t xml:space="preserve">Independently re-implement the same derivation</w:t>
            </w:r>
          </w:p>
        </w:tc>
        <w:tc>
          <w:tcPr/>
          <w:p>
            <w:pPr>
              <w:pStyle w:val="Compact"/>
            </w:pPr>
            <w:r>
              <w:t xml:space="preserve">Must NOT see primary code – regulatory double programming (ICH E6)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Debugger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DebugAnalysis</w:t>
            </w:r>
          </w:p>
        </w:tc>
        <w:tc>
          <w:tcPr/>
          <w:p>
            <w:pPr>
              <w:pStyle w:val="Compact"/>
            </w:pPr>
            <w:r>
              <w:t xml:space="preserve">Diagnose divergences between Coder and QC outputs</w:t>
            </w:r>
          </w:p>
        </w:tc>
        <w:tc>
          <w:tcPr/>
          <w:p>
            <w:pPr>
              <w:pStyle w:val="Compact"/>
            </w:pPr>
            <w:r>
              <w:t xml:space="preserve">Debugging requires different reasoning than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AuditSummary</w:t>
            </w:r>
          </w:p>
        </w:tc>
        <w:tc>
          <w:tcPr/>
          <w:p>
            <w:pPr>
              <w:pStyle w:val="Compact"/>
            </w:pPr>
            <w:r>
              <w:t xml:space="preserve">Generate lineage reports and compliance checklists</w:t>
            </w:r>
          </w:p>
        </w:tc>
        <w:tc>
          <w:tcPr/>
          <w:p>
            <w:pPr>
              <w:pStyle w:val="Compact"/>
            </w:pPr>
            <w:r>
              <w:t xml:space="preserve">Compliance review is independent from production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Double programming</w:t>
      </w:r>
      <w:r>
        <w:t xml:space="preserve"> </w:t>
      </w:r>
      <w:r>
        <w:t xml:space="preserve">is the critical differentiator. In regulated pharma, FDA expects every derived variable to be independently verified by a second programmer. The QC agent has a different system prompt (encouraging alternative implementation strategies), isolated conversation history, and its output is compared programmatically – including an AST similarity check (&gt;80% similarity flags</w:t>
      </w:r>
      <w:r>
        <w:t xml:space="preserve"> </w:t>
      </w:r>
      <w:r>
        <w:t xml:space="preserve">“insufficient independence”</w:t>
      </w:r>
      <w:r>
        <w:t xml:space="preserve">). This is not testing; it is a regulatory requirement.</w:t>
      </w:r>
    </w:p>
    <w:p>
      <w:pPr>
        <w:pStyle w:val="BodyText"/>
      </w:pPr>
      <w:r>
        <w:t xml:space="preserve">All agents produce validated Pydantic output types. PydanticAI retries automatically on malformed responses.</w:t>
      </w:r>
    </w:p>
    <w:p>
      <w:r>
        <w:pict>
          <v:rect style="width:0;height:1.5pt" o:hralign="center" o:hrstd="t" o:hr="t"/>
        </w:pict>
      </w:r>
    </w:p>
    <w:bookmarkEnd w:id="10"/>
    <w:bookmarkStart w:id="11" w:name="orchestration"/>
    <w:p>
      <w:pPr>
        <w:pStyle w:val="Heading2"/>
      </w:pPr>
      <w:r>
        <w:t xml:space="preserve">3. Orchestration</w:t>
      </w:r>
    </w:p>
    <w:p>
      <w:pPr>
        <w:pStyle w:val="FirstParagraph"/>
      </w:pPr>
      <w:r>
        <w:t xml:space="preserve">Clinical derivation workflows cannot use off-the-shelf orchestration, and hardcoding one fixed workflow in Python would leave no room for per-study variation. CDDE uses a</w:t>
      </w:r>
      <w:r>
        <w:t xml:space="preserve"> </w:t>
      </w:r>
      <w:r>
        <w:rPr>
          <w:b/>
          <w:bCs/>
        </w:rPr>
        <w:t xml:space="preserve">YAML-driven pipeline interpreter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src/engine/pipeline_interpreter.py</w:t>
      </w:r>
      <w:r>
        <w:t xml:space="preserve">): each pipeline is a YAML file in</w:t>
      </w:r>
      <w:r>
        <w:t xml:space="preserve"> </w:t>
      </w:r>
      <w:r>
        <w:rPr>
          <w:rStyle w:val="VerbatimChar"/>
        </w:rPr>
        <w:t xml:space="preserve">config/pipelines/</w:t>
      </w:r>
      <w:r>
        <w:t xml:space="preserve"> </w:t>
      </w:r>
      <w:r>
        <w:t xml:space="preserve">listing step definitions, and the interpreter topologically sorts the DAG of steps and dispatches each one through a typed executor from</w:t>
      </w:r>
      <w:r>
        <w:t xml:space="preserve"> </w:t>
      </w:r>
      <w:r>
        <w:rPr>
          <w:rStyle w:val="VerbatimChar"/>
        </w:rPr>
        <w:t xml:space="preserve">STEP_EXECUTOR_REGISTRY</w:t>
      </w:r>
      <w:r>
        <w:t xml:space="preserve">. Adding a new workflow variant is a YAML edit, not a code change.</w:t>
      </w:r>
    </w:p>
    <w:p>
      <w:pPr>
        <w:pStyle w:val="BodyText"/>
      </w:pPr>
      <w:r>
        <w:t xml:space="preserve">Five orchestration patterns are implemented as step types: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Step type</w:t>
            </w:r>
          </w:p>
        </w:tc>
        <w:tc>
          <w:tcPr/>
          <w:p>
            <w:pPr>
              <w:pStyle w:val="Compact"/>
            </w:pPr>
            <w:r>
              <w:t xml:space="preserve">Where used</w:t>
            </w:r>
          </w:p>
        </w:tc>
        <w:tc>
          <w:tcPr/>
          <w:p>
            <w:pPr>
              <w:pStyle w:val="Compact"/>
            </w:pPr>
            <w:r>
              <w:t xml:space="preserve">Why clinical workflows need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Sequential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builtin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parse_spec → build_dag → audit → export</w:t>
            </w:r>
          </w:p>
        </w:tc>
        <w:tc>
          <w:tcPr/>
          <w:p>
            <w:pPr>
              <w:pStyle w:val="Compact"/>
            </w:pPr>
            <w:r>
              <w:t xml:space="preserve">Each phase depends on the previous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Fan-out / fan-in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parallel_map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derive_variables</w:t>
            </w:r>
            <w:r>
              <w:t xml:space="preserve"> </w:t>
            </w:r>
            <w:r>
              <w:t xml:space="preserve">over DAG layers</w:t>
            </w:r>
          </w:p>
        </w:tc>
        <w:tc>
          <w:tcPr/>
          <w:p>
            <w:pPr>
              <w:pStyle w:val="Compact"/>
            </w:pPr>
            <w:r>
              <w:t xml:space="preserve">Derive AGEGR1 and TRTDUR concurrently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Concurrent + compare</w:t>
            </w:r>
          </w:p>
        </w:tc>
        <w:tc>
          <w:tcPr/>
          <w:p>
            <w:pPr>
              <w:pStyle w:val="Compact"/>
            </w:pP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parallel_map</w:t>
            </w:r>
          </w:p>
        </w:tc>
        <w:tc>
          <w:tcPr/>
          <w:p>
            <w:pPr>
              <w:pStyle w:val="Compact"/>
            </w:pPr>
            <w:r>
              <w:t xml:space="preserve">Coder + QC on same variable</w:t>
            </w:r>
          </w:p>
        </w:tc>
        <w:tc>
          <w:tcPr/>
          <w:p>
            <w:pPr>
              <w:pStyle w:val="Compact"/>
            </w:pPr>
            <w:r>
              <w:t xml:space="preserve">Double programming requires isolated parallel execution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Retry + escalation</w:t>
            </w:r>
          </w:p>
        </w:tc>
        <w:tc>
          <w:tcPr/>
          <w:p>
            <w:pPr>
              <w:pStyle w:val="Compact"/>
            </w:pP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derivation_runner</w:t>
            </w:r>
          </w:p>
        </w:tc>
        <w:tc>
          <w:tcPr/>
          <w:p>
            <w:pPr>
              <w:pStyle w:val="Compact"/>
            </w:pPr>
            <w:r>
              <w:t xml:space="preserve">QC mismatch → Debugger → human</w:t>
            </w:r>
          </w:p>
        </w:tc>
        <w:tc>
          <w:tcPr/>
          <w:p>
            <w:pPr>
              <w:pStyle w:val="Compact"/>
            </w:pPr>
            <w:r>
              <w:t xml:space="preserve">Max 2 Debugger attempts before human escalation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HITL 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hitl_gate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human_review</w:t>
            </w:r>
            <w:r>
              <w:t xml:space="preserve"> </w:t>
            </w:r>
            <w:r>
              <w:t xml:space="preserve">(and</w:t>
            </w:r>
            <w:r>
              <w:t xml:space="preserve"> </w:t>
            </w:r>
            <w:r>
              <w:rPr>
                <w:rStyle w:val="VerbatimChar"/>
              </w:rPr>
              <w:t xml:space="preserve">spec_approval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final_signoff</w:t>
            </w:r>
            <w:r>
              <w:t xml:space="preserve"> </w:t>
            </w:r>
            <w:r>
              <w:t xml:space="preserve">in enterprise mode)</w:t>
            </w:r>
          </w:p>
        </w:tc>
        <w:tc>
          <w:tcPr/>
          <w:p>
            <w:pPr>
              <w:pStyle w:val="Compact"/>
            </w:pPr>
            <w:r>
              <w:t xml:space="preserve">Regulatory workflows require human sign-off</w:t>
            </w:r>
          </w:p>
        </w:tc>
      </w:tr>
    </w:tbl>
    <w:p>
      <w:pPr>
        <w:pStyle w:val="BodyText"/>
      </w:pPr>
      <w:r>
        <w:t xml:space="preserve">Three pipelines ship in</w:t>
      </w:r>
      <w:r>
        <w:t xml:space="preserve"> </w:t>
      </w:r>
      <w:r>
        <w:rPr>
          <w:rStyle w:val="VerbatimChar"/>
        </w:rPr>
        <w:t xml:space="preserve">config/pipelines/</w:t>
      </w:r>
      <w:r>
        <w:t xml:space="preserve">:</w:t>
      </w:r>
      <w:r>
        <w:t xml:space="preserve"> </w:t>
      </w:r>
      <w:r>
        <w:rPr>
          <w:rStyle w:val="VerbatimChar"/>
          <w:b/>
          <w:bCs/>
        </w:rPr>
        <w:t xml:space="preserve">clinical_derivation.yaml</w:t>
      </w:r>
      <w:r>
        <w:t xml:space="preserve"> </w:t>
      </w:r>
      <w:r>
        <w:t xml:space="preserve">(8 steps, 1 deep HITL gate, default),</w:t>
      </w:r>
      <w:r>
        <w:t xml:space="preserve"> </w:t>
      </w:r>
      <w:r>
        <w:rPr>
          <w:rStyle w:val="VerbatimChar"/>
          <w:b/>
          <w:bCs/>
        </w:rPr>
        <w:t xml:space="preserve">express.yaml</w:t>
      </w:r>
      <w:r>
        <w:t xml:space="preserve"> </w:t>
      </w:r>
      <w:r>
        <w:t xml:space="preserve">(4 steps, no QC, no HITL — rapid prototyping), and</w:t>
      </w:r>
      <w:r>
        <w:t xml:space="preserve"> </w:t>
      </w:r>
      <w:r>
        <w:rPr>
          <w:rStyle w:val="VerbatimChar"/>
          <w:b/>
          <w:bCs/>
        </w:rPr>
        <w:t xml:space="preserve">enterprise.yaml</w:t>
      </w:r>
      <w:r>
        <w:t xml:space="preserve"> </w:t>
      </w:r>
      <w:r>
        <w:t xml:space="preserve">(9 steps, 3 HITL gates, target for 21 CFR Part 11 regulated deployments).</w:t>
      </w:r>
    </w:p>
    <w:p>
      <w:pPr>
        <w:pStyle w:val="BodyText"/>
      </w:pPr>
      <w:r>
        <w:t xml:space="preserve">Workflow state is tracked by a lightweight</w:t>
      </w:r>
      <w:r>
        <w:t xml:space="preserve"> </w:t>
      </w:r>
      <w:r>
        <w:rPr>
          <w:rStyle w:val="VerbatimChar"/>
        </w:rPr>
        <w:t xml:space="preserve">PipelineFSM</w:t>
      </w:r>
      <w:r>
        <w:t xml:space="preserve"> </w:t>
      </w:r>
      <w:r>
        <w:t xml:space="preserve">whose states are</w:t>
      </w:r>
      <w:r>
        <w:t xml:space="preserve"> </w:t>
      </w:r>
      <w:r>
        <w:rPr>
          <w:b/>
          <w:bCs/>
        </w:rPr>
        <w:t xml:space="preserve">auto-derived from the step IDs of whichever pipeline is running</w:t>
      </w:r>
      <w:r>
        <w:t xml:space="preserve"> </w:t>
      </w:r>
      <w:r>
        <w:t xml:space="preserve">— so</w:t>
      </w:r>
      <w:r>
        <w:t xml:space="preserve"> </w:t>
      </w:r>
      <w:r>
        <w:rPr>
          <w:rStyle w:val="VerbatimChar"/>
        </w:rPr>
        <w:t xml:space="preserve">clinical_derivation.yaml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enterprise.yaml</w:t>
      </w:r>
      <w:r>
        <w:t xml:space="preserve"> </w:t>
      </w:r>
      <w:r>
        <w:t xml:space="preserve">get distinct FSM topologies without any code duplication. A typical</w:t>
      </w:r>
      <w:r>
        <w:t xml:space="preserve"> </w:t>
      </w:r>
      <w:r>
        <w:rPr>
          <w:rStyle w:val="VerbatimChar"/>
        </w:rPr>
        <w:t xml:space="preserve">clinical_derivation</w:t>
      </w:r>
      <w:r>
        <w:t xml:space="preserve"> </w:t>
      </w:r>
      <w:r>
        <w:t xml:space="preserve">run advances through: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parse_spec</w:t>
      </w:r>
      <w:r>
        <w:br/>
      </w:r>
      <w:r>
        <w:rPr>
          <w:rStyle w:val="VerbatimChar"/>
        </w:rPr>
        <w:t xml:space="preserve">    parse_spec --&gt; build_dag</w:t>
      </w:r>
      <w:r>
        <w:br/>
      </w:r>
      <w:r>
        <w:rPr>
          <w:rStyle w:val="VerbatimChar"/>
        </w:rPr>
        <w:t xml:space="preserve">    build_dag --&gt; derive_variables</w:t>
      </w:r>
      <w:r>
        <w:br/>
      </w:r>
      <w:r>
        <w:rPr>
          <w:rStyle w:val="VerbatimChar"/>
        </w:rPr>
        <w:t xml:space="preserve">    derive_variables --&gt; ground_truth_check : all variables derived</w:t>
      </w:r>
      <w:r>
        <w:br/>
      </w:r>
      <w:r>
        <w:rPr>
          <w:rStyle w:val="VerbatimChar"/>
        </w:rPr>
        <w:t xml:space="preserve">    ground_truth_check --&gt; human_review : report attached</w:t>
      </w:r>
      <w:r>
        <w:br/>
      </w:r>
      <w:r>
        <w:rPr>
          <w:rStyle w:val="VerbatimChar"/>
        </w:rPr>
        <w:t xml:space="preserve">    human_review --&gt; save_patterns : approve (w/ per-variable feedback)</w:t>
      </w:r>
      <w:r>
        <w:br/>
      </w:r>
      <w:r>
        <w:rPr>
          <w:rStyle w:val="VerbatimChar"/>
        </w:rPr>
        <w:t xml:space="preserve">    human_review --&gt; failed : reject (with reason)</w:t>
      </w:r>
      <w:r>
        <w:br/>
      </w:r>
      <w:r>
        <w:rPr>
          <w:rStyle w:val="VerbatimChar"/>
        </w:rPr>
        <w:t xml:space="preserve">    save_patterns --&gt; audit</w:t>
      </w:r>
      <w:r>
        <w:br/>
      </w:r>
      <w:r>
        <w:rPr>
          <w:rStyle w:val="VerbatimChar"/>
        </w:rPr>
        <w:t xml:space="preserve">    audit --&gt; export</w:t>
      </w:r>
      <w:r>
        <w:br/>
      </w:r>
      <w:r>
        <w:rPr>
          <w:rStyle w:val="VerbatimChar"/>
        </w:rPr>
        <w:t xml:space="preserve">    export --&gt; completed</w:t>
      </w:r>
      <w:r>
        <w:br/>
      </w:r>
      <w:r>
        <w:rPr>
          <w:rStyle w:val="VerbatimChar"/>
        </w:rPr>
        <w:t xml:space="preserve">    failed --&gt; [*]</w:t>
      </w:r>
      <w:r>
        <w:br/>
      </w:r>
      <w:r>
        <w:rPr>
          <w:rStyle w:val="VerbatimChar"/>
        </w:rPr>
        <w:t xml:space="preserve">    completed --&gt; [*]</w:t>
      </w:r>
    </w:p>
    <w:p>
      <w:pPr>
        <w:pStyle w:val="FirstParagraph"/>
      </w:pPr>
      <w:r>
        <w:t xml:space="preserve">Every state transition emits an</w:t>
      </w:r>
      <w:r>
        <w:t xml:space="preserve"> </w:t>
      </w:r>
      <w:r>
        <w:rPr>
          <w:rStyle w:val="VerbatimChar"/>
        </w:rPr>
        <w:t xml:space="preserve">AuditAction</w:t>
      </w:r>
      <w:r>
        <w:t xml:space="preserve"> </w:t>
      </w:r>
      <w:r>
        <w:t xml:space="preserve">event (</w:t>
      </w:r>
      <w:r>
        <w:rPr>
          <w:rStyle w:val="VerbatimChar"/>
        </w:rPr>
        <w:t xml:space="preserve">STEP_STARTED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STEP_COMPLETED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HITL_GATE_WAITING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HUMAN_APPROVED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HUMAN_REJECTED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HUMAN_OVERRIDE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WORKFLOW_FAILED</w:t>
      </w:r>
      <w:r>
        <w:t xml:space="preserve">) and is persisted by</w:t>
      </w:r>
      <w:r>
        <w:t xml:space="preserve"> </w:t>
      </w:r>
      <w:r>
        <w:rPr>
          <w:rStyle w:val="VerbatimChar"/>
        </w:rPr>
        <w:t xml:space="preserve">WorkflowStateRepository</w:t>
      </w:r>
      <w:r>
        <w:t xml:space="preserve"> </w:t>
      </w:r>
      <w:r>
        <w:t xml:space="preserve">per step, so a run that dies halfway can be resumed from the last completed checkpoint. Parallel dispatch uses</w:t>
      </w:r>
      <w:r>
        <w:t xml:space="preserve"> </w:t>
      </w:r>
      <w:r>
        <w:rPr>
          <w:rStyle w:val="VerbatimChar"/>
        </w:rPr>
        <w:t xml:space="preserve">asyncio.gather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ParallelMapStepExecutor</w:t>
      </w:r>
      <w:r>
        <w:t xml:space="preserve"> </w:t>
      </w:r>
      <w:r>
        <w:t xml:space="preserve">— the concurrency topology (which variables run in parallel) is derived from the DAG’s topological layers at runtime.</w:t>
      </w:r>
    </w:p>
    <w:p>
      <w:r>
        <w:pict>
          <v:rect style="width:0;height:1.5pt" o:hralign="center" o:hrstd="t" o:hr="t"/>
        </w:pict>
      </w:r>
    </w:p>
    <w:bookmarkEnd w:id="11"/>
    <w:bookmarkStart w:id="12" w:name="dependency-handling"/>
    <w:p>
      <w:pPr>
        <w:pStyle w:val="Heading2"/>
      </w:pPr>
      <w:r>
        <w:t xml:space="preserve">4. Dependency Handling</w:t>
      </w:r>
    </w:p>
    <w:p>
      <w:pPr>
        <w:pStyle w:val="FirstParagraph"/>
      </w:pPr>
      <w:r>
        <w:t xml:space="preserve">The DAG in</w:t>
      </w:r>
      <w:r>
        <w:t xml:space="preserve"> </w:t>
      </w:r>
      <w:r>
        <w:rPr>
          <w:rStyle w:val="VerbatimChar"/>
        </w:rPr>
        <w:t xml:space="preserve">src/domain/dag.py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enhanced dependency graph</w:t>
      </w:r>
      <w:r>
        <w:t xml:space="preserve"> </w:t>
      </w:r>
      <w:r>
        <w:t xml:space="preserve">– not just execution order, but lineage + computation + audit in every node: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AGE["AGE&lt;br/&gt;(source)"] --&gt; AGEGR1["AGEGR1&lt;br/&gt;code: bucket(AGE)&lt;br/&gt;agent: coder&lt;br/&gt;qc: PASS&lt;br/&gt;approved: human"]</w:t>
      </w:r>
      <w:r>
        <w:br/>
      </w:r>
      <w:r>
        <w:rPr>
          <w:rStyle w:val="VerbatimChar"/>
        </w:rPr>
        <w:t xml:space="preserve">    RFXSTDTC["RFXSTDTC&lt;br/&gt;(source)"] --&gt; TRTDUR["TRTDUR&lt;br/&gt;code: end - start + 1&lt;br/&gt;agent: coder&lt;br/&gt;qc: PASS"]</w:t>
      </w:r>
      <w:r>
        <w:br/>
      </w:r>
      <w:r>
        <w:rPr>
          <w:rStyle w:val="VerbatimChar"/>
        </w:rPr>
        <w:t xml:space="preserve">    RFXENDTC["RFXENDTC&lt;br/&gt;(source)"] --&gt; TRTDUR</w:t>
      </w:r>
      <w:r>
        <w:br/>
      </w:r>
      <w:r>
        <w:rPr>
          <w:rStyle w:val="VerbatimChar"/>
        </w:rPr>
        <w:t xml:space="preserve">    ARM["ARM&lt;br/&gt;(source)"] --&gt; SAFFL["SAFFL"]</w:t>
      </w:r>
      <w:r>
        <w:br/>
      </w:r>
      <w:r>
        <w:rPr>
          <w:rStyle w:val="VerbatimChar"/>
        </w:rPr>
        <w:t xml:space="preserve">    RFXSTDTC --&gt; SAFFL</w:t>
      </w:r>
      <w:r>
        <w:br/>
      </w:r>
      <w:r>
        <w:rPr>
          <w:rStyle w:val="VerbatimChar"/>
        </w:rPr>
        <w:t xml:space="preserve">    ARMCD["ARMCD&lt;br/&gt;(source)"] --&gt; ITTFL["ITTFL"]</w:t>
      </w:r>
      <w:r>
        <w:br/>
      </w:r>
      <w:r>
        <w:rPr>
          <w:rStyle w:val="VerbatimChar"/>
        </w:rPr>
        <w:t xml:space="preserve">    ITTFL --&gt; EFFFL["EFFFL&lt;br/&gt;(depends on derived)"]</w:t>
      </w:r>
      <w:r>
        <w:br/>
      </w:r>
      <w:r>
        <w:rPr>
          <w:rStyle w:val="VerbatimChar"/>
        </w:rPr>
        <w:t xml:space="preserve">    SAFFL --&gt; EFFFL</w:t>
      </w:r>
    </w:p>
    <w:p>
      <w:pPr>
        <w:pStyle w:val="FirstParagraph"/>
      </w:pPr>
      <w:r>
        <w:t xml:space="preserve">The engine reads</w:t>
      </w:r>
      <w:r>
        <w:t xml:space="preserve"> </w:t>
      </w:r>
      <w:r>
        <w:rPr>
          <w:rStyle w:val="VerbatimChar"/>
        </w:rPr>
        <w:t xml:space="preserve">source_columns</w:t>
      </w:r>
      <w:r>
        <w:t xml:space="preserve"> </w:t>
      </w:r>
      <w:r>
        <w:t xml:space="preserve">from the spec and detects dependencies automatically: if EFFFL lists ITTFL and SAFFL (both derived), the DAG ensures they are computed first.</w:t>
      </w:r>
      <w:r>
        <w:t xml:space="preserve"> </w:t>
      </w:r>
      <w:r>
        <w:rPr>
          <w:rStyle w:val="VerbatimChar"/>
        </w:rPr>
        <w:t xml:space="preserve">networkx</w:t>
      </w:r>
      <w:r>
        <w:t xml:space="preserve"> </w:t>
      </w:r>
      <w:r>
        <w:t xml:space="preserve">topological sort determines layer execution order. Cycles are detected and rejected loudly.</w:t>
      </w:r>
    </w:p>
    <w:p>
      <w:pPr>
        <w:pStyle w:val="BodyText"/>
      </w:pPr>
      <w:r>
        <w:t xml:space="preserve">Each DAG node (</w:t>
      </w:r>
      <w:r>
        <w:rPr>
          <w:rStyle w:val="VerbatimChar"/>
        </w:rPr>
        <w:t xml:space="preserve">src/domain/models.py: DAGNode</w:t>
      </w:r>
      <w:r>
        <w:t xml:space="preserve">) carries: derivation rule, generated code, agent provenance, QC status, and human approval – making the graph the single source of truth for execution, lineage, and audit.</w:t>
      </w:r>
    </w:p>
    <w:p>
      <w:r>
        <w:pict>
          <v:rect style="width:0;height:1.5pt" o:hralign="center" o:hrstd="t" o:hr="t"/>
        </w:pict>
      </w:r>
    </w:p>
    <w:bookmarkEnd w:id="12"/>
    <w:bookmarkStart w:id="13" w:name="human-in-the-loop"/>
    <w:p>
      <w:pPr>
        <w:pStyle w:val="Heading2"/>
      </w:pPr>
      <w:r>
        <w:t xml:space="preserve">5. Human-in-the-Loop</w:t>
      </w:r>
    </w:p>
    <w:p>
      <w:pPr>
        <w:pStyle w:val="FirstParagraph"/>
      </w:pPr>
      <w:r>
        <w:t xml:space="preserve">CDDE deliberately favours</w:t>
      </w:r>
      <w:r>
        <w:t xml:space="preserve"> </w:t>
      </w:r>
      <w:r>
        <w:rPr>
          <w:b/>
          <w:bCs/>
        </w:rPr>
        <w:t xml:space="preserve">depth over count</w:t>
      </w:r>
      <w:r>
        <w:t xml:space="preserve"> </w:t>
      </w:r>
      <w:r>
        <w:t xml:space="preserve">for HITL gates — the clinical_derivation pipeline has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gate (</w:t>
      </w:r>
      <w:r>
        <w:rPr>
          <w:rStyle w:val="VerbatimChar"/>
        </w:rPr>
        <w:t xml:space="preserve">human_review</w:t>
      </w:r>
      <w:r>
        <w:t xml:space="preserve">) but three distinct actions, each backed by a REST endpoint and a React dialog, each persisting to</w:t>
      </w:r>
      <w:r>
        <w:t xml:space="preserve"> </w:t>
      </w:r>
      <w:r>
        <w:rPr>
          <w:rStyle w:val="VerbatimChar"/>
        </w:rPr>
        <w:t xml:space="preserve">FeedbackRepository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What the reviewer does</w:t>
            </w:r>
          </w:p>
        </w:tc>
        <w:tc>
          <w:tcPr/>
          <w:p>
            <w:pPr>
              <w:pStyle w:val="Compact"/>
            </w:pPr>
            <w:r>
              <w:t xml:space="preserve">What gets persisted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 with feedback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/workflows/{id}/approve</w:t>
            </w:r>
          </w:p>
        </w:tc>
        <w:tc>
          <w:tcPr/>
          <w:p>
            <w:pPr>
              <w:pStyle w:val="Compact"/>
            </w:pPr>
            <w:r>
              <w:t xml:space="preserve">Opens</w:t>
            </w:r>
            <w:r>
              <w:t xml:space="preserve"> </w:t>
            </w:r>
            <w:r>
              <w:rPr>
                <w:rStyle w:val="VerbatimChar"/>
              </w:rPr>
              <w:t xml:space="preserve">ApprovalDialog</w:t>
            </w:r>
            <w:r>
              <w:t xml:space="preserve">, sees per-variable checkboxes defaulting to approved, unchecks any variable that needs rework, optionally adds a free-text note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  <w:r>
              <w:t xml:space="preserve"> </w:t>
            </w:r>
            <w:r>
              <w:rPr>
                <w:rStyle w:val="VerbatimChar"/>
              </w:rPr>
              <w:t xml:space="preserve">FeedbackRow</w:t>
            </w:r>
            <w:r>
              <w:t xml:space="preserve"> </w:t>
            </w:r>
            <w:r>
              <w:t xml:space="preserve">per</w:t>
            </w:r>
            <w:r>
              <w:t xml:space="preserve"> </w:t>
            </w:r>
            <w:r>
              <w:rPr>
                <w:rStyle w:val="VerbatimChar"/>
              </w:rPr>
              <w:t xml:space="preserve">VariableDecision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action_taken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  <w:r>
              <w:t xml:space="preserve"> </w:t>
            </w:r>
            <w:r>
              <w:t xml:space="preserve">per 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 with reason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/workflows/{id}/reject</w:t>
            </w:r>
          </w:p>
        </w:tc>
        <w:tc>
          <w:tcPr/>
          <w:p>
            <w:pPr>
              <w:pStyle w:val="Compact"/>
            </w:pPr>
            <w:r>
              <w:t xml:space="preserve">Opens</w:t>
            </w:r>
            <w:r>
              <w:t xml:space="preserve"> </w:t>
            </w:r>
            <w:r>
              <w:rPr>
                <w:rStyle w:val="VerbatimChar"/>
              </w:rPr>
              <w:t xml:space="preserve">RejectDialog</w:t>
            </w:r>
            <w:r>
              <w:t xml:space="preserve">, enters a mandatory reason</w:t>
            </w:r>
          </w:p>
        </w:tc>
        <w:tc>
          <w:tcPr/>
          <w:p>
            <w:pPr>
              <w:pStyle w:val="Compact"/>
            </w:pPr>
            <w:r>
              <w:t xml:space="preserve">Workflow-level</w:t>
            </w:r>
            <w:r>
              <w:t xml:space="preserve"> </w:t>
            </w:r>
            <w:r>
              <w:rPr>
                <w:rStyle w:val="VerbatimChar"/>
              </w:rPr>
              <w:t xml:space="preserve">FeedbackRow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HUMAN_REJECTED</w:t>
            </w:r>
            <w:r>
              <w:t xml:space="preserve"> </w:t>
            </w:r>
            <w:r>
              <w:t xml:space="preserve">audit event; FSM fails cleanly via</w:t>
            </w:r>
            <w:r>
              <w:t xml:space="preserve"> </w:t>
            </w:r>
            <w:r>
              <w:rPr>
                <w:rStyle w:val="VerbatimChar"/>
              </w:rPr>
              <w:t xml:space="preserve">WorkflowRejectedError</w:t>
            </w:r>
            <w:r>
              <w:t xml:space="preserve"> </w:t>
            </w:r>
            <w:r>
              <w:t xml:space="preserve">(inherits from</w:t>
            </w:r>
            <w:r>
              <w:t xml:space="preserve"> </w:t>
            </w:r>
            <w:r>
              <w:rPr>
                <w:rStyle w:val="VerbatimChar"/>
              </w:rPr>
              <w:t xml:space="preserve">Exception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BaseException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Override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/workflows/{id}/variables/{var}/override</w:t>
            </w:r>
          </w:p>
        </w:tc>
        <w:tc>
          <w:tcPr/>
          <w:p>
            <w:pPr>
              <w:pStyle w:val="Compact"/>
            </w:pPr>
            <w:r>
              <w:t xml:space="preserve">Opens</w:t>
            </w:r>
            <w:r>
              <w:t xml:space="preserve"> </w:t>
            </w:r>
            <w:r>
              <w:rPr>
                <w:rStyle w:val="VerbatimChar"/>
              </w:rPr>
              <w:t xml:space="preserve">CodeEditorDialog</w:t>
            </w:r>
            <w:r>
              <w:t xml:space="preserve">, edits the approved pandas expression, provides a mandatory change reason</w:t>
            </w:r>
          </w:p>
        </w:tc>
        <w:tc>
          <w:tcPr/>
          <w:p>
            <w:pPr>
              <w:pStyle w:val="Compact"/>
            </w:pPr>
            <w:r>
              <w:t xml:space="preserve">New code is executed on</w:t>
            </w:r>
            <w:r>
              <w:t xml:space="preserve"> </w:t>
            </w:r>
            <w:r>
              <w:rPr>
                <w:rStyle w:val="VerbatimChar"/>
              </w:rPr>
              <w:t xml:space="preserve">derived_df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state mutation; on success the DAG node, audit trail, and</w:t>
            </w:r>
            <w:r>
              <w:t xml:space="preserve"> </w:t>
            </w:r>
            <w:r>
              <w:rPr>
                <w:rStyle w:val="VerbatimChar"/>
              </w:rPr>
              <w:t xml:space="preserve">FeedbackRow</w:t>
            </w:r>
            <w:r>
              <w:t xml:space="preserve"> </w:t>
            </w:r>
            <w:r>
              <w:t xml:space="preserve">are all committed in one transaction; on failure the original code is preserved and the dialog shows the 400 response inline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one deep gate, not four shallow ones:</w:t>
      </w:r>
      <w:r>
        <w:t xml:space="preserve"> </w:t>
      </w:r>
      <w:r>
        <w:t xml:space="preserve">every HITL gate is a reviewer context switch. Clinical SMEs are expensive; their time is the bottleneck. A single rich dialog where the reviewer scans all variables at once, ticks or unticks in bulk, and confirms is cheaper to operate than four separate interruptions. The depth-over-count ADR (</w:t>
      </w:r>
      <w:r>
        <w:rPr>
          <w:rStyle w:val="VerbatimChar"/>
        </w:rPr>
        <w:t xml:space="preserve">decisions.md</w:t>
      </w:r>
      <w:r>
        <w:t xml:space="preserve">, 2026-04-13) walks through the alternatives considered.</w:t>
      </w:r>
    </w:p>
    <w:p>
      <w:pPr>
        <w:pStyle w:val="BodyText"/>
      </w:pPr>
      <w:r>
        <w:rPr>
          <w:b/>
          <w:bCs/>
        </w:rPr>
        <w:t xml:space="preserve">Enterprise mode is different.</w:t>
      </w:r>
      <w:r>
        <w:t xml:space="preserve"> </w:t>
      </w:r>
      <w:r>
        <w:rPr>
          <w:rStyle w:val="VerbatimChar"/>
        </w:rPr>
        <w:t xml:space="preserve">enterprise.yaml</w:t>
      </w:r>
      <w:r>
        <w:t xml:space="preserve"> </w:t>
      </w:r>
      <w:r>
        <w:t xml:space="preserve">keeps 3 gates (</w:t>
      </w:r>
      <w:r>
        <w:rPr>
          <w:rStyle w:val="VerbatimChar"/>
        </w:rPr>
        <w:t xml:space="preserve">spec_approval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variable_review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final_signoff</w:t>
      </w:r>
      <w:r>
        <w:t xml:space="preserve">) for 21 CFR Part 11 deployments where regulation mandates separation of sign-off duties. Same engine, different pipeline YAML — no code fork.</w:t>
      </w:r>
    </w:p>
    <w:p>
      <w:pPr>
        <w:pStyle w:val="BodyText"/>
      </w:pPr>
      <w:r>
        <w:rPr>
          <w:b/>
          <w:bCs/>
        </w:rPr>
        <w:t xml:space="preserve">Rejection path is the tricky one.</w:t>
      </w:r>
      <w:r>
        <w:t xml:space="preserve"> </w:t>
      </w:r>
      <w:r>
        <w:t xml:space="preserve">Early design tried</w:t>
      </w:r>
      <w:r>
        <w:t xml:space="preserve"> </w:t>
      </w:r>
      <w:r>
        <w:rPr>
          <w:rStyle w:val="VerbatimChar"/>
        </w:rPr>
        <w:t xml:space="preserve">task.cancel()</w:t>
      </w:r>
      <w:r>
        <w:t xml:space="preserve"> </w:t>
      </w:r>
      <w:r>
        <w:t xml:space="preserve">on reject, which raises</w:t>
      </w:r>
      <w:r>
        <w:t xml:space="preserve"> </w:t>
      </w:r>
      <w:r>
        <w:rPr>
          <w:rStyle w:val="VerbatimChar"/>
        </w:rPr>
        <w:t xml:space="preserve">asyncio.CancelledError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BaseException</w:t>
      </w:r>
      <w:r>
        <w:t xml:space="preserve">, not an</w:t>
      </w:r>
      <w:r>
        <w:t xml:space="preserve"> </w:t>
      </w:r>
      <w:r>
        <w:rPr>
          <w:rStyle w:val="VerbatimChar"/>
        </w:rPr>
        <w:t xml:space="preserve">Exception</w:t>
      </w:r>
      <w:r>
        <w:t xml:space="preserve">. The existing</w:t>
      </w:r>
      <w:r>
        <w:t xml:space="preserve"> </w:t>
      </w:r>
      <w:r>
        <w:rPr>
          <w:rStyle w:val="VerbatimChar"/>
        </w:rPr>
        <w:t xml:space="preserve">_run_and_cleanup</w:t>
      </w:r>
      <w:r>
        <w:t xml:space="preserve">’s</w:t>
      </w:r>
      <w:r>
        <w:t xml:space="preserve"> </w:t>
      </w:r>
      <w:r>
        <w:rPr>
          <w:rStyle w:val="VerbatimChar"/>
        </w:rPr>
        <w:t xml:space="preserve">except Exception</w:t>
      </w:r>
      <w:r>
        <w:t xml:space="preserve"> </w:t>
      </w:r>
      <w:r>
        <w:t xml:space="preserve">would have leaked the task. The shipped solution uses a flag-pattern:</w:t>
      </w:r>
      <w:r>
        <w:t xml:space="preserve"> </w:t>
      </w:r>
      <w:r>
        <w:rPr>
          <w:rStyle w:val="VerbatimChar"/>
        </w:rPr>
        <w:t xml:space="preserve">WorkflowManager.reject_workflow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ctx.rejection_requested = 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ctx.rejection_reason</w:t>
      </w:r>
      <w:r>
        <w:t xml:space="preserve">, writes feedback, then releases the HITL event. The</w:t>
      </w:r>
      <w:r>
        <w:t xml:space="preserve"> </w:t>
      </w:r>
      <w:r>
        <w:rPr>
          <w:rStyle w:val="VerbatimChar"/>
        </w:rPr>
        <w:t xml:space="preserve">HITLGateStepExecutor</w:t>
      </w:r>
      <w:r>
        <w:t xml:space="preserve"> </w:t>
      </w:r>
      <w:r>
        <w:t xml:space="preserve">wakes from</w:t>
      </w:r>
      <w:r>
        <w:t xml:space="preserve"> </w:t>
      </w:r>
      <w:r>
        <w:rPr>
          <w:rStyle w:val="VerbatimChar"/>
        </w:rPr>
        <w:t xml:space="preserve">event.wait()</w:t>
      </w:r>
      <w:r>
        <w:t xml:space="preserve">, checks the flag, and raises</w:t>
      </w:r>
      <w:r>
        <w:t xml:space="preserve"> </w:t>
      </w:r>
      <w:r>
        <w:rPr>
          <w:rStyle w:val="VerbatimChar"/>
        </w:rPr>
        <w:t xml:space="preserve">WorkflowRejectedError(reason)</w:t>
      </w:r>
      <w:r>
        <w:t xml:space="preserve"> </w:t>
      </w:r>
      <w:r>
        <w:t xml:space="preserve">— which inherits from</w:t>
      </w:r>
      <w:r>
        <w:t xml:space="preserve"> </w:t>
      </w:r>
      <w:r>
        <w:rPr>
          <w:rStyle w:val="VerbatimChar"/>
        </w:rPr>
        <w:t xml:space="preserve">CDDEError → Exception</w:t>
      </w:r>
      <w:r>
        <w:t xml:space="preserve"> </w:t>
      </w:r>
      <w:r>
        <w:t xml:space="preserve">and routes through the existing fail path with zero new error handling. One integration test specifically verifies the FSM reaches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cleanly.</w:t>
      </w:r>
    </w:p>
    <w:p>
      <w:pPr>
        <w:pStyle w:val="BodyText"/>
      </w:pPr>
      <w:r>
        <w:t xml:space="preserve">Human feedback is stored alongside the approved patterns in long-term memory (next section). When a reviewer overrides a derivation (e.g., changes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&gt;</w:t>
      </w:r>
      <w:r>
        <w:t xml:space="preserve">), that correction is persisted with the original reason and becomes a candidate reference implementation in future runs of the same variable type.</w:t>
      </w:r>
    </w:p>
    <w:p>
      <w:r>
        <w:pict>
          <v:rect style="width:0;height:1.5pt" o:hralign="center" o:hrstd="t" o:hr="t"/>
        </w:pict>
      </w:r>
    </w:p>
    <w:bookmarkEnd w:id="13"/>
    <w:bookmarkStart w:id="14" w:name="traceability"/>
    <w:p>
      <w:pPr>
        <w:pStyle w:val="Heading2"/>
      </w:pPr>
      <w:r>
        <w:t xml:space="preserve">6. Traceability</w:t>
      </w:r>
    </w:p>
    <w:p>
      <w:pPr>
        <w:pStyle w:val="FirstParagraph"/>
      </w:pPr>
      <w:r>
        <w:t xml:space="preserve">Three complementary layers, each capturing a different concern: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8"/>
        <w:gridCol w:w="1284"/>
        <w:gridCol w:w="3638"/>
        <w:gridCol w:w="14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What It Captures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Trajectory tracing</w:t>
            </w:r>
          </w:p>
        </w:tc>
        <w:tc>
          <w:tcPr/>
          <w:p>
            <w:pPr>
              <w:pStyle w:val="Compact"/>
            </w:pPr>
            <w:r>
              <w:t xml:space="preserve">AgentLens (OTel proxy)</w:t>
            </w:r>
          </w:p>
        </w:tc>
        <w:tc>
          <w:tcPr/>
          <w:p>
            <w:pPr>
              <w:pStyle w:val="Compact"/>
            </w:pPr>
            <w:r>
              <w:t xml:space="preserve">Every LLM call, tool invocation, agent response – full agent trajectory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Orchestration logging</w:t>
            </w:r>
          </w:p>
        </w:tc>
        <w:tc>
          <w:tcPr/>
          <w:p>
            <w:pPr>
              <w:pStyle w:val="Compact"/>
            </w:pPr>
            <w:r>
              <w:t xml:space="preserve">loguru</w:t>
            </w:r>
          </w:p>
        </w:tc>
        <w:tc>
          <w:tcPr/>
          <w:p>
            <w:pPr>
              <w:pStyle w:val="Compact"/>
            </w:pPr>
            <w:r>
              <w:t xml:space="preserve">Workflow state transitions, DAG execution progress, HITL gate events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 audit trail</w:t>
            </w:r>
          </w:p>
        </w:tc>
        <w:tc>
          <w:tcPr/>
          <w:p>
            <w:pPr>
              <w:pStyle w:val="Compact"/>
            </w:pPr>
            <w:r>
              <w:t xml:space="preserve">Custom (</w:t>
            </w:r>
            <w:r>
              <w:rPr>
                <w:rStyle w:val="VerbatimChar"/>
              </w:rPr>
              <w:t xml:space="preserve">src/audit/trail.py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Source-to-output lineage, agent provenance, human approvals, QC results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</w:tr>
    </w:tbl>
    <w:p>
      <w:pPr>
        <w:pStyle w:val="BodyText"/>
      </w:pPr>
      <w:r>
        <w:t xml:space="preserve">The audit trail is append-only (no record deletion) and exports to JSON for programmatic analysis and HTML for presentation. Every derivation step produces an</w:t>
      </w:r>
      <w:r>
        <w:t xml:space="preserve"> </w:t>
      </w:r>
      <w:r>
        <w:rPr>
          <w:rStyle w:val="VerbatimChar"/>
        </w:rPr>
        <w:t xml:space="preserve">AuditRecord</w:t>
      </w:r>
      <w:r>
        <w:t xml:space="preserve">: timestamp, agent, input hash, output hash, rule applied, QC result, human approval. This satisfies 21 CFR Part 11 traceability requirements.</w:t>
      </w:r>
    </w:p>
    <w:p>
      <w:r>
        <w:pict>
          <v:rect style="width:0;height:1.5pt" o:hralign="center" o:hrstd="t" o:hr="t"/>
        </w:pict>
      </w:r>
    </w:p>
    <w:bookmarkEnd w:id="14"/>
    <w:bookmarkStart w:id="15" w:name="memory"/>
    <w:p>
      <w:pPr>
        <w:pStyle w:val="Heading2"/>
      </w:pPr>
      <w:r>
        <w:t xml:space="preserve">7. Memory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What is stored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Short-term (working)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PipelineContext</w:t>
            </w:r>
            <w:r>
              <w:t xml:space="preserve"> </w:t>
            </w:r>
            <w:r>
              <w:t xml:space="preserve">in-memory +</w:t>
            </w:r>
            <w:r>
              <w:t xml:space="preserve"> </w:t>
            </w:r>
            <w:r>
              <w:rPr>
                <w:rStyle w:val="VerbatimChar"/>
              </w:rPr>
              <w:t xml:space="preserve">workflow_states</w:t>
            </w:r>
            <w:r>
              <w:t xml:space="preserve"> </w:t>
            </w:r>
            <w:r>
              <w:t xml:space="preserve">table (JSON per step)</w:t>
            </w:r>
          </w:p>
        </w:tc>
        <w:tc>
          <w:tcPr/>
          <w:p>
            <w:pPr>
              <w:pStyle w:val="Compact"/>
            </w:pPr>
            <w:r>
              <w:t xml:space="preserve">Single workflow</w:t>
            </w:r>
          </w:p>
        </w:tc>
        <w:tc>
          <w:tcPr/>
          <w:p>
            <w:pPr>
              <w:pStyle w:val="Compact"/>
            </w:pPr>
            <w:r>
              <w:t xml:space="preserve">DAG,</w:t>
            </w:r>
            <w:r>
              <w:t xml:space="preserve"> </w:t>
            </w:r>
            <w:r>
              <w:rPr>
                <w:rStyle w:val="VerbatimChar"/>
              </w:rPr>
              <w:t xml:space="preserve">derived_df</w:t>
            </w:r>
            <w:r>
              <w:t xml:space="preserve">, step outputs, rejection flags, approval events. Persisted per step so runs can resume from the last checkpoint.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Long-term (validated)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patterns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feedback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qc_history</w:t>
            </w:r>
            <w:r>
              <w:t xml:space="preserve"> </w:t>
            </w:r>
            <w:r>
              <w:t xml:space="preserve">tables</w:t>
            </w:r>
          </w:p>
        </w:tc>
        <w:tc>
          <w:tcPr/>
          <w:p>
            <w:pPr>
              <w:pStyle w:val="Compact"/>
            </w:pPr>
            <w:r>
              <w:t xml:space="preserve">Cross-run</w:t>
            </w:r>
          </w:p>
        </w:tc>
        <w:tc>
          <w:tcPr/>
          <w:p>
            <w:pPr>
              <w:pStyle w:val="Compact"/>
            </w:pPr>
            <w:r>
              <w:t xml:space="preserve">Approved derivation code, reviewer notes, QC verdicts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Retrieval (concrete implementation):</w:t>
      </w:r>
      <w:r>
        <w:t xml:space="preserve"> </w:t>
      </w:r>
      <w:r>
        <w:t xml:space="preserve">The Coder and QC agents each have a</w:t>
      </w:r>
      <w:r>
        <w:t xml:space="preserve"> </w:t>
      </w:r>
      <w:r>
        <w:rPr>
          <w:rStyle w:val="VerbatimChar"/>
        </w:rPr>
        <w:t xml:space="preserve">query_patterns</w:t>
      </w:r>
      <w:r>
        <w:t xml:space="preserve"> </w:t>
      </w:r>
      <w:r>
        <w:t xml:space="preserve">PydanticAI tool (</w:t>
      </w:r>
      <w:r>
        <w:rPr>
          <w:rStyle w:val="VerbatimChar"/>
        </w:rPr>
        <w:t xml:space="preserve">src/agents/tools/query_patterns.py</w:t>
      </w:r>
      <w:r>
        <w:t xml:space="preserve">). Before writing code, the coder calls this tool; it looks up</w:t>
      </w:r>
      <w:r>
        <w:t xml:space="preserve"> </w:t>
      </w:r>
      <w:r>
        <w:rPr>
          <w:rStyle w:val="VerbatimChar"/>
        </w:rPr>
        <w:t xml:space="preserve">PatternRepository.query_by_type(variable_type, limit=3)</w:t>
      </w:r>
      <w:r>
        <w:t xml:space="preserve"> </w:t>
      </w:r>
      <w:r>
        <w:t xml:space="preserve">and returns up to 3 approved patterns (code + study + approach label) from prior runs. The LLM is instructed to adapt a good match rather than regenerate from scratch. The QC programmer may call the same tool but its system prompt requires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approach — maintaining QC independence.</w:t>
      </w:r>
    </w:p>
    <w:p>
      <w:pPr>
        <w:pStyle w:val="BodyText"/>
      </w:pPr>
      <w:r>
        <w:rPr>
          <w:b/>
          <w:bCs/>
        </w:rPr>
        <w:t xml:space="preserve">Write path: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save_patterns</w:t>
      </w:r>
      <w:r>
        <w:t xml:space="preserve"> </w:t>
      </w:r>
      <w:r>
        <w:t xml:space="preserve">builtin runs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human_review</w:t>
      </w:r>
      <w:r>
        <w:t xml:space="preserve"> </w:t>
      </w:r>
      <w:r>
        <w:t xml:space="preserve">HITL gate and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. It iterates the DAG and writes one</w:t>
      </w:r>
      <w:r>
        <w:t xml:space="preserve"> </w:t>
      </w:r>
      <w:r>
        <w:rPr>
          <w:rStyle w:val="VerbatimChar"/>
        </w:rPr>
        <w:t xml:space="preserve">PatternRow</w:t>
      </w:r>
      <w:r>
        <w:t xml:space="preserve"> </w:t>
      </w:r>
      <w:r>
        <w:t xml:space="preserve">+ one</w:t>
      </w:r>
      <w:r>
        <w:t xml:space="preserve"> </w:t>
      </w:r>
      <w:r>
        <w:rPr>
          <w:rStyle w:val="VerbatimChar"/>
        </w:rPr>
        <w:t xml:space="preserve">QCHistoryRow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DerivationStatus.APPROVED</w:t>
      </w:r>
      <w:r>
        <w:t xml:space="preserve"> </w:t>
      </w:r>
      <w:r>
        <w:t xml:space="preserve">node, then commits once via</w:t>
      </w:r>
      <w:r>
        <w:t xml:space="preserve"> </w:t>
      </w:r>
      <w:r>
        <w:rPr>
          <w:rStyle w:val="VerbatimChar"/>
        </w:rPr>
        <w:t xml:space="preserve">BaseRepository.commit()</w:t>
      </w:r>
      <w:r>
        <w:t xml:space="preserve">.</w:t>
      </w:r>
      <w:r>
        <w:t xml:space="preserve"> </w:t>
      </w:r>
      <w:r>
        <w:rPr>
          <w:rStyle w:val="VerbatimChar"/>
        </w:rPr>
        <w:t xml:space="preserve">save_patterns</w:t>
      </w:r>
      <w:r>
        <w:t xml:space="preserve"> </w:t>
      </w:r>
      <w:r>
        <w:t xml:space="preserve">is deliberately</w:t>
      </w:r>
      <w:r>
        <w:t xml:space="preserve"> </w:t>
      </w:r>
      <w:r>
        <w:rPr>
          <w:b/>
          <w:bCs/>
        </w:rPr>
        <w:t xml:space="preserve">omitted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express.yaml</w:t>
      </w:r>
      <w:r>
        <w:t xml:space="preserve"> </w:t>
      </w:r>
      <w:r>
        <w:t xml:space="preserve">— no HITL gate means no human validation, and auto-approved express output would pollute the memory.</w:t>
      </w:r>
    </w:p>
    <w:p>
      <w:pPr>
        <w:pStyle w:val="BodyText"/>
      </w:pPr>
      <w:r>
        <w:rPr>
          <w:b/>
          <w:bCs/>
        </w:rPr>
        <w:t xml:space="preserve">Smoke test evidence: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simple_mock.yaml</w:t>
      </w:r>
      <w:r>
        <w:t xml:space="preserve"> </w:t>
      </w:r>
      <w:r>
        <w:t xml:space="preserve">twice end-to-end against the live backend + mailbox responder produced</w:t>
      </w:r>
      <w:r>
        <w:t xml:space="preserve"> </w:t>
      </w:r>
      <w:r>
        <w:rPr>
          <w:rStyle w:val="VerbatimChar"/>
        </w:rPr>
        <w:t xml:space="preserve">+2</w:t>
      </w:r>
      <w:r>
        <w:t xml:space="preserve"> </w:t>
      </w:r>
      <w:r>
        <w:t xml:space="preserve">rows per variable in</w:t>
      </w:r>
      <w:r>
        <w:t xml:space="preserve"> </w:t>
      </w:r>
      <w:r>
        <w:rPr>
          <w:rStyle w:val="VerbatimChar"/>
        </w:rPr>
        <w:t xml:space="preserve">patterns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+8</w:t>
      </w:r>
      <w:r>
        <w:t xml:space="preserve"> </w:t>
      </w:r>
      <w:r>
        <w:t xml:space="preserve">rows in</w:t>
      </w:r>
      <w:r>
        <w:t xml:space="preserve"> </w:t>
      </w:r>
      <w:r>
        <w:rPr>
          <w:rStyle w:val="VerbatimChar"/>
        </w:rPr>
        <w:t xml:space="preserve">qc_history</w:t>
      </w:r>
      <w:r>
        <w:t xml:space="preserve"> </w:t>
      </w:r>
      <w:r>
        <w:t xml:space="preserve">— one row per approved variable per run, with distinct</w:t>
      </w:r>
      <w:r>
        <w:t xml:space="preserve"> </w:t>
      </w:r>
      <w:r>
        <w:rPr>
          <w:rStyle w:val="VerbatimChar"/>
        </w:rPr>
        <w:t xml:space="preserve">approach</w:t>
      </w:r>
      <w:r>
        <w:t xml:space="preserve"> </w:t>
      </w:r>
      <w:r>
        <w:t xml:space="preserve">strings confirming fresh writes. The FSM timeline explicitly shows</w:t>
      </w:r>
      <w:r>
        <w:t xml:space="preserve"> </w:t>
      </w:r>
      <w:r>
        <w:rPr>
          <w:rStyle w:val="VerbatimChar"/>
        </w:rPr>
        <w:t xml:space="preserve">db_fsm=save_patterns</w:t>
      </w:r>
      <w:r>
        <w:t xml:space="preserve"> </w:t>
      </w:r>
      <w:r>
        <w:t xml:space="preserve">between</w:t>
      </w:r>
      <w:r>
        <w:t xml:space="preserve"> </w:t>
      </w:r>
      <w:r>
        <w:rPr>
          <w:rStyle w:val="VerbatimChar"/>
        </w:rPr>
        <w:t xml:space="preserve">human_review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. The long-term memory loop is observably real, not just test-verified.</w:t>
      </w:r>
    </w:p>
    <w:p>
      <w:pPr>
        <w:pStyle w:val="BodyText"/>
      </w:pPr>
      <w:r>
        <w:rPr>
          <w:b/>
          <w:bCs/>
        </w:rPr>
        <w:t xml:space="preserve">Ground truth as verification memory:</w:t>
      </w:r>
      <w:r>
        <w:t xml:space="preserve"> </w:t>
      </w:r>
      <w:r>
        <w:t xml:space="preserve">Phase 16.4 added a</w:t>
      </w:r>
      <w:r>
        <w:t xml:space="preserve"> </w:t>
      </w:r>
      <w:r>
        <w:rPr>
          <w:rStyle w:val="VerbatimChar"/>
        </w:rPr>
        <w:t xml:space="preserve">compare_ground_truth</w:t>
      </w:r>
      <w:r>
        <w:t xml:space="preserve"> </w:t>
      </w:r>
      <w:r>
        <w:t xml:space="preserve">builtin that loads the reference ADaM XPT for the study (declared in</w:t>
      </w:r>
      <w:r>
        <w:t xml:space="preserve"> </w:t>
      </w:r>
      <w:r>
        <w:rPr>
          <w:rStyle w:val="VerbatimChar"/>
        </w:rPr>
        <w:t xml:space="preserve">spec.validation.ground_truth</w:t>
      </w:r>
      <w:r>
        <w:t xml:space="preserve">), inner-joins on</w:t>
      </w:r>
      <w:r>
        <w:t xml:space="preserve"> </w:t>
      </w:r>
      <w:r>
        <w:rPr>
          <w:rStyle w:val="VerbatimChar"/>
        </w:rPr>
        <w:t xml:space="preserve">spec.source.primary_key</w:t>
      </w:r>
      <w:r>
        <w:t xml:space="preserve"> </w:t>
      </w:r>
      <w:r>
        <w:t xml:space="preserve">(USUBJID for CDISC), and compares each derived variable against the reference using the existing</w:t>
      </w:r>
      <w:r>
        <w:t xml:space="preserve"> </w:t>
      </w:r>
      <w:r>
        <w:rPr>
          <w:rStyle w:val="VerbatimChar"/>
        </w:rPr>
        <w:t xml:space="preserve">compare_results</w:t>
      </w:r>
      <w:r>
        <w:t xml:space="preserve"> </w:t>
      </w:r>
      <w:r>
        <w:t xml:space="preserve">helper with the configured numeric tolerance. A</w:t>
      </w:r>
      <w:r>
        <w:t xml:space="preserve"> </w:t>
      </w:r>
      <w:r>
        <w:rPr>
          <w:rStyle w:val="VerbatimChar"/>
        </w:rPr>
        <w:t xml:space="preserve">GroundTruthReport</w:t>
      </w:r>
      <w:r>
        <w:t xml:space="preserve"> </w:t>
      </w:r>
      <w:r>
        <w:t xml:space="preserve">attached to</w:t>
      </w:r>
      <w:r>
        <w:t xml:space="preserve"> </w:t>
      </w:r>
      <w:r>
        <w:rPr>
          <w:rStyle w:val="VerbatimChar"/>
        </w:rPr>
        <w:t xml:space="preserve">PipelineContext</w:t>
      </w:r>
      <w:r>
        <w:t xml:space="preserve"> </w:t>
      </w:r>
      <w:r>
        <w:t xml:space="preserve">is surfaced via</w:t>
      </w:r>
      <w:r>
        <w:t xml:space="preserve"> </w:t>
      </w:r>
      <w:r>
        <w:rPr>
          <w:rStyle w:val="VerbatimChar"/>
        </w:rPr>
        <w:t xml:space="preserve">GET /workflows/{id}/ground_truth</w:t>
      </w:r>
      <w:r>
        <w:t xml:space="preserve">. This closes the gap between</w:t>
      </w:r>
      <w:r>
        <w:t xml:space="preserve"> </w:t>
      </w:r>
      <w:r>
        <w:t xml:space="preserve">“coder matches QC”</w:t>
      </w:r>
      <w:r>
        <w:t xml:space="preserve"> </w:t>
      </w:r>
      <w:r>
        <w:t xml:space="preserve">(double programming) and</w:t>
      </w:r>
      <w:r>
        <w:t xml:space="preserve"> </w:t>
      </w:r>
      <w:r>
        <w:t xml:space="preserve">“output matches the regulator’s expected result”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Production path:</w:t>
      </w:r>
      <w:r>
        <w:t xml:space="preserve"> </w:t>
      </w:r>
      <w:r>
        <w:t xml:space="preserve">The repository interface (</w:t>
      </w:r>
      <w:r>
        <w:rPr>
          <w:rStyle w:val="VerbatimChar"/>
        </w:rPr>
        <w:t xml:space="preserve">src/persistence/</w:t>
      </w:r>
      <w:r>
        <w:t xml:space="preserve">) abstracts storage. Switching from</w:t>
      </w:r>
      <w:r>
        <w:t xml:space="preserve"> </w:t>
      </w:r>
      <w:r>
        <w:rPr>
          <w:rStyle w:val="VerbatimChar"/>
        </w:rPr>
        <w:t xml:space="preserve">sqlite+aiosqlite:///cdde.db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postgresql+asyncpg://...</w:t>
      </w:r>
      <w:r>
        <w:t xml:space="preserve"> </w:t>
      </w:r>
      <w:r>
        <w:t xml:space="preserve">requires only a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environment variable change — zero code changes.</w:t>
      </w:r>
    </w:p>
    <w:p>
      <w:r>
        <w:pict>
          <v:rect style="width:0;height:1.5pt" o:hralign="center" o:hrstd="t" o:hr="t"/>
        </w:pict>
      </w:r>
    </w:p>
    <w:bookmarkEnd w:id="15"/>
    <w:bookmarkStart w:id="19" w:name="trade-offs-production-path"/>
    <w:p>
      <w:pPr>
        <w:pStyle w:val="Heading2"/>
      </w:pPr>
      <w:r>
        <w:t xml:space="preserve">8. Trade-offs &amp; Production Path</w:t>
      </w:r>
    </w:p>
    <w:bookmarkStart w:id="16" w:name="key-trade-offs"/>
    <w:p>
      <w:pPr>
        <w:pStyle w:val="Heading3"/>
      </w:pPr>
      <w:r>
        <w:t xml:space="preserve">Key Trade-offs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Trade-off</w:t>
            </w:r>
          </w:p>
        </w:tc>
        <w:tc>
          <w:tcPr/>
          <w:p>
            <w:pPr>
              <w:pStyle w:val="Compact"/>
            </w:pPr>
            <w:r>
              <w:t xml:space="preserve">Our choice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Automation vs. control</w:t>
            </w:r>
          </w:p>
        </w:tc>
        <w:tc>
          <w:tcPr/>
          <w:p>
            <w:pPr>
              <w:pStyle w:val="Compact"/>
            </w:pPr>
            <w:r>
              <w:t xml:space="preserve">Fully autonomous derivation vs. human gates at every step</w:t>
            </w:r>
          </w:p>
        </w:tc>
        <w:tc>
          <w:tcPr/>
          <w:p>
            <w:pPr>
              <w:pStyle w:val="Compact"/>
            </w:pPr>
            <w:r>
              <w:t xml:space="preserve">One deep HITL gate in clinical mode (3 actions: approve-with-feedback / reject-with-reason / code override); 3 separated gates in enterprise mode for 21 CFR Part 11 — same engine, different pipeline YAML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vs. rules</w:t>
            </w:r>
          </w:p>
        </w:tc>
        <w:tc>
          <w:tcPr/>
          <w:p>
            <w:pPr>
              <w:pStyle w:val="Compact"/>
            </w:pPr>
            <w:r>
              <w:t xml:space="preserve">Pure LLM code generation vs. deterministic rule engine</w:t>
            </w:r>
          </w:p>
        </w:tc>
        <w:tc>
          <w:tcPr/>
          <w:p>
            <w:pPr>
              <w:pStyle w:val="Compact"/>
            </w:pPr>
            <w:r>
              <w:t xml:space="preserve">Hybrid: LLM generates, deterministic comparator verifies, ground-truth comparison validates against the regulator’s reference, guards enforce 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Flexibility vs. compliance</w:t>
            </w:r>
          </w:p>
        </w:tc>
        <w:tc>
          <w:tcPr/>
          <w:p>
            <w:pPr>
              <w:pStyle w:val="Compact"/>
            </w:pPr>
            <w:r>
              <w:t xml:space="preserve">Adaptable prompts vs. locked-down workflows</w:t>
            </w:r>
          </w:p>
        </w:tc>
        <w:tc>
          <w:tcPr/>
          <w:p>
            <w:pPr>
              <w:pStyle w:val="Compact"/>
            </w:pPr>
            <w:r>
              <w:t xml:space="preserve">Pipelines are YAML — one engine, three ship-ready configs (express / clinical / enterprise), and per-study guard configs dial compliance independently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Pipeline in code vs. YAML</w:t>
            </w:r>
          </w:p>
        </w:tc>
        <w:tc>
          <w:tcPr/>
          <w:p>
            <w:pPr>
              <w:pStyle w:val="Compact"/>
            </w:pPr>
            <w:r>
              <w:t xml:space="preserve">Hardcoded</w:t>
            </w:r>
            <w:r>
              <w:t xml:space="preserve"> </w:t>
            </w:r>
            <w:r>
              <w:rPr>
                <w:rStyle w:val="VerbatimChar"/>
              </w:rPr>
              <w:t xml:space="preserve">run_workflow()</w:t>
            </w:r>
            <w:r>
              <w:t xml:space="preserve"> </w:t>
            </w:r>
            <w:r>
              <w:t xml:space="preserve">vs. YAML step definitions + executor registry</w:t>
            </w:r>
          </w:p>
        </w:tc>
        <w:tc>
          <w:tcPr/>
          <w:p>
            <w:pPr>
              <w:pStyle w:val="Compact"/>
            </w:pPr>
            <w:r>
              <w:t xml:space="preserve">YAML. Adding a new workflow = new file in</w:t>
            </w:r>
            <w:r>
              <w:t xml:space="preserve"> </w:t>
            </w:r>
            <w:r>
              <w:rPr>
                <w:rStyle w:val="VerbatimChar"/>
              </w:rPr>
              <w:t xml:space="preserve">config/pipelines/</w:t>
            </w:r>
            <w:r>
              <w:t xml:space="preserve">, zero code changes. This is what lets us ship three pipelines from one engine.</w:t>
            </w:r>
          </w:p>
        </w:tc>
      </w:tr>
    </w:tbl>
    <w:bookmarkEnd w:id="16"/>
    <w:bookmarkStart w:id="17" w:name="data-security-dual-dataset-architecture"/>
    <w:p>
      <w:pPr>
        <w:pStyle w:val="Heading3"/>
      </w:pPr>
      <w:r>
        <w:t xml:space="preserve">Data Security: Dual-Dataset Architecture</w:t>
      </w:r>
    </w:p>
    <w:p>
      <w:pPr>
        <w:pStyle w:val="FirstParagraph"/>
      </w:pPr>
      <w:r>
        <w:t xml:space="preserve">Agents never see patient data. The LLM receives schema metadata + a synthetic reference dataset (10-20 fake rows, same structure). Tools execute on real data locally and return only aggregates (null counts, value ranges, pass/fail) – never raw patient rows. This is the correct production architecture, not a prototype shortcut: agents need data</w:t>
      </w:r>
      <w:r>
        <w:t xml:space="preserve"> </w:t>
      </w:r>
      <w:r>
        <w:rPr>
          <w:b/>
          <w:bCs/>
        </w:rPr>
        <w:t xml:space="preserve">shape</w:t>
      </w:r>
      <w:r>
        <w:t xml:space="preserve">, not data</w:t>
      </w:r>
      <w:r>
        <w:t xml:space="preserve"> </w:t>
      </w:r>
      <w:r>
        <w:rPr>
          <w:b/>
          <w:bCs/>
        </w:rPr>
        <w:t xml:space="preserve">content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inspect_data</w:t>
      </w:r>
      <w:r>
        <w:t xml:space="preserve"> </w:t>
      </w:r>
      <w:r>
        <w:t xml:space="preserve">tool is the security gate.</w:t>
      </w:r>
    </w:p>
    <w:bookmarkEnd w:id="17"/>
    <w:bookmarkStart w:id="18" w:name="production-path"/>
    <w:p>
      <w:pPr>
        <w:pStyle w:val="Heading3"/>
      </w:pPr>
      <w:r>
        <w:t xml:space="preserve">Production Path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Prototype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PostgreSQL (same SQLAlchemy async models)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Claude API</w:t>
            </w:r>
          </w:p>
        </w:tc>
        <w:tc>
          <w:tcPr/>
          <w:p>
            <w:pPr>
              <w:pStyle w:val="Compact"/>
            </w:pPr>
            <w:r>
              <w:t xml:space="preserve">Azure OpenAI in Sanofi VNet (private endpoint)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Single-process dev server</w:t>
            </w:r>
          </w:p>
        </w:tc>
        <w:tc>
          <w:tcPr/>
          <w:p>
            <w:pPr>
              <w:pStyle w:val="Compact"/>
            </w:pPr>
            <w:r>
              <w:t xml:space="preserve">Docker Compose (6 containers: nginx, React SPA, FastAPI + FastMCP, PostgreSQL, AgentLens, Grafana/Loki)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Kubernetes (same images, Helm chart, HPA auto-scaling)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</w:t>
            </w:r>
            <w:r>
              <w:t xml:space="preserve"> </w:t>
            </w:r>
            <w:r>
              <w:rPr>
                <w:rStyle w:val="VerbatimChar"/>
              </w:rPr>
              <w:t xml:space="preserve">config/guards.yaml</w:t>
            </w:r>
          </w:p>
        </w:tc>
        <w:tc>
          <w:tcPr/>
          <w:p>
            <w:pPr>
              <w:pStyle w:val="Compact"/>
            </w:pPr>
            <w:r>
              <w:t xml:space="preserve">ConfigMap per study (different compliance levels)</w:t>
            </w:r>
          </w:p>
        </w:tc>
      </w:tr>
    </w:tbl>
    <w:p>
      <w:pPr>
        <w:pStyle w:val="BodyText"/>
      </w:pPr>
      <w:r>
        <w:t xml:space="preserve">The backend is stateless – all state lives in PostgreSQL (patterns, feedback, qc_history, workflow_states). N replicas behind nginx give horizontal scaling with zero code changes. The React SPA is served as a static bundle from nginx.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limitations-future-work"/>
    <w:p>
      <w:pPr>
        <w:pStyle w:val="Heading2"/>
      </w:pPr>
      <w:r>
        <w:t xml:space="preserve">9. Limitations &amp; Future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ADSL (subject-level) only. BDS (longitudinal per-visit) derivations are the natural next phase.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Spec format:</w:t>
      </w:r>
      <w:r>
        <w:t xml:space="preserve"> </w:t>
      </w:r>
      <w:r>
        <w:t xml:space="preserve">YAML only. Production systems need PDF/Word spec parsing (SAP documents).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 study:</w:t>
      </w:r>
      <w:r>
        <w:t xml:space="preserve"> </w:t>
      </w:r>
      <w:r>
        <w:t xml:space="preserve">The memory architecture supports multi-study learning but it is not implemented.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CDISC conformance validation:</w:t>
      </w:r>
      <w:r>
        <w:t xml:space="preserve"> </w:t>
      </w:r>
      <w:r>
        <w:t xml:space="preserve">Integration with Pinnacle 21 or equivalent is a production requirement.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Guard sophistication:</w:t>
      </w:r>
      <w:r>
        <w:t xml:space="preserve"> </w:t>
      </w:r>
      <w:r>
        <w:t xml:space="preserve">Current guards are rule-based. A RAG-backed Sentinel with the full CDISC Implementation Guide is the evolution path.</w:t>
      </w:r>
    </w:p>
    <w:bookmarkStart w:id="20" w:name="quality-evidence"/>
    <w:p>
      <w:pPr>
        <w:pStyle w:val="Heading3"/>
      </w:pPr>
      <w:r>
        <w:t xml:space="preserve">Quality Evidence</w:t>
      </w:r>
    </w:p>
    <w:p>
      <w:pPr>
        <w:pStyle w:val="FirstParagraph"/>
      </w:pPr>
      <w:r>
        <w:rPr>
          <w:b/>
          <w:bCs/>
        </w:rPr>
        <w:t xml:space="preserve">310 tests passing</w:t>
      </w:r>
      <w:r>
        <w:t xml:space="preserve"> </w:t>
      </w:r>
      <w:r>
        <w:t xml:space="preserve">(297 backend + 13 frontend component tests), pyright strict mode with 0 errors, ruff clean,</w:t>
      </w:r>
      <w:r>
        <w:t xml:space="preserve"> </w:t>
      </w:r>
      <w:r>
        <w:rPr>
          <w:b/>
          <w:bCs/>
        </w:rPr>
        <w:t xml:space="preserve">19 import-linter contracts</w:t>
      </w:r>
      <w:r>
        <w:t xml:space="preserve"> </w:t>
      </w:r>
      <w:r>
        <w:t xml:space="preserve">enforcing layer boundaries,</w:t>
      </w:r>
      <w:r>
        <w:t xml:space="preserve"> </w:t>
      </w:r>
      <w:r>
        <w:rPr>
          <w:b/>
          <w:bCs/>
        </w:rPr>
        <w:t xml:space="preserve">10 custom AST-based pre-commit checks</w:t>
      </w:r>
      <w:r>
        <w:t xml:space="preserve"> </w:t>
      </w:r>
      <w:r>
        <w:t xml:space="preserve">(domain purity, patient data leak detection, datetime safety, enum discipline, LLM gateway enforcement, repository DI enforcement, raw-SQL-in-engine ban, file/class size limits, UI-exception-leak prevention). All 18 pre-push hooks are green on</w:t>
      </w:r>
      <w:r>
        <w:t xml:space="preserve"> </w:t>
      </w:r>
      <w:r>
        <w:rPr>
          <w:rStyle w:val="VerbatimChar"/>
        </w:rPr>
        <w:t xml:space="preserve">feat/yaml-pipeline</w:t>
      </w:r>
      <w:r>
        <w:t xml:space="preserve"> </w:t>
      </w:r>
      <w:r>
        <w:t xml:space="preserve">and run automatically before every push.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/>
          <w:iCs/>
        </w:rPr>
        <w:t xml:space="preserve">“Science sans conscience n’est que ruine de l’ame.”</w:t>
      </w:r>
      <w:r>
        <w:t xml:space="preserve"> </w:t>
      </w:r>
      <w:r>
        <w:t xml:space="preserve">– Rabelais</w:t>
      </w:r>
    </w:p>
    <w:p>
      <w:pPr>
        <w:pStyle w:val="BlockText"/>
      </w:pPr>
      <w:r>
        <w:t xml:space="preserve">In clinical AI, this is not philosophy – it is engineering discipline. Every derivation the engine produces affects a drug approval decision. The conscience is built into the architecture: double programming, human gates, append-only audit trails, and agents that never see patient data. The system is designed so that doing the right thing is the path of least resistance.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 Data Derivation Engine — Design Document</dc:title>
  <dc:creator>Matthieu Boujonnier</dc:creator>
  <cp:keywords/>
  <dcterms:created xsi:type="dcterms:W3CDTF">2026-04-13T22:37:24Z</dcterms:created>
  <dcterms:modified xsi:type="dcterms:W3CDTF">2026-04-13T22:37:24Z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2026-04-13</vt:lpwstr>
  </property>
</Properties>
</file>