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Bootcamp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~7 Hours • Explore New Skills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About This </w:t>
      </w:r>
      <w:r w:rsidDel="00000000" w:rsidR="00000000" w:rsidRPr="00000000">
        <w:rPr>
          <w:b w:val="1"/>
          <w:rtl w:val="0"/>
        </w:rPr>
        <w:t xml:space="preserve">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Imagine that you have a spreadsheet containing every </w:t>
      </w:r>
      <w:r w:rsidDel="00000000" w:rsidR="00000000" w:rsidRPr="00000000">
        <w:rPr>
          <w:color w:val="222222"/>
          <w:rtl w:val="0"/>
        </w:rPr>
        <w:t xml:space="preserve">data</w:t>
      </w:r>
      <w:r w:rsidDel="00000000" w:rsidR="00000000" w:rsidRPr="00000000">
        <w:rPr>
          <w:color w:val="222222"/>
          <w:rtl w:val="0"/>
        </w:rPr>
        <w:t xml:space="preserve"> point about your customers — their preferences, their web browsing behavior, the products they’ve bought. What would you do with all that information? When you know SQL fundamentals, you can slice and dice that </w:t>
      </w:r>
      <w:r w:rsidDel="00000000" w:rsidR="00000000" w:rsidRPr="00000000">
        <w:rPr>
          <w:color w:val="222222"/>
          <w:rtl w:val="0"/>
        </w:rPr>
        <w:t xml:space="preserve">data</w:t>
      </w:r>
      <w:r w:rsidDel="00000000" w:rsidR="00000000" w:rsidRPr="00000000">
        <w:rPr>
          <w:color w:val="222222"/>
          <w:rtl w:val="0"/>
        </w:rPr>
        <w:t xml:space="preserve"> any way you want, providing critical insights that drive business strategy.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SQL provides powerful-yet-simple tools for </w:t>
      </w:r>
      <w:r w:rsidDel="00000000" w:rsidR="00000000" w:rsidRPr="00000000">
        <w:rPr>
          <w:color w:val="222222"/>
          <w:rtl w:val="0"/>
        </w:rPr>
        <w:t xml:space="preserve">data</w:t>
      </w:r>
      <w:r w:rsidDel="00000000" w:rsidR="00000000" w:rsidRPr="00000000">
        <w:rPr>
          <w:color w:val="222222"/>
          <w:rtl w:val="0"/>
        </w:rPr>
        <w:t xml:space="preserve"> analysis and handling. This </w:t>
      </w:r>
      <w:r w:rsidDel="00000000" w:rsidR="00000000" w:rsidRPr="00000000">
        <w:rPr>
          <w:color w:val="222222"/>
          <w:rtl w:val="0"/>
        </w:rPr>
        <w:t xml:space="preserve">SQL bootcamp</w:t>
      </w:r>
      <w:r w:rsidDel="00000000" w:rsidR="00000000" w:rsidRPr="00000000">
        <w:rPr>
          <w:color w:val="222222"/>
          <w:rtl w:val="0"/>
        </w:rPr>
        <w:t xml:space="preserve"> will take absolute beginners through the basics to an ability to write queries with confidence. Get hands-on experience navigating a </w:t>
      </w:r>
      <w:r w:rsidDel="00000000" w:rsidR="00000000" w:rsidRPr="00000000">
        <w:rPr>
          <w:color w:val="222222"/>
          <w:rtl w:val="0"/>
        </w:rPr>
        <w:t xml:space="preserve">SQL server</w:t>
      </w:r>
      <w:r w:rsidDel="00000000" w:rsidR="00000000" w:rsidRPr="00000000">
        <w:rPr>
          <w:color w:val="222222"/>
          <w:rtl w:val="0"/>
        </w:rPr>
        <w:t xml:space="preserve"> and distilling insights from real-world </w:t>
      </w:r>
      <w:r w:rsidDel="00000000" w:rsidR="00000000" w:rsidRPr="00000000">
        <w:rPr>
          <w:color w:val="222222"/>
          <w:rtl w:val="0"/>
        </w:rPr>
        <w:t xml:space="preserve">data</w:t>
      </w:r>
      <w:r w:rsidDel="00000000" w:rsidR="00000000" w:rsidRPr="00000000">
        <w:rPr>
          <w:color w:val="222222"/>
          <w:rtl w:val="0"/>
        </w:rPr>
        <w:t xml:space="preserve">. You’ll leave able to use this tool on your own </w:t>
      </w:r>
      <w:r w:rsidDel="00000000" w:rsidR="00000000" w:rsidRPr="00000000">
        <w:rPr>
          <w:color w:val="222222"/>
          <w:rtl w:val="0"/>
        </w:rPr>
        <w:t xml:space="preserve">data</w:t>
      </w:r>
      <w:r w:rsidDel="00000000" w:rsidR="00000000" w:rsidRPr="00000000">
        <w:rPr>
          <w:color w:val="222222"/>
          <w:rtl w:val="0"/>
        </w:rPr>
        <w:t xml:space="preserve"> immediately.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22222"/>
        </w:rPr>
      </w:pPr>
      <w:r w:rsidDel="00000000" w:rsidR="00000000" w:rsidRPr="00000000">
        <w:rPr>
          <w:b w:val="1"/>
          <w:rtl w:val="0"/>
        </w:rPr>
        <w:t xml:space="preserve">You’ll Learn</w:t>
      </w:r>
      <w:r w:rsidDel="00000000" w:rsidR="00000000" w:rsidRPr="00000000">
        <w:rPr>
          <w:b w:val="1"/>
          <w:rtl w:val="0"/>
        </w:rPr>
        <w:t xml:space="preserve"> To...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Describe a relational database.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Illustrate the structure of a database using an entity relationship diagram.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Explore the anatomy of a </w:t>
      </w:r>
      <w:r w:rsidDel="00000000" w:rsidR="00000000" w:rsidRPr="00000000">
        <w:rPr>
          <w:color w:val="222222"/>
          <w:rtl w:val="0"/>
        </w:rPr>
        <w:t xml:space="preserve">SQL server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queries to retrieve data from a </w:t>
      </w:r>
      <w:r w:rsidDel="00000000" w:rsidR="00000000" w:rsidRPr="00000000">
        <w:rPr>
          <w:color w:val="222222"/>
          <w:rtl w:val="0"/>
        </w:rPr>
        <w:t xml:space="preserve">SQL database (e.g., Microsoft SQL Server,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Sort and segment </w:t>
      </w:r>
      <w:r w:rsidDel="00000000" w:rsidR="00000000" w:rsidRPr="00000000">
        <w:rPr>
          <w:color w:val="222222"/>
          <w:rtl w:val="0"/>
        </w:rPr>
        <w:t xml:space="preserve">SQL query</w:t>
      </w:r>
      <w:r w:rsidDel="00000000" w:rsidR="00000000" w:rsidRPr="00000000">
        <w:rPr>
          <w:color w:val="222222"/>
          <w:rtl w:val="0"/>
        </w:rPr>
        <w:t xml:space="preserve"> results to generate insights.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Combine </w:t>
      </w:r>
      <w:r w:rsidDel="00000000" w:rsidR="00000000" w:rsidRPr="00000000">
        <w:rPr>
          <w:color w:val="222222"/>
          <w:rtl w:val="0"/>
        </w:rPr>
        <w:t xml:space="preserve">data</w:t>
      </w:r>
      <w:r w:rsidDel="00000000" w:rsidR="00000000" w:rsidRPr="00000000">
        <w:rPr>
          <w:color w:val="222222"/>
          <w:rtl w:val="0"/>
        </w:rPr>
        <w:t xml:space="preserve"> from multiple tables in complex queries.</w:t>
      </w:r>
    </w:p>
    <w:p w:rsidR="00000000" w:rsidDel="00000000" w:rsidP="00000000" w:rsidRDefault="00000000" w:rsidRPr="00000000" w14:paraId="00000012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22222"/>
        </w:rPr>
      </w:pPr>
      <w:r w:rsidDel="00000000" w:rsidR="00000000" w:rsidRPr="00000000">
        <w:rPr>
          <w:b w:val="1"/>
          <w:rtl w:val="0"/>
        </w:rPr>
        <w:t xml:space="preserve">What You’ll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Rule="auto"/>
        <w:ind w:left="720" w:hanging="36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color w:val="222222"/>
          <w:rtl w:val="0"/>
        </w:rPr>
        <w:t xml:space="preserve">A computer and a strong internet connection to maximize your </w:t>
      </w:r>
      <w:r w:rsidDel="00000000" w:rsidR="00000000" w:rsidRPr="00000000">
        <w:rPr>
          <w:color w:val="222222"/>
          <w:rtl w:val="0"/>
        </w:rPr>
        <w:t xml:space="preserve">learning experience.</w:t>
      </w:r>
      <w:r w:rsidDel="00000000" w:rsidR="00000000" w:rsidRPr="00000000">
        <w:rPr>
          <w:color w:val="222222"/>
          <w:rtl w:val="0"/>
        </w:rPr>
        <w:t xml:space="preserve"> We will provide login information and a link to the platform on the day of this </w:t>
      </w:r>
      <w:r w:rsidDel="00000000" w:rsidR="00000000" w:rsidRPr="00000000">
        <w:rPr>
          <w:color w:val="222222"/>
          <w:rtl w:val="0"/>
        </w:rPr>
        <w:t xml:space="preserve">SQL bootcamp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color w:val="222222"/>
          <w:rtl w:val="0"/>
        </w:rPr>
        <w:t xml:space="preserve">A willingness to learn and a determination to push through the natural frustration of confronting new concepts.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color w:val="222222"/>
          <w:rtl w:val="0"/>
        </w:rPr>
        <w:t xml:space="preserve">The pgAdmin that’s compatible with your operating system (download 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22222"/>
          <w:rtl w:val="0"/>
        </w:rPr>
        <w:t xml:space="preserve">)</w:t>
      </w:r>
      <w:r w:rsidDel="00000000" w:rsidR="00000000" w:rsidRPr="00000000">
        <w:rPr>
          <w:color w:val="222222"/>
          <w:rtl w:val="0"/>
        </w:rPr>
        <w:t xml:space="preserve">. In addition, watch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Introduction to SQL</w:t>
        </w:r>
      </w:hyperlink>
      <w:hyperlink r:id="rId8">
        <w:r w:rsidDel="00000000" w:rsidR="00000000" w:rsidRPr="00000000">
          <w:rPr>
            <w:color w:val="1155cc"/>
            <w:rtl w:val="0"/>
          </w:rPr>
          <w:t xml:space="preserve"> </w:t>
        </w:r>
      </w:hyperlink>
      <w:r w:rsidDel="00000000" w:rsidR="00000000" w:rsidRPr="00000000">
        <w:rPr>
          <w:color w:val="222222"/>
          <w:rtl w:val="0"/>
        </w:rPr>
        <w:t xml:space="preserve">video before your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Workshops @ GA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Since 2014, more than 1.1 million participants have turned to GA’s short-form programs for immediate skill development in tech, business,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, and design. We offer 100+ interactive, instructor-led workshops, both remotely and at campuses around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="288" w:lineRule="auto"/>
        <w:rPr>
          <w:b w:val="1"/>
          <w:color w:val="000000"/>
          <w:sz w:val="22"/>
          <w:szCs w:val="22"/>
        </w:rPr>
      </w:pPr>
      <w:bookmarkStart w:colFirst="0" w:colLast="0" w:name="_uv2o4lx8hg6t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Refund Policy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We understand that, sometimes, plans change. If you can no longer make it to a class or workshop, please email us at least seven (7) days before the scheduled event. No refunds will be given to cancellations made within a week of the workshop or event.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="288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drtlc3nzc4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="288" w:lineRule="auto"/>
        <w:rPr>
          <w:b w:val="1"/>
          <w:color w:val="000000"/>
          <w:sz w:val="22"/>
          <w:szCs w:val="22"/>
        </w:rPr>
      </w:pPr>
      <w:bookmarkStart w:colFirst="0" w:colLast="0" w:name="_qzwl37atl01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Community Code of Conduct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Your registration for or attendance at any General Assembly offering indicates your agreement to abide by this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Community Code of Conduct</w:t>
        </w:r>
      </w:hyperlink>
      <w:r w:rsidDel="00000000" w:rsidR="00000000" w:rsidRPr="00000000">
        <w:rPr>
          <w:rtl w:val="0"/>
        </w:rPr>
        <w:t xml:space="preserve"> policy and its terms.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This workshop does not include instruction beyond the secondary school level. Participants must be 16 years of age or older.</w:t>
      </w:r>
    </w:p>
    <w:p w:rsidR="00000000" w:rsidDel="00000000" w:rsidP="00000000" w:rsidRDefault="00000000" w:rsidRPr="00000000" w14:paraId="00000029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GA’s workshops and events are for avocational purposes only and are not regulated or approved by any state agency or other regulatory body. No certificate is awarded upon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222222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neralassemb.ly/community_code_of_conduc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gadmin.org/download/" TargetMode="External"/><Relationship Id="rId7" Type="http://schemas.openxmlformats.org/officeDocument/2006/relationships/hyperlink" Target="https://generalassembly.wistia.com/medias/vn6k0n6b11" TargetMode="External"/><Relationship Id="rId8" Type="http://schemas.openxmlformats.org/officeDocument/2006/relationships/hyperlink" Target="https://generalassembly.wistia.com/medias/vn6k0n6b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