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>
          <w:rFonts w:ascii="Barlow Semi Condensed" w:cs="Barlow Semi Condensed" w:eastAsia="Barlow Semi Condensed" w:hAnsi="Barlow Semi Condensed"/>
          <w:b w:val="1"/>
        </w:rPr>
      </w:pPr>
      <w:bookmarkStart w:colFirst="0" w:colLast="0" w:name="_z8bgjroiz47b" w:id="0"/>
      <w:bookmarkEnd w:id="0"/>
      <w:r w:rsidDel="00000000" w:rsidR="00000000" w:rsidRPr="00000000">
        <w:rPr>
          <w:rFonts w:ascii="Barlow Semi Condensed" w:cs="Barlow Semi Condensed" w:eastAsia="Barlow Semi Condensed" w:hAnsi="Barlow Semi Condensed"/>
          <w:b w:val="1"/>
          <w:rtl w:val="0"/>
        </w:rPr>
        <w:t xml:space="preserve">What</w:t>
      </w:r>
      <w:r w:rsidDel="00000000" w:rsidR="00000000" w:rsidRPr="00000000">
        <w:rPr>
          <w:rFonts w:ascii="Barlow Semi Condensed" w:cs="Barlow Semi Condensed" w:eastAsia="Barlow Semi Condensed" w:hAnsi="Barlow Semi Condensed"/>
          <w:b w:val="1"/>
          <w:rtl w:val="0"/>
        </w:rPr>
        <w:t xml:space="preserve"> is Generative AI?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Generative AI is the most recent advancement in the field of </w:t>
      </w:r>
      <w:r w:rsidDel="00000000" w:rsidR="00000000" w:rsidRPr="00000000">
        <w:rPr>
          <w:b w:val="1"/>
          <w:shd w:fill="ffcd34" w:val="clear"/>
          <w:rtl w:val="0"/>
        </w:rPr>
        <w:t xml:space="preserve">machine learning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Generative AI technologies are </w:t>
      </w:r>
      <w:r w:rsidDel="00000000" w:rsidR="00000000" w:rsidRPr="00000000">
        <w:rPr>
          <w:b w:val="1"/>
          <w:shd w:fill="ffcd34" w:val="clear"/>
          <w:rtl w:val="0"/>
        </w:rPr>
        <w:t xml:space="preserve">capable of creating new content</w:t>
      </w:r>
      <w:r w:rsidDel="00000000" w:rsidR="00000000" w:rsidRPr="00000000">
        <w:rPr>
          <w:rtl w:val="0"/>
        </w:rPr>
        <w:t xml:space="preserve">, ranging from text to images and video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most popular generative AI technologies are called </w:t>
      </w:r>
      <w:r w:rsidDel="00000000" w:rsidR="00000000" w:rsidRPr="00000000">
        <w:rPr>
          <w:b w:val="1"/>
          <w:shd w:fill="ffcd34" w:val="clear"/>
          <w:rtl w:val="0"/>
        </w:rPr>
        <w:t xml:space="preserve">Large Language Models</w:t>
      </w:r>
      <w:r w:rsidDel="00000000" w:rsidR="00000000" w:rsidRPr="00000000">
        <w:rPr>
          <w:rtl w:val="0"/>
        </w:rPr>
        <w:t xml:space="preserve">, or LLMs for short</w:t>
      </w:r>
    </w:p>
    <w:p w:rsidR="00000000" w:rsidDel="00000000" w:rsidP="00000000" w:rsidRDefault="00000000" w:rsidRPr="00000000" w14:paraId="00000005">
      <w:pPr>
        <w:pStyle w:val="Heading1"/>
        <w:rPr>
          <w:rFonts w:ascii="Barlow Semi Condensed" w:cs="Barlow Semi Condensed" w:eastAsia="Barlow Semi Condensed" w:hAnsi="Barlow Semi Condensed"/>
          <w:b w:val="1"/>
        </w:rPr>
      </w:pPr>
      <w:bookmarkStart w:colFirst="0" w:colLast="0" w:name="_1t9a12hk3q3s" w:id="1"/>
      <w:bookmarkEnd w:id="1"/>
      <w:r w:rsidDel="00000000" w:rsidR="00000000" w:rsidRPr="00000000">
        <w:rPr>
          <w:rFonts w:ascii="Barlow Semi Condensed" w:cs="Barlow Semi Condensed" w:eastAsia="Barlow Semi Condensed" w:hAnsi="Barlow Semi Condensed"/>
          <w:b w:val="1"/>
          <w:rtl w:val="0"/>
        </w:rPr>
        <w:t xml:space="preserve">Gen AI and the Hype Cycle</w:t>
      </w:r>
    </w:p>
    <w:p w:rsidR="00000000" w:rsidDel="00000000" w:rsidP="00000000" w:rsidRDefault="00000000" w:rsidRPr="00000000" w14:paraId="00000006">
      <w:pPr>
        <w:spacing w:after="200" w:lineRule="auto"/>
        <w:rPr/>
      </w:pPr>
      <w:r w:rsidDel="00000000" w:rsidR="00000000" w:rsidRPr="00000000">
        <w:rPr>
          <w:rtl w:val="0"/>
        </w:rPr>
        <w:t xml:space="preserve">According to Gartner’s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Hype Cycle for Emerging Technologies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from August 2023, generative AI is at its peak of inflated expectations. 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Along with the hype comes a lot of empty promises and predictions. </w:t>
      </w:r>
      <w:r w:rsidDel="00000000" w:rsidR="00000000" w:rsidRPr="00000000">
        <w:rPr>
          <w:rtl w:val="0"/>
        </w:rPr>
        <w:t xml:space="preserve">Now is the time</w:t>
      </w:r>
      <w:r w:rsidDel="00000000" w:rsidR="00000000" w:rsidRPr="00000000">
        <w:rPr>
          <w:rtl w:val="0"/>
        </w:rPr>
        <w:t xml:space="preserve"> to begin unpacking how this technology can and will impact TAG’s industry.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553075" cy="3247351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555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47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Barlow Semi Condensed" w:cs="Barlow Semi Condensed" w:eastAsia="Barlow Semi Condensed" w:hAnsi="Barlow Semi Condensed"/>
          <w:b w:val="1"/>
          <w:sz w:val="36"/>
          <w:szCs w:val="3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Source: </w:t>
      </w:r>
      <w:hyperlink r:id="rId7">
        <w:r w:rsidDel="00000000" w:rsidR="00000000" w:rsidRPr="00000000">
          <w:rPr>
            <w:i w:val="1"/>
            <w:color w:val="1155cc"/>
            <w:sz w:val="16"/>
            <w:szCs w:val="16"/>
            <w:u w:val="single"/>
            <w:rtl w:val="0"/>
          </w:rPr>
          <w:t xml:space="preserve">Gartner August 2023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Barlow Semi Condensed" w:cs="Barlow Semi Condensed" w:eastAsia="Barlow Semi Condensed" w:hAnsi="Barlow Semi Condense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>
          <w:rFonts w:ascii="Barlow Semi Condensed" w:cs="Barlow Semi Condensed" w:eastAsia="Barlow Semi Condensed" w:hAnsi="Barlow Semi Condensed"/>
          <w:b w:val="1"/>
        </w:rPr>
      </w:pPr>
      <w:bookmarkStart w:colFirst="0" w:colLast="0" w:name="_dabb8fnlvj8m" w:id="2"/>
      <w:bookmarkEnd w:id="2"/>
      <w:r w:rsidDel="00000000" w:rsidR="00000000" w:rsidRPr="00000000">
        <w:rPr>
          <w:rFonts w:ascii="Barlow Semi Condensed" w:cs="Barlow Semi Condensed" w:eastAsia="Barlow Semi Condensed" w:hAnsi="Barlow Semi Condensed"/>
          <w:b w:val="1"/>
          <w:rtl w:val="0"/>
        </w:rPr>
        <w:t xml:space="preserve">How Do They Work?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510.0" w:type="dxa"/>
        <w:jc w:val="left"/>
        <w:tblLayout w:type="fixed"/>
        <w:tblLook w:val="0600"/>
      </w:tblPr>
      <w:tblGrid>
        <w:gridCol w:w="2850"/>
        <w:gridCol w:w="570"/>
        <w:gridCol w:w="2715"/>
        <w:gridCol w:w="495"/>
        <w:gridCol w:w="2880"/>
        <w:tblGridChange w:id="0">
          <w:tblGrid>
            <w:gridCol w:w="2850"/>
            <w:gridCol w:w="570"/>
            <w:gridCol w:w="2715"/>
            <w:gridCol w:w="495"/>
            <w:gridCol w:w="2880"/>
          </w:tblGrid>
        </w:tblGridChange>
      </w:tblGrid>
      <w:tr>
        <w:trPr>
          <w:cantSplit w:val="0"/>
          <w:trHeight w:val="2011.7999999999997" w:hRule="atLeast"/>
          <w:tblHeader w:val="0"/>
        </w:trPr>
        <w:tc>
          <w:tcPr>
            <w:tcBorders>
              <w:left w:color="3dbed4" w:space="0" w:sz="12" w:val="single"/>
              <w:bottom w:color="3dbed4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arlow Condensed" w:cs="Barlow Condensed" w:eastAsia="Barlow Condensed" w:hAnsi="Barlow Condensed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Barlow Condensed" w:cs="Barlow Condensed" w:eastAsia="Barlow Condensed" w:hAnsi="Barlow Condensed"/>
                <w:b w:val="1"/>
                <w:sz w:val="36"/>
                <w:szCs w:val="36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The LLM </w:t>
            </w:r>
            <w:r w:rsidDel="00000000" w:rsidR="00000000" w:rsidRPr="00000000">
              <w:rPr>
                <w:rtl w:val="0"/>
              </w:rPr>
              <w:t xml:space="preserve">receives an </w:t>
            </w:r>
            <w:r w:rsidDel="00000000" w:rsidR="00000000" w:rsidRPr="00000000">
              <w:rPr>
                <w:b w:val="1"/>
                <w:shd w:fill="ffcd34" w:val="clear"/>
                <w:rtl w:val="0"/>
              </w:rPr>
              <w:t xml:space="preserve">input</w:t>
            </w:r>
            <w:r w:rsidDel="00000000" w:rsidR="00000000" w:rsidRPr="00000000">
              <w:rPr>
                <w:rtl w:val="0"/>
              </w:rPr>
              <w:t xml:space="preserve"> from the user via a prompt.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6"/>
                <w:szCs w:val="36"/>
                <w:rtl w:val="0"/>
              </w:rPr>
              <w:t xml:space="preserve">➡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arlow Condensed" w:cs="Barlow Condensed" w:eastAsia="Barlow Condensed" w:hAnsi="Barlow Condensed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Barlow Condensed" w:cs="Barlow Condensed" w:eastAsia="Barlow Condensed" w:hAnsi="Barlow Condensed"/>
                <w:b w:val="1"/>
                <w:sz w:val="36"/>
                <w:szCs w:val="36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The LLM </w:t>
            </w:r>
            <w:r w:rsidDel="00000000" w:rsidR="00000000" w:rsidRPr="00000000">
              <w:rPr>
                <w:b w:val="1"/>
                <w:shd w:fill="ffcd34" w:val="clear"/>
                <w:rtl w:val="0"/>
              </w:rPr>
              <w:t xml:space="preserve">decodes</w:t>
            </w:r>
            <w:r w:rsidDel="00000000" w:rsidR="00000000" w:rsidRPr="00000000">
              <w:rPr>
                <w:rtl w:val="0"/>
              </w:rPr>
              <w:t xml:space="preserve">, or “reads,” the prompt.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6"/>
                <w:szCs w:val="36"/>
                <w:rtl w:val="0"/>
              </w:rPr>
              <w:t xml:space="preserve">➡</w:t>
            </w:r>
          </w:p>
        </w:tc>
        <w:tc>
          <w:tcPr>
            <w:tcBorders>
              <w:top w:color="3dbed4" w:space="0" w:sz="12" w:val="single"/>
              <w:right w:color="3dbed4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arlow Condensed" w:cs="Barlow Condensed" w:eastAsia="Barlow Condensed" w:hAnsi="Barlow Condensed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Barlow Condensed" w:cs="Barlow Condensed" w:eastAsia="Barlow Condensed" w:hAnsi="Barlow Condensed"/>
                <w:b w:val="1"/>
                <w:sz w:val="36"/>
                <w:szCs w:val="36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The LLM puts together a response by making </w:t>
            </w:r>
            <w:r w:rsidDel="00000000" w:rsidR="00000000" w:rsidRPr="00000000">
              <w:rPr>
                <w:b w:val="1"/>
                <w:shd w:fill="ffcd34" w:val="clear"/>
                <w:rtl w:val="0"/>
              </w:rPr>
              <w:t xml:space="preserve">predictions</w:t>
            </w:r>
            <w:r w:rsidDel="00000000" w:rsidR="00000000" w:rsidRPr="00000000">
              <w:rPr>
                <w:rtl w:val="0"/>
              </w:rPr>
              <w:t xml:space="preserve"> based on its training data.</w:t>
            </w:r>
          </w:p>
        </w:tc>
      </w:tr>
    </w:tbl>
    <w:p w:rsidR="00000000" w:rsidDel="00000000" w:rsidP="00000000" w:rsidRDefault="00000000" w:rsidRPr="00000000" w14:paraId="00000019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>
          <w:rFonts w:ascii="Barlow Semi Condensed" w:cs="Barlow Semi Condensed" w:eastAsia="Barlow Semi Condensed" w:hAnsi="Barlow Semi Condensed"/>
          <w:b w:val="1"/>
        </w:rPr>
      </w:pPr>
      <w:bookmarkStart w:colFirst="0" w:colLast="0" w:name="_dchaxcyg27fj" w:id="3"/>
      <w:bookmarkEnd w:id="3"/>
      <w:r w:rsidDel="00000000" w:rsidR="00000000" w:rsidRPr="00000000">
        <w:rPr>
          <w:rFonts w:ascii="Barlow Semi Condensed" w:cs="Barlow Semi Condensed" w:eastAsia="Barlow Semi Condensed" w:hAnsi="Barlow Semi Condensed"/>
          <w:b w:val="1"/>
          <w:rtl w:val="0"/>
        </w:rPr>
        <w:t xml:space="preserve">Who is Paving the Way in the Generative AI Space?</w:t>
      </w:r>
    </w:p>
    <w:p w:rsidR="00000000" w:rsidDel="00000000" w:rsidP="00000000" w:rsidRDefault="00000000" w:rsidRPr="00000000" w14:paraId="0000001B">
      <w:pPr>
        <w:pStyle w:val="Heading3"/>
        <w:rPr>
          <w:rFonts w:ascii="Barlow Semi Condensed" w:cs="Barlow Semi Condensed" w:eastAsia="Barlow Semi Condensed" w:hAnsi="Barlow Semi Condensed"/>
        </w:rPr>
      </w:pPr>
      <w:bookmarkStart w:colFirst="0" w:colLast="0" w:name="_xemo9n3phl19" w:id="4"/>
      <w:bookmarkEnd w:id="4"/>
      <w:r w:rsidDel="00000000" w:rsidR="00000000" w:rsidRPr="00000000">
        <w:rPr>
          <w:rFonts w:ascii="Barlow Semi Condensed" w:cs="Barlow Semi Condensed" w:eastAsia="Barlow Semi Condensed" w:hAnsi="Barlow Semi Condensed"/>
          <w:b w:val="1"/>
          <w:rtl w:val="0"/>
        </w:rPr>
        <w:t xml:space="preserve">Proprietary</w:t>
      </w:r>
      <w:r w:rsidDel="00000000" w:rsidR="00000000" w:rsidRPr="00000000">
        <w:rPr>
          <w:rFonts w:ascii="Barlow Semi Condensed" w:cs="Barlow Semi Condensed" w:eastAsia="Barlow Semi Condensed" w:hAnsi="Barlow Semi Condensed"/>
          <w:rtl w:val="0"/>
        </w:rPr>
        <w:t xml:space="preserve"> Models: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735.0" w:type="dxa"/>
        <w:jc w:val="left"/>
        <w:tblLayout w:type="fixed"/>
        <w:tblLook w:val="0600"/>
      </w:tblPr>
      <w:tblGrid>
        <w:gridCol w:w="2850"/>
        <w:gridCol w:w="570"/>
        <w:gridCol w:w="2715"/>
        <w:gridCol w:w="495"/>
        <w:gridCol w:w="3105"/>
        <w:tblGridChange w:id="0">
          <w:tblGrid>
            <w:gridCol w:w="2850"/>
            <w:gridCol w:w="570"/>
            <w:gridCol w:w="2715"/>
            <w:gridCol w:w="495"/>
            <w:gridCol w:w="310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3dbed4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33463" cy="398738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33053" l="14772" r="14772" t="236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463" cy="3987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4888" cy="334963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888" cy="3349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dbed4" w:space="0" w:sz="12" w:val="single"/>
              <w:right w:color="3dbed4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76325" cy="230641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2306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3dbed4" w:space="0" w:sz="12" w:val="single"/>
              <w:bottom w:color="3dbed4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OpenAI’s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shd w:fill="ffcd34" w:val="clear"/>
                <w:rtl w:val="0"/>
              </w:rPr>
              <w:t xml:space="preserve">GPT-4 Turbo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was released in 2023, and is still the top performing model in the space.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Google is releasing </w:t>
            </w:r>
            <w:r w:rsidDel="00000000" w:rsidR="00000000" w:rsidRPr="00000000">
              <w:rPr>
                <w:b w:val="1"/>
                <w:sz w:val="20"/>
                <w:szCs w:val="20"/>
                <w:shd w:fill="ffcd34" w:val="clear"/>
                <w:rtl w:val="0"/>
              </w:rPr>
              <w:t xml:space="preserve">Gemini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and </w:t>
            </w:r>
            <w:r w:rsidDel="00000000" w:rsidR="00000000" w:rsidRPr="00000000">
              <w:rPr>
                <w:b w:val="1"/>
                <w:sz w:val="20"/>
                <w:szCs w:val="20"/>
                <w:shd w:fill="ffcd34" w:val="clear"/>
                <w:rtl w:val="0"/>
              </w:rPr>
              <w:t xml:space="preserve">Gemini Ultra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in 2024. They claim it is an upgrade to GPT-4.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3dbed4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shd w:fill="ffcd34" w:val="clear"/>
                <w:rtl w:val="0"/>
              </w:rPr>
              <w:t xml:space="preserve">Microsoft Copilot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was released at the end of 2023, and runs on OpenAI’s GPT-4 model. Microsoft also controls a seat on OpenAI’s board. </w:t>
            </w:r>
          </w:p>
        </w:tc>
      </w:tr>
    </w:tbl>
    <w:p w:rsidR="00000000" w:rsidDel="00000000" w:rsidP="00000000" w:rsidRDefault="00000000" w:rsidRPr="00000000" w14:paraId="00000029">
      <w:pPr>
        <w:pStyle w:val="Heading3"/>
        <w:rPr>
          <w:rFonts w:ascii="Barlow Semi Condensed" w:cs="Barlow Semi Condensed" w:eastAsia="Barlow Semi Condensed" w:hAnsi="Barlow Semi Condensed"/>
        </w:rPr>
      </w:pPr>
      <w:bookmarkStart w:colFirst="0" w:colLast="0" w:name="_eibsfg2feb" w:id="5"/>
      <w:bookmarkEnd w:id="5"/>
      <w:r w:rsidDel="00000000" w:rsidR="00000000" w:rsidRPr="00000000">
        <w:rPr>
          <w:rFonts w:ascii="Barlow Semi Condensed" w:cs="Barlow Semi Condensed" w:eastAsia="Barlow Semi Condensed" w:hAnsi="Barlow Semi Condensed"/>
          <w:b w:val="1"/>
          <w:rtl w:val="0"/>
        </w:rPr>
        <w:t xml:space="preserve">Open Source</w:t>
      </w:r>
      <w:r w:rsidDel="00000000" w:rsidR="00000000" w:rsidRPr="00000000">
        <w:rPr>
          <w:rFonts w:ascii="Barlow Semi Condensed" w:cs="Barlow Semi Condensed" w:eastAsia="Barlow Semi Condensed" w:hAnsi="Barlow Semi Condensed"/>
          <w:rtl w:val="0"/>
        </w:rPr>
        <w:t xml:space="preserve"> Models: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750.0" w:type="dxa"/>
        <w:jc w:val="left"/>
        <w:tblLayout w:type="fixed"/>
        <w:tblLook w:val="0600"/>
      </w:tblPr>
      <w:tblGrid>
        <w:gridCol w:w="2850"/>
        <w:gridCol w:w="570"/>
        <w:gridCol w:w="2715"/>
        <w:gridCol w:w="495"/>
        <w:gridCol w:w="3120"/>
        <w:tblGridChange w:id="0">
          <w:tblGrid>
            <w:gridCol w:w="2850"/>
            <w:gridCol w:w="570"/>
            <w:gridCol w:w="2715"/>
            <w:gridCol w:w="495"/>
            <w:gridCol w:w="3120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3dbed4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23963" cy="688479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963" cy="6884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38238" cy="627053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8238" cy="6270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dbed4" w:space="0" w:sz="12" w:val="single"/>
              <w:right w:color="3dbed4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23988" cy="557213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26264" l="13684" r="12631" t="62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988" cy="5572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3dbed4" w:space="0" w:sz="12" w:val="single"/>
              <w:bottom w:color="3dbed4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 addition to its emphasis on safety and responsible use, Meta’s </w:t>
            </w:r>
            <w:r w:rsidDel="00000000" w:rsidR="00000000" w:rsidRPr="00000000">
              <w:rPr>
                <w:b w:val="1"/>
                <w:sz w:val="20"/>
                <w:szCs w:val="20"/>
                <w:shd w:fill="ffcd34" w:val="clear"/>
                <w:rtl w:val="0"/>
              </w:rPr>
              <w:t xml:space="preserve">LLaMA 2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has outperformed many models on reasoning and coding benchmarks.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TII’s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shd w:fill="ffcd34" w:val="clear"/>
                <w:rtl w:val="0"/>
              </w:rPr>
              <w:t xml:space="preserve">Falcon LLM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is one of the largest open source models and has outperformed GPT-3 on various benchmarks.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3dbed4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BigScience’s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shd w:fill="ffcd34" w:val="clear"/>
                <w:rtl w:val="0"/>
              </w:rPr>
              <w:t xml:space="preserve">BLOOM LLM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is a collaborative, global effort. BLOOM is trained on 46 languages, making it possibly the most diverse model to date.</w:t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i w:val="1"/>
          <w:sz w:val="18"/>
          <w:szCs w:val="18"/>
          <w:rtl w:val="0"/>
        </w:rPr>
        <w:t xml:space="preserve">Source: </w:t>
      </w:r>
      <w:hyperlink r:id="rId14">
        <w:r w:rsidDel="00000000" w:rsidR="00000000" w:rsidRPr="00000000">
          <w:rPr>
            <w:i w:val="1"/>
            <w:color w:val="1155cc"/>
            <w:sz w:val="18"/>
            <w:szCs w:val="18"/>
            <w:u w:val="single"/>
            <w:rtl w:val="0"/>
          </w:rPr>
          <w:t xml:space="preserve">Creole Studios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>
          <w:rFonts w:ascii="Barlow Semi Condensed" w:cs="Barlow Semi Condensed" w:eastAsia="Barlow Semi Condensed" w:hAnsi="Barlow Semi Condensed"/>
          <w:b w:val="1"/>
        </w:rPr>
      </w:pPr>
      <w:bookmarkStart w:colFirst="0" w:colLast="0" w:name="_s2e1p0gf71gz" w:id="6"/>
      <w:bookmarkEnd w:id="6"/>
      <w:r w:rsidDel="00000000" w:rsidR="00000000" w:rsidRPr="00000000">
        <w:rPr>
          <w:rFonts w:ascii="Barlow Semi Condensed" w:cs="Barlow Semi Condensed" w:eastAsia="Barlow Semi Condensed" w:hAnsi="Barlow Semi Condensed"/>
          <w:b w:val="1"/>
          <w:rtl w:val="0"/>
        </w:rPr>
        <w:t xml:space="preserve">What Legislation is Impacting AI in 2024?</w:t>
      </w:r>
    </w:p>
    <w:p w:rsidR="00000000" w:rsidDel="00000000" w:rsidP="00000000" w:rsidRDefault="00000000" w:rsidRPr="00000000" w14:paraId="00000039">
      <w:pPr>
        <w:pStyle w:val="Heading3"/>
        <w:ind w:left="0" w:firstLine="0"/>
        <w:rPr>
          <w:rFonts w:ascii="Barlow Semi Condensed" w:cs="Barlow Semi Condensed" w:eastAsia="Barlow Semi Condensed" w:hAnsi="Barlow Semi Condensed"/>
          <w:b w:val="1"/>
        </w:rPr>
      </w:pPr>
      <w:bookmarkStart w:colFirst="0" w:colLast="0" w:name="_a2il38t3ko79" w:id="7"/>
      <w:bookmarkEnd w:id="7"/>
      <w:r w:rsidDel="00000000" w:rsidR="00000000" w:rsidRPr="00000000">
        <w:rPr>
          <w:rFonts w:ascii="Barlow Semi Condensed" w:cs="Barlow Semi Condensed" w:eastAsia="Barlow Semi Condensed" w:hAnsi="Barlow Semi Condensed"/>
          <w:rtl w:val="0"/>
        </w:rPr>
        <w:t xml:space="preserve">The European Union’s </w:t>
      </w:r>
      <w:r w:rsidDel="00000000" w:rsidR="00000000" w:rsidRPr="00000000">
        <w:rPr>
          <w:rFonts w:ascii="Barlow Semi Condensed" w:cs="Barlow Semi Condensed" w:eastAsia="Barlow Semi Condensed" w:hAnsi="Barlow Semi Condensed"/>
          <w:b w:val="1"/>
          <w:rtl w:val="0"/>
        </w:rPr>
        <w:t xml:space="preserve">AI Act: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Safeguards agreed on general purpose artificial intelligence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Limitation for the of use biometric identification systems by law enforcement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Bans on social scoring and AI used to manipulate or exploit user vulnerabilities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Right of consumers to launch complaints and receive meaningful explanations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Fines ranging from 35 million euro or 7% of global turnover to 7.5 million or 1.5% of turnover</w:t>
      </w:r>
    </w:p>
    <w:p w:rsidR="00000000" w:rsidDel="00000000" w:rsidP="00000000" w:rsidRDefault="00000000" w:rsidRPr="00000000" w14:paraId="0000003F">
      <w:pPr>
        <w:spacing w:after="200" w:lineRule="auto"/>
        <w:rPr/>
      </w:pPr>
      <w:r w:rsidDel="00000000" w:rsidR="00000000" w:rsidRPr="00000000">
        <w:rPr>
          <w:i w:val="1"/>
          <w:sz w:val="18"/>
          <w:szCs w:val="18"/>
          <w:rtl w:val="0"/>
        </w:rPr>
        <w:t xml:space="preserve">Source: </w:t>
      </w:r>
      <w:hyperlink r:id="rId15">
        <w:r w:rsidDel="00000000" w:rsidR="00000000" w:rsidRPr="00000000">
          <w:rPr>
            <w:i w:val="1"/>
            <w:color w:val="1155cc"/>
            <w:sz w:val="18"/>
            <w:szCs w:val="18"/>
            <w:u w:val="single"/>
            <w:rtl w:val="0"/>
          </w:rPr>
          <w:t xml:space="preserve">European Parliament, 2023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>
          <w:rFonts w:ascii="Barlow Semi Condensed" w:cs="Barlow Semi Condensed" w:eastAsia="Barlow Semi Condensed" w:hAnsi="Barlow Semi Condensed"/>
        </w:rPr>
      </w:pPr>
      <w:bookmarkStart w:colFirst="0" w:colLast="0" w:name="_5q4vc2yoj8xk" w:id="8"/>
      <w:bookmarkEnd w:id="8"/>
      <w:r w:rsidDel="00000000" w:rsidR="00000000" w:rsidRPr="00000000">
        <w:rPr>
          <w:rFonts w:ascii="Barlow Semi Condensed" w:cs="Barlow Semi Condensed" w:eastAsia="Barlow Semi Condensed" w:hAnsi="Barlow Semi Condensed"/>
          <w:b w:val="1"/>
          <w:rtl w:val="0"/>
        </w:rPr>
        <w:t xml:space="preserve">Copyright</w:t>
      </w:r>
      <w:r w:rsidDel="00000000" w:rsidR="00000000" w:rsidRPr="00000000">
        <w:rPr>
          <w:rFonts w:ascii="Barlow Semi Condensed" w:cs="Barlow Semi Condensed" w:eastAsia="Barlow Semi Condensed" w:hAnsi="Barlow Semi Condensed"/>
          <w:rtl w:val="0"/>
        </w:rPr>
        <w:t xml:space="preserve"> Issues Impacting the Space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200" w:lineRule="auto"/>
        <w:ind w:left="720" w:hanging="360"/>
      </w:pPr>
      <w:r w:rsidDel="00000000" w:rsidR="00000000" w:rsidRPr="00000000">
        <w:rPr>
          <w:rtl w:val="0"/>
        </w:rPr>
        <w:t xml:space="preserve">LLMs and AI Art Generation models have come under scrutiny for using content to train the models without the content creators’ permission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200" w:lineRule="auto"/>
        <w:ind w:left="720" w:hanging="360"/>
      </w:pPr>
      <w:r w:rsidDel="00000000" w:rsidR="00000000" w:rsidRPr="00000000">
        <w:rPr>
          <w:rtl w:val="0"/>
        </w:rPr>
        <w:t xml:space="preserve">Copyright laws are not yet equipped to handle the legality of using web content to train these AI models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200" w:lineRule="auto"/>
        <w:ind w:left="720" w:hanging="360"/>
      </w:pPr>
      <w:r w:rsidDel="00000000" w:rsidR="00000000" w:rsidRPr="00000000">
        <w:rPr>
          <w:rtl w:val="0"/>
        </w:rPr>
        <w:t xml:space="preserve">Several notable lawsuits have been filed against OpenAI, including from the New York Times and comedian Sarah Silverman </w:t>
      </w:r>
      <w:r w:rsidDel="00000000" w:rsidR="00000000" w:rsidRPr="00000000">
        <w:rPr>
          <w:rtl w:val="0"/>
        </w:rPr>
      </w:r>
    </w:p>
    <w:sectPr>
      <w:head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arlow Condense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arlow Semi Condense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rPr/>
    </w:pPr>
    <w:r w:rsidDel="00000000" w:rsidR="00000000" w:rsidRPr="00000000">
      <w:rPr>
        <w:rtl w:val="0"/>
      </w:rPr>
    </w:r>
  </w:p>
  <w:tbl>
    <w:tblPr>
      <w:tblStyle w:val="Table4"/>
      <w:tblW w:w="9360.0" w:type="dxa"/>
      <w:jc w:val="left"/>
      <w:tblLayout w:type="fixed"/>
      <w:tblLook w:val="0600"/>
    </w:tblPr>
    <w:tblGrid>
      <w:gridCol w:w="2205"/>
      <w:gridCol w:w="600"/>
      <w:gridCol w:w="6555"/>
      <w:tblGridChange w:id="0">
        <w:tblGrid>
          <w:gridCol w:w="2205"/>
          <w:gridCol w:w="600"/>
          <w:gridCol w:w="6555"/>
        </w:tblGrid>
      </w:tblGridChange>
    </w:tblGrid>
    <w:tr>
      <w:trPr>
        <w:cantSplit w:val="0"/>
        <w:tblHeader w:val="0"/>
      </w:trPr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45">
          <w:pPr>
            <w:spacing w:line="240" w:lineRule="auto"/>
            <w:rPr/>
          </w:pPr>
          <w:r w:rsidDel="00000000" w:rsidR="00000000" w:rsidRPr="00000000">
            <w:rPr/>
            <w:drawing>
              <wp:inline distB="114300" distT="114300" distL="114300" distR="114300">
                <wp:extent cx="1400175" cy="279400"/>
                <wp:effectExtent b="0" l="0" r="0" t="0"/>
                <wp:docPr id="6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"/>
                        <a:srcRect b="0" l="3167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0175" cy="279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b w:val="1"/>
              <w:sz w:val="34"/>
              <w:szCs w:val="34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4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roxima Nova" w:cs="Proxima Nova" w:eastAsia="Proxima Nova" w:hAnsi="Proxima Nova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www.europarl.europa.eu/news/en/press-room/20231206IPR15699/artificial-intelligence-act-deal-on-comprehensive-rules-for-trustworthy-ai" TargetMode="External"/><Relationship Id="rId14" Type="http://schemas.openxmlformats.org/officeDocument/2006/relationships/hyperlink" Target="https://www.creolestudios.com/top-5-open-source-llm/" TargetMode="Externa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hyperlink" Target="https://www.gartner.com/en/newsroom/press-releases/2023-08-16-gartner-places-generative-ai-on-the-peak-of-inflated-expectations-on-the-2023-hype-cycle-for-emerging-technologies#:~:text=Figure%201.%20Hype%20Cycle%20for%20Emerging%20Technologies%2C%202023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BarlowSemiCondensed-italic.ttf"/><Relationship Id="rId10" Type="http://schemas.openxmlformats.org/officeDocument/2006/relationships/font" Target="fonts/BarlowSemiCondensed-bold.ttf"/><Relationship Id="rId12" Type="http://schemas.openxmlformats.org/officeDocument/2006/relationships/font" Target="fonts/BarlowSemiCondensed-boldItalic.ttf"/><Relationship Id="rId9" Type="http://schemas.openxmlformats.org/officeDocument/2006/relationships/font" Target="fonts/BarlowSemiCondensed-regular.ttf"/><Relationship Id="rId5" Type="http://schemas.openxmlformats.org/officeDocument/2006/relationships/font" Target="fonts/BarlowCondensed-regular.ttf"/><Relationship Id="rId6" Type="http://schemas.openxmlformats.org/officeDocument/2006/relationships/font" Target="fonts/BarlowCondensed-bold.ttf"/><Relationship Id="rId7" Type="http://schemas.openxmlformats.org/officeDocument/2006/relationships/font" Target="fonts/BarlowCondensed-italic.ttf"/><Relationship Id="rId8" Type="http://schemas.openxmlformats.org/officeDocument/2006/relationships/font" Target="fonts/BarlowCondense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