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44B22" w14:textId="71AE5CBF" w:rsidR="001416E0" w:rsidRPr="000927E5" w:rsidRDefault="001416E0">
      <w:pPr>
        <w:rPr>
          <w:rFonts w:cstheme="minorHAnsi"/>
          <w:sz w:val="24"/>
          <w:szCs w:val="24"/>
        </w:rPr>
      </w:pPr>
      <w:r w:rsidRPr="000927E5">
        <w:rPr>
          <w:rFonts w:cstheme="minorHAnsi"/>
          <w:sz w:val="24"/>
          <w:szCs w:val="24"/>
        </w:rPr>
        <w:t>Matt Isaac</w:t>
      </w:r>
    </w:p>
    <w:p w14:paraId="406BCE89" w14:textId="7C5AEB2A" w:rsidR="007E7E0F" w:rsidRPr="000927E5" w:rsidRDefault="001416E0">
      <w:pPr>
        <w:rPr>
          <w:rFonts w:cstheme="minorHAnsi"/>
          <w:sz w:val="24"/>
          <w:szCs w:val="24"/>
        </w:rPr>
      </w:pPr>
      <w:r w:rsidRPr="000927E5">
        <w:rPr>
          <w:rFonts w:cstheme="minorHAnsi"/>
          <w:sz w:val="24"/>
          <w:szCs w:val="24"/>
        </w:rPr>
        <w:t>Data Analysis Summary</w:t>
      </w:r>
    </w:p>
    <w:p w14:paraId="1D373B83" w14:textId="7708DAD8" w:rsidR="001416E0" w:rsidRPr="000927E5" w:rsidRDefault="001416E0">
      <w:pPr>
        <w:rPr>
          <w:rFonts w:cstheme="minorHAnsi"/>
          <w:sz w:val="24"/>
          <w:szCs w:val="24"/>
        </w:rPr>
      </w:pPr>
      <w:r w:rsidRPr="000927E5">
        <w:rPr>
          <w:rFonts w:cstheme="minorHAnsi"/>
          <w:sz w:val="24"/>
          <w:szCs w:val="24"/>
        </w:rPr>
        <w:t>Honors Contract Completion</w:t>
      </w:r>
    </w:p>
    <w:p w14:paraId="29C080A3" w14:textId="398141B0" w:rsidR="001416E0" w:rsidRPr="000927E5" w:rsidRDefault="001416E0">
      <w:pPr>
        <w:rPr>
          <w:rFonts w:cstheme="minorHAnsi"/>
          <w:sz w:val="24"/>
          <w:szCs w:val="24"/>
        </w:rPr>
      </w:pPr>
      <w:r w:rsidRPr="000927E5">
        <w:rPr>
          <w:rFonts w:cstheme="minorHAnsi"/>
          <w:sz w:val="24"/>
          <w:szCs w:val="24"/>
        </w:rPr>
        <w:t>3/17/2018</w:t>
      </w:r>
    </w:p>
    <w:p w14:paraId="2EC1C0C0" w14:textId="4022C9E0" w:rsidR="001416E0" w:rsidRPr="000927E5" w:rsidRDefault="001416E0">
      <w:pPr>
        <w:rPr>
          <w:rFonts w:cstheme="minorHAnsi"/>
          <w:sz w:val="24"/>
          <w:szCs w:val="24"/>
        </w:rPr>
      </w:pPr>
    </w:p>
    <w:p w14:paraId="11A761AE" w14:textId="2049E371" w:rsidR="001416E0" w:rsidRPr="000927E5" w:rsidRDefault="001416E0" w:rsidP="001416E0">
      <w:pPr>
        <w:rPr>
          <w:rFonts w:cstheme="minorHAnsi"/>
          <w:sz w:val="24"/>
          <w:szCs w:val="24"/>
        </w:rPr>
      </w:pPr>
      <w:r w:rsidRPr="000927E5">
        <w:rPr>
          <w:rFonts w:cstheme="minorHAnsi"/>
          <w:sz w:val="24"/>
          <w:szCs w:val="24"/>
        </w:rPr>
        <w:tab/>
        <w:t>The survey that was given to students in the undergraduate statistics courses had a variety of items on it, including:</w:t>
      </w:r>
    </w:p>
    <w:p w14:paraId="4DA716E7" w14:textId="3890EFD2" w:rsidR="001416E0" w:rsidRPr="000927E5" w:rsidRDefault="001416E0" w:rsidP="001416E0">
      <w:pPr>
        <w:pStyle w:val="ListParagraph"/>
        <w:numPr>
          <w:ilvl w:val="0"/>
          <w:numId w:val="1"/>
        </w:numPr>
        <w:rPr>
          <w:rFonts w:cstheme="minorHAnsi"/>
          <w:sz w:val="24"/>
          <w:szCs w:val="24"/>
        </w:rPr>
      </w:pPr>
      <w:r w:rsidRPr="000927E5">
        <w:rPr>
          <w:rFonts w:cstheme="minorHAnsi"/>
          <w:sz w:val="24"/>
          <w:szCs w:val="24"/>
        </w:rPr>
        <w:t>General descriptive items including age, class rank, major, current employment status</w:t>
      </w:r>
    </w:p>
    <w:p w14:paraId="2B4D2820" w14:textId="5A018C66" w:rsidR="001416E0" w:rsidRPr="000927E5" w:rsidRDefault="001416E0" w:rsidP="001416E0">
      <w:pPr>
        <w:pStyle w:val="ListParagraph"/>
        <w:numPr>
          <w:ilvl w:val="0"/>
          <w:numId w:val="1"/>
        </w:numPr>
        <w:rPr>
          <w:rFonts w:cstheme="minorHAnsi"/>
          <w:sz w:val="24"/>
          <w:szCs w:val="24"/>
        </w:rPr>
      </w:pPr>
      <w:r w:rsidRPr="000927E5">
        <w:rPr>
          <w:rFonts w:cstheme="minorHAnsi"/>
          <w:sz w:val="24"/>
          <w:szCs w:val="24"/>
        </w:rPr>
        <w:t>Questions about previous mathematics and statistics experience</w:t>
      </w:r>
    </w:p>
    <w:p w14:paraId="087404D1" w14:textId="1C23C0C5" w:rsidR="001416E0" w:rsidRPr="000927E5" w:rsidRDefault="001416E0" w:rsidP="001416E0">
      <w:pPr>
        <w:pStyle w:val="ListParagraph"/>
        <w:numPr>
          <w:ilvl w:val="0"/>
          <w:numId w:val="1"/>
        </w:numPr>
        <w:rPr>
          <w:rFonts w:cstheme="minorHAnsi"/>
          <w:sz w:val="24"/>
          <w:szCs w:val="24"/>
        </w:rPr>
      </w:pPr>
      <w:r w:rsidRPr="000927E5">
        <w:rPr>
          <w:rFonts w:cstheme="minorHAnsi"/>
          <w:sz w:val="24"/>
          <w:szCs w:val="24"/>
        </w:rPr>
        <w:t>Statements about mindset</w:t>
      </w:r>
    </w:p>
    <w:p w14:paraId="22A7088E" w14:textId="23C73311" w:rsidR="001416E0" w:rsidRPr="000927E5" w:rsidRDefault="001416E0" w:rsidP="001416E0">
      <w:pPr>
        <w:pStyle w:val="ListParagraph"/>
        <w:numPr>
          <w:ilvl w:val="0"/>
          <w:numId w:val="1"/>
        </w:numPr>
        <w:rPr>
          <w:rFonts w:cstheme="minorHAnsi"/>
          <w:sz w:val="24"/>
          <w:szCs w:val="24"/>
        </w:rPr>
      </w:pPr>
      <w:r w:rsidRPr="000927E5">
        <w:rPr>
          <w:rFonts w:cstheme="minorHAnsi"/>
          <w:sz w:val="24"/>
          <w:szCs w:val="24"/>
        </w:rPr>
        <w:t>Statements about the participant's attitudes towards statistics</w:t>
      </w:r>
    </w:p>
    <w:p w14:paraId="42D598BC" w14:textId="2631A5B9" w:rsidR="000927E5" w:rsidRDefault="001416E0" w:rsidP="001416E0">
      <w:pPr>
        <w:rPr>
          <w:rFonts w:cstheme="minorHAnsi"/>
          <w:sz w:val="24"/>
          <w:szCs w:val="24"/>
        </w:rPr>
      </w:pPr>
      <w:r w:rsidRPr="000927E5">
        <w:rPr>
          <w:rFonts w:cstheme="minorHAnsi"/>
          <w:sz w:val="24"/>
          <w:szCs w:val="24"/>
        </w:rPr>
        <w:t>Students were asked to respond with how much they agreed or disagreed with the statements about mindset</w:t>
      </w:r>
      <w:r w:rsidR="000927E5" w:rsidRPr="000927E5">
        <w:rPr>
          <w:rFonts w:cstheme="minorHAnsi"/>
          <w:sz w:val="24"/>
          <w:szCs w:val="24"/>
        </w:rPr>
        <w:t xml:space="preserve"> (e.g. “You can always substantially change how much talent in statistics you have.”) and attitudes (e.g. “I have difficulty seeing how statistics relates to my field of study.”)</w:t>
      </w:r>
      <w:r w:rsidR="000927E5">
        <w:rPr>
          <w:rFonts w:cstheme="minorHAnsi"/>
          <w:sz w:val="24"/>
          <w:szCs w:val="24"/>
        </w:rPr>
        <w:t xml:space="preserve">. The mindset statements and attitude statements were grouped into </w:t>
      </w:r>
      <w:r w:rsidR="00CD1ED7">
        <w:rPr>
          <w:rFonts w:cstheme="minorHAnsi"/>
          <w:sz w:val="24"/>
          <w:szCs w:val="24"/>
        </w:rPr>
        <w:t>a total of four categories:</w:t>
      </w:r>
    </w:p>
    <w:p w14:paraId="59AF6420" w14:textId="5A0BE1A1" w:rsidR="00CD1ED7" w:rsidRDefault="00CD1ED7" w:rsidP="00CD1ED7">
      <w:pPr>
        <w:pStyle w:val="ListParagraph"/>
        <w:numPr>
          <w:ilvl w:val="0"/>
          <w:numId w:val="2"/>
        </w:numPr>
        <w:rPr>
          <w:rFonts w:cstheme="minorHAnsi"/>
          <w:sz w:val="24"/>
          <w:szCs w:val="24"/>
        </w:rPr>
      </w:pPr>
      <w:r>
        <w:rPr>
          <w:rFonts w:cstheme="minorHAnsi"/>
          <w:sz w:val="24"/>
          <w:szCs w:val="24"/>
        </w:rPr>
        <w:t xml:space="preserve">Mindset towards statistics </w:t>
      </w:r>
    </w:p>
    <w:p w14:paraId="14DBC125" w14:textId="1837A1AE" w:rsidR="00CD1ED7" w:rsidRDefault="00CD1ED7" w:rsidP="00CD1ED7">
      <w:pPr>
        <w:pStyle w:val="ListParagraph"/>
        <w:numPr>
          <w:ilvl w:val="0"/>
          <w:numId w:val="2"/>
        </w:numPr>
        <w:rPr>
          <w:rFonts w:cstheme="minorHAnsi"/>
          <w:sz w:val="24"/>
          <w:szCs w:val="24"/>
        </w:rPr>
      </w:pPr>
      <w:r>
        <w:rPr>
          <w:rFonts w:cstheme="minorHAnsi"/>
          <w:sz w:val="24"/>
          <w:szCs w:val="24"/>
        </w:rPr>
        <w:t>Mindset generally</w:t>
      </w:r>
    </w:p>
    <w:p w14:paraId="294259CB" w14:textId="3501E67D" w:rsidR="00CD1ED7" w:rsidRDefault="00CD1ED7" w:rsidP="00CD1ED7">
      <w:pPr>
        <w:pStyle w:val="ListParagraph"/>
        <w:numPr>
          <w:ilvl w:val="0"/>
          <w:numId w:val="2"/>
        </w:numPr>
        <w:rPr>
          <w:rFonts w:cstheme="minorHAnsi"/>
          <w:sz w:val="24"/>
          <w:szCs w:val="24"/>
        </w:rPr>
      </w:pPr>
      <w:r>
        <w:rPr>
          <w:rFonts w:cstheme="minorHAnsi"/>
          <w:sz w:val="24"/>
          <w:szCs w:val="24"/>
        </w:rPr>
        <w:t>Attitudes toward statistics (enjoyment/comfort with)</w:t>
      </w:r>
    </w:p>
    <w:p w14:paraId="24F40641" w14:textId="22BDE04C" w:rsidR="00CD1ED7" w:rsidRPr="00CD1ED7" w:rsidRDefault="00CD1ED7" w:rsidP="00CD1ED7">
      <w:pPr>
        <w:pStyle w:val="ListParagraph"/>
        <w:numPr>
          <w:ilvl w:val="0"/>
          <w:numId w:val="2"/>
        </w:numPr>
        <w:rPr>
          <w:rFonts w:cstheme="minorHAnsi"/>
          <w:sz w:val="24"/>
          <w:szCs w:val="24"/>
        </w:rPr>
      </w:pPr>
      <w:r>
        <w:rPr>
          <w:rFonts w:cstheme="minorHAnsi"/>
          <w:sz w:val="24"/>
          <w:szCs w:val="24"/>
        </w:rPr>
        <w:t>Attitudes toward statistics (perception of utility)</w:t>
      </w:r>
    </w:p>
    <w:p w14:paraId="0CD51A2A" w14:textId="718BE058" w:rsidR="000927E5" w:rsidRDefault="000927E5" w:rsidP="001416E0">
      <w:pPr>
        <w:rPr>
          <w:rFonts w:cstheme="minorHAnsi"/>
          <w:sz w:val="24"/>
          <w:szCs w:val="24"/>
        </w:rPr>
      </w:pPr>
      <w:r>
        <w:rPr>
          <w:rFonts w:cstheme="minorHAnsi"/>
          <w:sz w:val="24"/>
          <w:szCs w:val="24"/>
        </w:rPr>
        <w:t xml:space="preserve">Because this Likert-Score data was designed to measure </w:t>
      </w:r>
      <w:r w:rsidR="00CD1ED7">
        <w:rPr>
          <w:rFonts w:cstheme="minorHAnsi"/>
          <w:sz w:val="24"/>
          <w:szCs w:val="24"/>
        </w:rPr>
        <w:t xml:space="preserve">these four characteristics, composite scores were calculated for each of the above four categories. For the mindset scores, negative scores corresponded with negative mindsets, while positive scores corresponded with positive mindsets. </w:t>
      </w:r>
    </w:p>
    <w:p w14:paraId="1E2A8EC0" w14:textId="39E7EEBA" w:rsidR="001B28DC" w:rsidRDefault="001B28DC" w:rsidP="001416E0">
      <w:pPr>
        <w:rPr>
          <w:rFonts w:cstheme="minorHAnsi"/>
          <w:sz w:val="24"/>
          <w:szCs w:val="24"/>
        </w:rPr>
      </w:pPr>
      <w:r>
        <w:rPr>
          <w:rFonts w:cstheme="minorHAnsi"/>
          <w:sz w:val="24"/>
          <w:szCs w:val="24"/>
        </w:rPr>
        <w:t xml:space="preserve">One of the most shocking results was </w:t>
      </w:r>
      <w:proofErr w:type="gramStart"/>
      <w:r>
        <w:rPr>
          <w:rFonts w:cstheme="minorHAnsi"/>
          <w:sz w:val="24"/>
          <w:szCs w:val="24"/>
        </w:rPr>
        <w:t>the strong majority of</w:t>
      </w:r>
      <w:proofErr w:type="gramEnd"/>
      <w:r>
        <w:rPr>
          <w:rFonts w:cstheme="minorHAnsi"/>
          <w:sz w:val="24"/>
          <w:szCs w:val="24"/>
        </w:rPr>
        <w:t xml:space="preserve"> growth mindsets in the class. See table and boxplots below:</w:t>
      </w:r>
    </w:p>
    <w:tbl>
      <w:tblPr>
        <w:tblStyle w:val="TableGrid"/>
        <w:tblpPr w:leftFromText="180" w:rightFromText="180" w:vertAnchor="text" w:horzAnchor="margin" w:tblpXSpec="center" w:tblpY="235"/>
        <w:tblW w:w="0" w:type="auto"/>
        <w:tblLook w:val="04A0" w:firstRow="1" w:lastRow="0" w:firstColumn="1" w:lastColumn="0" w:noHBand="0" w:noVBand="1"/>
      </w:tblPr>
      <w:tblGrid>
        <w:gridCol w:w="1663"/>
        <w:gridCol w:w="1663"/>
        <w:gridCol w:w="1663"/>
      </w:tblGrid>
      <w:tr w:rsidR="001B28DC" w14:paraId="0BCAB483" w14:textId="77777777" w:rsidTr="00236E34">
        <w:trPr>
          <w:trHeight w:val="370"/>
        </w:trPr>
        <w:tc>
          <w:tcPr>
            <w:tcW w:w="1663" w:type="dxa"/>
          </w:tcPr>
          <w:p w14:paraId="00399280" w14:textId="77777777" w:rsidR="001B28DC" w:rsidRDefault="001B28DC" w:rsidP="00B87428">
            <w:pPr>
              <w:jc w:val="center"/>
              <w:rPr>
                <w:rFonts w:cstheme="minorHAnsi"/>
                <w:sz w:val="24"/>
                <w:szCs w:val="24"/>
              </w:rPr>
            </w:pPr>
          </w:p>
        </w:tc>
        <w:tc>
          <w:tcPr>
            <w:tcW w:w="3326" w:type="dxa"/>
            <w:gridSpan w:val="2"/>
          </w:tcPr>
          <w:p w14:paraId="4F04F227" w14:textId="028C6DC5" w:rsidR="001B28DC" w:rsidRDefault="001B28DC" w:rsidP="00B87428">
            <w:pPr>
              <w:jc w:val="center"/>
              <w:rPr>
                <w:rFonts w:cstheme="minorHAnsi"/>
                <w:sz w:val="24"/>
                <w:szCs w:val="24"/>
              </w:rPr>
            </w:pPr>
            <w:r>
              <w:rPr>
                <w:rFonts w:cstheme="minorHAnsi"/>
                <w:sz w:val="24"/>
                <w:szCs w:val="24"/>
              </w:rPr>
              <w:t>Mindset</w:t>
            </w:r>
          </w:p>
        </w:tc>
      </w:tr>
      <w:tr w:rsidR="001B28DC" w14:paraId="7C655F69" w14:textId="77777777" w:rsidTr="001B28DC">
        <w:trPr>
          <w:trHeight w:val="370"/>
        </w:trPr>
        <w:tc>
          <w:tcPr>
            <w:tcW w:w="1663" w:type="dxa"/>
          </w:tcPr>
          <w:p w14:paraId="6C23EE7A" w14:textId="77777777" w:rsidR="001B28DC" w:rsidRDefault="001B28DC" w:rsidP="00B87428">
            <w:pPr>
              <w:jc w:val="center"/>
              <w:rPr>
                <w:rFonts w:cstheme="minorHAnsi"/>
                <w:sz w:val="24"/>
                <w:szCs w:val="24"/>
              </w:rPr>
            </w:pPr>
            <w:r>
              <w:rPr>
                <w:rFonts w:cstheme="minorHAnsi"/>
                <w:sz w:val="24"/>
                <w:szCs w:val="24"/>
              </w:rPr>
              <w:t>Category</w:t>
            </w:r>
          </w:p>
        </w:tc>
        <w:tc>
          <w:tcPr>
            <w:tcW w:w="1663" w:type="dxa"/>
          </w:tcPr>
          <w:p w14:paraId="3980A798" w14:textId="125BC4F3" w:rsidR="001B28DC" w:rsidRDefault="001B28DC" w:rsidP="00B87428">
            <w:pPr>
              <w:jc w:val="center"/>
              <w:rPr>
                <w:rFonts w:cstheme="minorHAnsi"/>
                <w:sz w:val="24"/>
                <w:szCs w:val="24"/>
              </w:rPr>
            </w:pPr>
            <w:r>
              <w:rPr>
                <w:rFonts w:cstheme="minorHAnsi"/>
                <w:sz w:val="24"/>
                <w:szCs w:val="24"/>
              </w:rPr>
              <w:t>% Growth</w:t>
            </w:r>
          </w:p>
        </w:tc>
        <w:tc>
          <w:tcPr>
            <w:tcW w:w="1663" w:type="dxa"/>
          </w:tcPr>
          <w:p w14:paraId="17AA5401" w14:textId="1AE1ACF1" w:rsidR="001B28DC" w:rsidRDefault="001B28DC" w:rsidP="00B87428">
            <w:pPr>
              <w:jc w:val="center"/>
              <w:rPr>
                <w:rFonts w:cstheme="minorHAnsi"/>
                <w:sz w:val="24"/>
                <w:szCs w:val="24"/>
              </w:rPr>
            </w:pPr>
            <w:r>
              <w:rPr>
                <w:rFonts w:cstheme="minorHAnsi"/>
                <w:sz w:val="24"/>
                <w:szCs w:val="24"/>
              </w:rPr>
              <w:t>% Fixed</w:t>
            </w:r>
          </w:p>
        </w:tc>
      </w:tr>
      <w:tr w:rsidR="001B28DC" w14:paraId="3FAF80DD" w14:textId="77777777" w:rsidTr="001B28DC">
        <w:trPr>
          <w:trHeight w:val="370"/>
        </w:trPr>
        <w:tc>
          <w:tcPr>
            <w:tcW w:w="1663" w:type="dxa"/>
          </w:tcPr>
          <w:p w14:paraId="580A300F" w14:textId="77777777" w:rsidR="001B28DC" w:rsidRDefault="001B28DC" w:rsidP="00B87428">
            <w:pPr>
              <w:jc w:val="center"/>
              <w:rPr>
                <w:rFonts w:cstheme="minorHAnsi"/>
                <w:sz w:val="24"/>
                <w:szCs w:val="24"/>
              </w:rPr>
            </w:pPr>
            <w:r>
              <w:rPr>
                <w:rFonts w:cstheme="minorHAnsi"/>
                <w:sz w:val="24"/>
                <w:szCs w:val="24"/>
              </w:rPr>
              <w:t>Statistical Mindset</w:t>
            </w:r>
          </w:p>
        </w:tc>
        <w:tc>
          <w:tcPr>
            <w:tcW w:w="1663" w:type="dxa"/>
          </w:tcPr>
          <w:p w14:paraId="19E2A577" w14:textId="77777777" w:rsidR="001B28DC" w:rsidRDefault="001B28DC" w:rsidP="00B87428">
            <w:pPr>
              <w:jc w:val="center"/>
              <w:rPr>
                <w:rFonts w:cstheme="minorHAnsi"/>
                <w:sz w:val="24"/>
                <w:szCs w:val="24"/>
              </w:rPr>
            </w:pPr>
            <w:r>
              <w:rPr>
                <w:rFonts w:cstheme="minorHAnsi"/>
                <w:sz w:val="24"/>
                <w:szCs w:val="24"/>
              </w:rPr>
              <w:t>95</w:t>
            </w:r>
          </w:p>
        </w:tc>
        <w:tc>
          <w:tcPr>
            <w:tcW w:w="1663" w:type="dxa"/>
          </w:tcPr>
          <w:p w14:paraId="26F27CEE" w14:textId="77777777" w:rsidR="001B28DC" w:rsidRDefault="001B28DC" w:rsidP="00B87428">
            <w:pPr>
              <w:jc w:val="center"/>
              <w:rPr>
                <w:rFonts w:cstheme="minorHAnsi"/>
                <w:sz w:val="24"/>
                <w:szCs w:val="24"/>
              </w:rPr>
            </w:pPr>
            <w:r>
              <w:rPr>
                <w:rFonts w:cstheme="minorHAnsi"/>
                <w:sz w:val="24"/>
                <w:szCs w:val="24"/>
              </w:rPr>
              <w:t>5</w:t>
            </w:r>
          </w:p>
        </w:tc>
      </w:tr>
      <w:tr w:rsidR="001B28DC" w14:paraId="546ACA8C" w14:textId="77777777" w:rsidTr="001B28DC">
        <w:trPr>
          <w:trHeight w:val="370"/>
        </w:trPr>
        <w:tc>
          <w:tcPr>
            <w:tcW w:w="1663" w:type="dxa"/>
          </w:tcPr>
          <w:p w14:paraId="4AEF8649" w14:textId="77777777" w:rsidR="001B28DC" w:rsidRDefault="001B28DC" w:rsidP="00B87428">
            <w:pPr>
              <w:jc w:val="center"/>
              <w:rPr>
                <w:rFonts w:cstheme="minorHAnsi"/>
                <w:sz w:val="24"/>
                <w:szCs w:val="24"/>
              </w:rPr>
            </w:pPr>
            <w:r>
              <w:rPr>
                <w:rFonts w:cstheme="minorHAnsi"/>
                <w:sz w:val="24"/>
                <w:szCs w:val="24"/>
              </w:rPr>
              <w:t>General Mindset</w:t>
            </w:r>
          </w:p>
        </w:tc>
        <w:tc>
          <w:tcPr>
            <w:tcW w:w="1663" w:type="dxa"/>
          </w:tcPr>
          <w:p w14:paraId="61FF7CDA" w14:textId="77777777" w:rsidR="001B28DC" w:rsidRDefault="001B28DC" w:rsidP="00B87428">
            <w:pPr>
              <w:jc w:val="center"/>
              <w:rPr>
                <w:rFonts w:cstheme="minorHAnsi"/>
                <w:sz w:val="24"/>
                <w:szCs w:val="24"/>
              </w:rPr>
            </w:pPr>
            <w:r>
              <w:rPr>
                <w:rFonts w:cstheme="minorHAnsi"/>
                <w:sz w:val="24"/>
                <w:szCs w:val="24"/>
              </w:rPr>
              <w:t>94</w:t>
            </w:r>
          </w:p>
        </w:tc>
        <w:tc>
          <w:tcPr>
            <w:tcW w:w="1663" w:type="dxa"/>
          </w:tcPr>
          <w:p w14:paraId="2165AB56" w14:textId="77777777" w:rsidR="001B28DC" w:rsidRDefault="001B28DC" w:rsidP="00B87428">
            <w:pPr>
              <w:jc w:val="center"/>
              <w:rPr>
                <w:rFonts w:cstheme="minorHAnsi"/>
                <w:sz w:val="24"/>
                <w:szCs w:val="24"/>
              </w:rPr>
            </w:pPr>
            <w:r>
              <w:rPr>
                <w:rFonts w:cstheme="minorHAnsi"/>
                <w:sz w:val="24"/>
                <w:szCs w:val="24"/>
              </w:rPr>
              <w:t>6</w:t>
            </w:r>
          </w:p>
        </w:tc>
      </w:tr>
    </w:tbl>
    <w:p w14:paraId="6F7E33DF" w14:textId="5798F091" w:rsidR="001B28DC" w:rsidRDefault="001B28DC" w:rsidP="001416E0">
      <w:pPr>
        <w:rPr>
          <w:rFonts w:cstheme="minorHAnsi"/>
          <w:sz w:val="24"/>
          <w:szCs w:val="24"/>
        </w:rPr>
      </w:pPr>
    </w:p>
    <w:p w14:paraId="2151BC93" w14:textId="77777777" w:rsidR="001B28DC" w:rsidRPr="000927E5" w:rsidRDefault="001B28DC" w:rsidP="001416E0">
      <w:pPr>
        <w:rPr>
          <w:rFonts w:cstheme="minorHAnsi"/>
          <w:sz w:val="24"/>
          <w:szCs w:val="24"/>
        </w:rPr>
      </w:pPr>
    </w:p>
    <w:p w14:paraId="24327E44" w14:textId="5EB45A5D" w:rsidR="001416E0" w:rsidRDefault="001416E0">
      <w:pPr>
        <w:rPr>
          <w:rFonts w:cstheme="minorHAnsi"/>
          <w:sz w:val="24"/>
          <w:szCs w:val="24"/>
        </w:rPr>
      </w:pPr>
    </w:p>
    <w:p w14:paraId="47FB8032" w14:textId="1671D2E9" w:rsidR="001B28DC" w:rsidRDefault="001B28DC">
      <w:pPr>
        <w:rPr>
          <w:rFonts w:cstheme="minorHAnsi"/>
          <w:sz w:val="24"/>
          <w:szCs w:val="24"/>
        </w:rPr>
      </w:pPr>
    </w:p>
    <w:p w14:paraId="27B4F8D5" w14:textId="11BE35EE" w:rsidR="001B28DC" w:rsidRDefault="001B28DC">
      <w:pPr>
        <w:rPr>
          <w:rFonts w:cstheme="minorHAnsi"/>
          <w:sz w:val="24"/>
          <w:szCs w:val="24"/>
        </w:rPr>
      </w:pPr>
    </w:p>
    <w:p w14:paraId="4927B591" w14:textId="136D47CE" w:rsidR="001B28DC" w:rsidRDefault="001B28DC">
      <w:pPr>
        <w:rPr>
          <w:rFonts w:cstheme="minorHAnsi"/>
          <w:sz w:val="24"/>
          <w:szCs w:val="24"/>
        </w:rPr>
      </w:pPr>
    </w:p>
    <w:p w14:paraId="6268724A" w14:textId="5BF57386" w:rsidR="001B28DC" w:rsidRDefault="001B28DC">
      <w:pPr>
        <w:rPr>
          <w:rFonts w:cstheme="minorHAnsi"/>
          <w:sz w:val="24"/>
          <w:szCs w:val="24"/>
        </w:rPr>
      </w:pPr>
    </w:p>
    <w:p w14:paraId="725DB212" w14:textId="7AABE74D" w:rsidR="001B28DC" w:rsidRDefault="001B28DC">
      <w:pPr>
        <w:rPr>
          <w:rFonts w:cstheme="minorHAnsi"/>
          <w:sz w:val="24"/>
          <w:szCs w:val="24"/>
        </w:rPr>
      </w:pPr>
      <w:r>
        <w:rPr>
          <w:noProof/>
        </w:rPr>
        <w:lastRenderedPageBreak/>
        <w:drawing>
          <wp:inline distT="0" distB="0" distL="0" distR="0" wp14:anchorId="2FD58164" wp14:editId="42DFD4FD">
            <wp:extent cx="5943600" cy="3785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85235"/>
                    </a:xfrm>
                    <a:prstGeom prst="rect">
                      <a:avLst/>
                    </a:prstGeom>
                  </pic:spPr>
                </pic:pic>
              </a:graphicData>
            </a:graphic>
          </wp:inline>
        </w:drawing>
      </w:r>
    </w:p>
    <w:p w14:paraId="6BB4EDD4" w14:textId="1714D96D" w:rsidR="001B28DC" w:rsidRDefault="001B28DC">
      <w:pPr>
        <w:rPr>
          <w:rFonts w:cstheme="minorHAnsi"/>
          <w:sz w:val="24"/>
          <w:szCs w:val="24"/>
        </w:rPr>
      </w:pPr>
    </w:p>
    <w:p w14:paraId="3C17CBBF" w14:textId="6401566B" w:rsidR="0022380B" w:rsidRDefault="0022380B">
      <w:pPr>
        <w:rPr>
          <w:rFonts w:cstheme="minorHAnsi"/>
          <w:sz w:val="24"/>
          <w:szCs w:val="24"/>
        </w:rPr>
      </w:pPr>
      <w:r>
        <w:rPr>
          <w:rFonts w:cstheme="minorHAnsi"/>
          <w:sz w:val="24"/>
          <w:szCs w:val="24"/>
        </w:rPr>
        <w:t xml:space="preserve">I performed inference to determine whether there was a significant difference in mean final course score between the growth and fixed mindset groups. A Wilcoxon Rank-Sum (non-parametric) test was used because the data did not meet the necessary assumptions for a parametric test. </w:t>
      </w:r>
    </w:p>
    <w:p w14:paraId="15E5E45F" w14:textId="5045D142" w:rsidR="001B28DC" w:rsidRDefault="0022380B" w:rsidP="0022380B">
      <w:pPr>
        <w:rPr>
          <w:rFonts w:cstheme="minorHAnsi"/>
          <w:sz w:val="24"/>
          <w:szCs w:val="24"/>
        </w:rPr>
      </w:pPr>
      <w:r>
        <w:rPr>
          <w:rFonts w:cstheme="minorHAnsi"/>
          <w:sz w:val="24"/>
          <w:szCs w:val="24"/>
        </w:rPr>
        <w:t>For both the General Mindset category and the Statistics Mindset category, the test revealed that there is a significant difference between the final course scores of students in the growth mindset group and the fixed mindset group (p &lt; 0.0001</w:t>
      </w:r>
      <w:r w:rsidR="00907748">
        <w:rPr>
          <w:rFonts w:cstheme="minorHAnsi"/>
          <w:sz w:val="24"/>
          <w:szCs w:val="24"/>
        </w:rPr>
        <w:t xml:space="preserve"> for both tests</w:t>
      </w:r>
      <w:r>
        <w:rPr>
          <w:rFonts w:cstheme="minorHAnsi"/>
          <w:sz w:val="24"/>
          <w:szCs w:val="24"/>
        </w:rPr>
        <w:t xml:space="preserve">). </w:t>
      </w:r>
    </w:p>
    <w:p w14:paraId="2179B695" w14:textId="13809EAD" w:rsidR="00907748" w:rsidRDefault="00907748" w:rsidP="0022380B">
      <w:pPr>
        <w:rPr>
          <w:rFonts w:cstheme="minorHAnsi"/>
          <w:sz w:val="24"/>
          <w:szCs w:val="24"/>
        </w:rPr>
      </w:pPr>
      <w:r>
        <w:rPr>
          <w:rFonts w:cstheme="minorHAnsi"/>
          <w:sz w:val="24"/>
          <w:szCs w:val="24"/>
        </w:rPr>
        <w:t xml:space="preserve">Below is a graphical representation of the difference between grade distributions for the students with a growth mindset and a fixed mindset. </w:t>
      </w:r>
    </w:p>
    <w:p w14:paraId="0387CEE0" w14:textId="77777777" w:rsidR="00B23D86" w:rsidRDefault="00907748" w:rsidP="0022380B">
      <w:pPr>
        <w:rPr>
          <w:rFonts w:cstheme="minorHAnsi"/>
          <w:sz w:val="24"/>
          <w:szCs w:val="24"/>
        </w:rPr>
      </w:pPr>
      <w:r>
        <w:rPr>
          <w:rFonts w:cstheme="minorHAnsi"/>
          <w:sz w:val="24"/>
          <w:szCs w:val="24"/>
        </w:rPr>
        <w:t>Although the tests came back significant</w:t>
      </w:r>
      <w:r w:rsidR="00B23D86">
        <w:rPr>
          <w:rFonts w:cstheme="minorHAnsi"/>
          <w:sz w:val="24"/>
          <w:szCs w:val="24"/>
        </w:rPr>
        <w:t xml:space="preserve"> statistically, there does not seem to be much of a difference in context of our data. The confidence intervals for the true location shift between the growth and fixed mindset groups for the General Mindset and Statistics Mindset groups respectively are </w:t>
      </w:r>
      <w:proofErr w:type="gramStart"/>
      <w:r w:rsidR="00B23D86">
        <w:rPr>
          <w:rFonts w:cstheme="minorHAnsi"/>
          <w:sz w:val="24"/>
          <w:szCs w:val="24"/>
        </w:rPr>
        <w:t>( 1.7</w:t>
      </w:r>
      <w:proofErr w:type="gramEnd"/>
      <w:r w:rsidR="00B23D86">
        <w:rPr>
          <w:rFonts w:cstheme="minorHAnsi"/>
          <w:sz w:val="24"/>
          <w:szCs w:val="24"/>
        </w:rPr>
        <w:t xml:space="preserve">, 2.1) and (1.4, 1.9 ). This means that the shifts between the growth and fixed mindset groups are between about 1.5 and 2 grade percentage points. From the view of a teacher, a difference of 2 percent in a grade is not particularly meaningful. </w:t>
      </w:r>
    </w:p>
    <w:p w14:paraId="1618345C" w14:textId="77777777" w:rsidR="00B23D86" w:rsidRDefault="00B23D86" w:rsidP="0022380B">
      <w:pPr>
        <w:rPr>
          <w:rFonts w:cstheme="minorHAnsi"/>
          <w:sz w:val="24"/>
          <w:szCs w:val="24"/>
        </w:rPr>
      </w:pPr>
    </w:p>
    <w:p w14:paraId="5182AFF4" w14:textId="0C182A37" w:rsidR="00907748" w:rsidRDefault="00B23D86" w:rsidP="0022380B">
      <w:pPr>
        <w:rPr>
          <w:rFonts w:cstheme="minorHAnsi"/>
          <w:sz w:val="24"/>
          <w:szCs w:val="24"/>
        </w:rPr>
      </w:pPr>
      <w:r>
        <w:rPr>
          <w:rFonts w:cstheme="minorHAnsi"/>
          <w:sz w:val="24"/>
          <w:szCs w:val="24"/>
        </w:rPr>
        <w:t xml:space="preserve"> </w:t>
      </w:r>
    </w:p>
    <w:p w14:paraId="2A556A69" w14:textId="4F6203D3" w:rsidR="00907748" w:rsidRDefault="00907748" w:rsidP="0022380B">
      <w:pPr>
        <w:rPr>
          <w:rFonts w:cstheme="minorHAnsi"/>
          <w:sz w:val="24"/>
          <w:szCs w:val="24"/>
        </w:rPr>
      </w:pPr>
      <w:r>
        <w:rPr>
          <w:noProof/>
        </w:rPr>
        <w:lastRenderedPageBreak/>
        <w:drawing>
          <wp:anchor distT="0" distB="0" distL="114300" distR="114300" simplePos="0" relativeHeight="251659264" behindDoc="0" locked="0" layoutInCell="1" allowOverlap="1" wp14:anchorId="6CCD8661" wp14:editId="6E783F19">
            <wp:simplePos x="0" y="0"/>
            <wp:positionH relativeFrom="margin">
              <wp:align>center</wp:align>
            </wp:positionH>
            <wp:positionV relativeFrom="paragraph">
              <wp:posOffset>3990340</wp:posOffset>
            </wp:positionV>
            <wp:extent cx="4972050" cy="42284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72050" cy="4228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02E0E0C" wp14:editId="3EBDAD37">
            <wp:simplePos x="0" y="0"/>
            <wp:positionH relativeFrom="margin">
              <wp:align>center</wp:align>
            </wp:positionH>
            <wp:positionV relativeFrom="paragraph">
              <wp:posOffset>0</wp:posOffset>
            </wp:positionV>
            <wp:extent cx="4676775" cy="3977005"/>
            <wp:effectExtent l="0" t="0" r="952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76775" cy="3977005"/>
                    </a:xfrm>
                    <a:prstGeom prst="rect">
                      <a:avLst/>
                    </a:prstGeom>
                  </pic:spPr>
                </pic:pic>
              </a:graphicData>
            </a:graphic>
            <wp14:sizeRelH relativeFrom="margin">
              <wp14:pctWidth>0</wp14:pctWidth>
            </wp14:sizeRelH>
            <wp14:sizeRelV relativeFrom="margin">
              <wp14:pctHeight>0</wp14:pctHeight>
            </wp14:sizeRelV>
          </wp:anchor>
        </w:drawing>
      </w:r>
    </w:p>
    <w:p w14:paraId="7E399D80" w14:textId="688FF3E7" w:rsidR="00B23D86" w:rsidRDefault="00B23D86" w:rsidP="0022380B">
      <w:pPr>
        <w:rPr>
          <w:rFonts w:cstheme="minorHAnsi"/>
          <w:sz w:val="24"/>
          <w:szCs w:val="24"/>
        </w:rPr>
      </w:pPr>
      <w:r>
        <w:rPr>
          <w:rFonts w:cstheme="minorHAnsi"/>
          <w:sz w:val="24"/>
          <w:szCs w:val="24"/>
        </w:rPr>
        <w:lastRenderedPageBreak/>
        <w:t>A similar analysis was performed for the Attitude scores.</w:t>
      </w:r>
    </w:p>
    <w:tbl>
      <w:tblPr>
        <w:tblStyle w:val="TableGrid"/>
        <w:tblW w:w="0" w:type="auto"/>
        <w:tblInd w:w="1630" w:type="dxa"/>
        <w:tblLook w:val="04A0" w:firstRow="1" w:lastRow="0" w:firstColumn="1" w:lastColumn="0" w:noHBand="0" w:noVBand="1"/>
      </w:tblPr>
      <w:tblGrid>
        <w:gridCol w:w="2290"/>
        <w:gridCol w:w="1373"/>
        <w:gridCol w:w="1373"/>
        <w:gridCol w:w="1376"/>
      </w:tblGrid>
      <w:tr w:rsidR="00B87428" w14:paraId="0DFC0E80" w14:textId="77777777" w:rsidTr="00B87428">
        <w:trPr>
          <w:trHeight w:val="601"/>
        </w:trPr>
        <w:tc>
          <w:tcPr>
            <w:tcW w:w="2290" w:type="dxa"/>
          </w:tcPr>
          <w:p w14:paraId="668A6C96" w14:textId="77777777" w:rsidR="00B87428" w:rsidRDefault="00B87428" w:rsidP="00B87428">
            <w:pPr>
              <w:jc w:val="center"/>
              <w:rPr>
                <w:rFonts w:cstheme="minorHAnsi"/>
                <w:sz w:val="24"/>
                <w:szCs w:val="24"/>
              </w:rPr>
            </w:pPr>
          </w:p>
        </w:tc>
        <w:tc>
          <w:tcPr>
            <w:tcW w:w="4122" w:type="dxa"/>
            <w:gridSpan w:val="3"/>
          </w:tcPr>
          <w:p w14:paraId="08144DDF" w14:textId="080BDA89" w:rsidR="00B87428" w:rsidRDefault="00B87428" w:rsidP="00B87428">
            <w:pPr>
              <w:jc w:val="center"/>
              <w:rPr>
                <w:rFonts w:cstheme="minorHAnsi"/>
                <w:sz w:val="24"/>
                <w:szCs w:val="24"/>
              </w:rPr>
            </w:pPr>
            <w:r>
              <w:rPr>
                <w:rFonts w:cstheme="minorHAnsi"/>
                <w:sz w:val="24"/>
                <w:szCs w:val="24"/>
              </w:rPr>
              <w:t>Attitude</w:t>
            </w:r>
          </w:p>
        </w:tc>
      </w:tr>
      <w:tr w:rsidR="00B23D86" w14:paraId="350422F5" w14:textId="77777777" w:rsidTr="00B87428">
        <w:trPr>
          <w:trHeight w:val="601"/>
        </w:trPr>
        <w:tc>
          <w:tcPr>
            <w:tcW w:w="2290" w:type="dxa"/>
          </w:tcPr>
          <w:p w14:paraId="19C4F79B" w14:textId="75A23092" w:rsidR="00B23D86" w:rsidRDefault="00B87428" w:rsidP="00B87428">
            <w:pPr>
              <w:jc w:val="center"/>
              <w:rPr>
                <w:rFonts w:cstheme="minorHAnsi"/>
                <w:sz w:val="24"/>
                <w:szCs w:val="24"/>
              </w:rPr>
            </w:pPr>
            <w:r>
              <w:rPr>
                <w:rFonts w:cstheme="minorHAnsi"/>
                <w:sz w:val="24"/>
                <w:szCs w:val="24"/>
              </w:rPr>
              <w:t>Category</w:t>
            </w:r>
          </w:p>
        </w:tc>
        <w:tc>
          <w:tcPr>
            <w:tcW w:w="1373" w:type="dxa"/>
          </w:tcPr>
          <w:p w14:paraId="345BA424" w14:textId="16825083" w:rsidR="00B23D86" w:rsidRDefault="00B87428" w:rsidP="00B87428">
            <w:pPr>
              <w:jc w:val="center"/>
              <w:rPr>
                <w:rFonts w:cstheme="minorHAnsi"/>
                <w:sz w:val="24"/>
                <w:szCs w:val="24"/>
              </w:rPr>
            </w:pPr>
            <w:r>
              <w:rPr>
                <w:rFonts w:cstheme="minorHAnsi"/>
                <w:sz w:val="24"/>
                <w:szCs w:val="24"/>
              </w:rPr>
              <w:t>% Positive</w:t>
            </w:r>
          </w:p>
        </w:tc>
        <w:tc>
          <w:tcPr>
            <w:tcW w:w="1373" w:type="dxa"/>
          </w:tcPr>
          <w:p w14:paraId="3AB4C0B6" w14:textId="5525FF54" w:rsidR="00B23D86" w:rsidRDefault="00B87428" w:rsidP="00B87428">
            <w:pPr>
              <w:jc w:val="center"/>
              <w:rPr>
                <w:rFonts w:cstheme="minorHAnsi"/>
                <w:sz w:val="24"/>
                <w:szCs w:val="24"/>
              </w:rPr>
            </w:pPr>
            <w:r>
              <w:rPr>
                <w:rFonts w:cstheme="minorHAnsi"/>
                <w:sz w:val="24"/>
                <w:szCs w:val="24"/>
              </w:rPr>
              <w:t>% Negative</w:t>
            </w:r>
          </w:p>
        </w:tc>
        <w:tc>
          <w:tcPr>
            <w:tcW w:w="1375" w:type="dxa"/>
          </w:tcPr>
          <w:p w14:paraId="4351D278" w14:textId="63A01543" w:rsidR="00B23D86" w:rsidRDefault="00B87428" w:rsidP="00B87428">
            <w:pPr>
              <w:jc w:val="center"/>
              <w:rPr>
                <w:rFonts w:cstheme="minorHAnsi"/>
                <w:sz w:val="24"/>
                <w:szCs w:val="24"/>
              </w:rPr>
            </w:pPr>
            <w:r>
              <w:rPr>
                <w:rFonts w:cstheme="minorHAnsi"/>
                <w:sz w:val="24"/>
                <w:szCs w:val="24"/>
              </w:rPr>
              <w:t>% Neutral</w:t>
            </w:r>
          </w:p>
        </w:tc>
      </w:tr>
      <w:tr w:rsidR="00B23D86" w14:paraId="507ADB5E" w14:textId="77777777" w:rsidTr="00B87428">
        <w:trPr>
          <w:trHeight w:val="633"/>
        </w:trPr>
        <w:tc>
          <w:tcPr>
            <w:tcW w:w="2290" w:type="dxa"/>
          </w:tcPr>
          <w:p w14:paraId="7ABDD0EA" w14:textId="39E44B59" w:rsidR="00B23D86" w:rsidRDefault="00B87428" w:rsidP="00B87428">
            <w:pPr>
              <w:jc w:val="center"/>
              <w:rPr>
                <w:rFonts w:cstheme="minorHAnsi"/>
                <w:sz w:val="24"/>
                <w:szCs w:val="24"/>
              </w:rPr>
            </w:pPr>
            <w:r>
              <w:rPr>
                <w:rFonts w:cstheme="minorHAnsi"/>
                <w:sz w:val="24"/>
                <w:szCs w:val="24"/>
              </w:rPr>
              <w:t>Enjoyment/Comfort</w:t>
            </w:r>
          </w:p>
        </w:tc>
        <w:tc>
          <w:tcPr>
            <w:tcW w:w="1373" w:type="dxa"/>
          </w:tcPr>
          <w:p w14:paraId="5F049EE3" w14:textId="42632E98" w:rsidR="00B23D86" w:rsidRDefault="00B87428" w:rsidP="00B87428">
            <w:pPr>
              <w:jc w:val="center"/>
              <w:rPr>
                <w:rFonts w:cstheme="minorHAnsi"/>
                <w:sz w:val="24"/>
                <w:szCs w:val="24"/>
              </w:rPr>
            </w:pPr>
            <w:r>
              <w:rPr>
                <w:rFonts w:cstheme="minorHAnsi"/>
                <w:sz w:val="24"/>
                <w:szCs w:val="24"/>
              </w:rPr>
              <w:t>64</w:t>
            </w:r>
          </w:p>
        </w:tc>
        <w:tc>
          <w:tcPr>
            <w:tcW w:w="1373" w:type="dxa"/>
          </w:tcPr>
          <w:p w14:paraId="4F504A4C" w14:textId="6A24C5A5" w:rsidR="00B23D86" w:rsidRDefault="00B87428" w:rsidP="00B87428">
            <w:pPr>
              <w:jc w:val="center"/>
              <w:rPr>
                <w:rFonts w:cstheme="minorHAnsi"/>
                <w:sz w:val="24"/>
                <w:szCs w:val="24"/>
              </w:rPr>
            </w:pPr>
            <w:r>
              <w:rPr>
                <w:rFonts w:cstheme="minorHAnsi"/>
                <w:sz w:val="24"/>
                <w:szCs w:val="24"/>
              </w:rPr>
              <w:t>30</w:t>
            </w:r>
          </w:p>
        </w:tc>
        <w:tc>
          <w:tcPr>
            <w:tcW w:w="1375" w:type="dxa"/>
          </w:tcPr>
          <w:p w14:paraId="563F2BA9" w14:textId="1FBF43BA" w:rsidR="00B23D86" w:rsidRDefault="00B87428" w:rsidP="00B87428">
            <w:pPr>
              <w:jc w:val="center"/>
              <w:rPr>
                <w:rFonts w:cstheme="minorHAnsi"/>
                <w:sz w:val="24"/>
                <w:szCs w:val="24"/>
              </w:rPr>
            </w:pPr>
            <w:r>
              <w:rPr>
                <w:rFonts w:cstheme="minorHAnsi"/>
                <w:sz w:val="24"/>
                <w:szCs w:val="24"/>
              </w:rPr>
              <w:t>6</w:t>
            </w:r>
          </w:p>
        </w:tc>
      </w:tr>
      <w:tr w:rsidR="00B87428" w14:paraId="4FA7D478" w14:textId="77777777" w:rsidTr="00B87428">
        <w:trPr>
          <w:trHeight w:val="570"/>
        </w:trPr>
        <w:tc>
          <w:tcPr>
            <w:tcW w:w="2290" w:type="dxa"/>
          </w:tcPr>
          <w:p w14:paraId="6926AC34" w14:textId="6939FDF0" w:rsidR="00B87428" w:rsidRDefault="00B87428" w:rsidP="00B87428">
            <w:pPr>
              <w:jc w:val="center"/>
              <w:rPr>
                <w:rFonts w:cstheme="minorHAnsi"/>
                <w:sz w:val="24"/>
                <w:szCs w:val="24"/>
              </w:rPr>
            </w:pPr>
            <w:r>
              <w:rPr>
                <w:rFonts w:cstheme="minorHAnsi"/>
                <w:sz w:val="24"/>
                <w:szCs w:val="24"/>
              </w:rPr>
              <w:t>Perception of Utility</w:t>
            </w:r>
          </w:p>
        </w:tc>
        <w:tc>
          <w:tcPr>
            <w:tcW w:w="1373" w:type="dxa"/>
          </w:tcPr>
          <w:p w14:paraId="0BA93171" w14:textId="21E0EAC0" w:rsidR="00B87428" w:rsidRDefault="00B87428" w:rsidP="00B87428">
            <w:pPr>
              <w:jc w:val="center"/>
              <w:rPr>
                <w:rFonts w:cstheme="minorHAnsi"/>
                <w:sz w:val="24"/>
                <w:szCs w:val="24"/>
              </w:rPr>
            </w:pPr>
            <w:r>
              <w:rPr>
                <w:rFonts w:cstheme="minorHAnsi"/>
                <w:sz w:val="24"/>
                <w:szCs w:val="24"/>
              </w:rPr>
              <w:t>84</w:t>
            </w:r>
          </w:p>
        </w:tc>
        <w:tc>
          <w:tcPr>
            <w:tcW w:w="1373" w:type="dxa"/>
          </w:tcPr>
          <w:p w14:paraId="74DA7AC3" w14:textId="4FAC075E" w:rsidR="00B87428" w:rsidRDefault="00B87428" w:rsidP="00B87428">
            <w:pPr>
              <w:jc w:val="center"/>
              <w:rPr>
                <w:rFonts w:cstheme="minorHAnsi"/>
                <w:sz w:val="24"/>
                <w:szCs w:val="24"/>
              </w:rPr>
            </w:pPr>
            <w:r>
              <w:rPr>
                <w:rFonts w:cstheme="minorHAnsi"/>
                <w:sz w:val="24"/>
                <w:szCs w:val="24"/>
              </w:rPr>
              <w:t>1</w:t>
            </w:r>
            <w:r w:rsidR="00685201">
              <w:rPr>
                <w:rFonts w:cstheme="minorHAnsi"/>
                <w:sz w:val="24"/>
                <w:szCs w:val="24"/>
              </w:rPr>
              <w:t>2</w:t>
            </w:r>
          </w:p>
        </w:tc>
        <w:tc>
          <w:tcPr>
            <w:tcW w:w="1375" w:type="dxa"/>
          </w:tcPr>
          <w:p w14:paraId="7CA48C50" w14:textId="353DD286" w:rsidR="00B87428" w:rsidRDefault="00B87428" w:rsidP="00B87428">
            <w:pPr>
              <w:jc w:val="center"/>
              <w:rPr>
                <w:rFonts w:cstheme="minorHAnsi"/>
                <w:sz w:val="24"/>
                <w:szCs w:val="24"/>
              </w:rPr>
            </w:pPr>
            <w:r>
              <w:rPr>
                <w:rFonts w:cstheme="minorHAnsi"/>
                <w:sz w:val="24"/>
                <w:szCs w:val="24"/>
              </w:rPr>
              <w:t>4</w:t>
            </w:r>
          </w:p>
        </w:tc>
      </w:tr>
    </w:tbl>
    <w:p w14:paraId="758CC32D" w14:textId="123218BC" w:rsidR="00B23D86" w:rsidRDefault="00B23D86" w:rsidP="0022380B">
      <w:pPr>
        <w:rPr>
          <w:rFonts w:cstheme="minorHAnsi"/>
          <w:sz w:val="24"/>
          <w:szCs w:val="24"/>
        </w:rPr>
      </w:pPr>
    </w:p>
    <w:p w14:paraId="26EB984D" w14:textId="25524479" w:rsidR="00624F54" w:rsidRDefault="00624F54" w:rsidP="0022380B">
      <w:pPr>
        <w:rPr>
          <w:rFonts w:cstheme="minorHAnsi"/>
          <w:sz w:val="24"/>
          <w:szCs w:val="24"/>
        </w:rPr>
      </w:pPr>
      <w:r>
        <w:rPr>
          <w:rFonts w:cstheme="minorHAnsi"/>
          <w:sz w:val="24"/>
          <w:szCs w:val="24"/>
        </w:rPr>
        <w:t xml:space="preserve">A Kruskal-Wallis (non-parametric) test was performed to test for difference in mean final course score between the three attitude groups (positive, negative, and neutral) for both attitude categories. For both tests, </w:t>
      </w:r>
      <w:r w:rsidR="001C2E36">
        <w:rPr>
          <w:rFonts w:cstheme="minorHAnsi"/>
          <w:sz w:val="24"/>
          <w:szCs w:val="24"/>
        </w:rPr>
        <w:t xml:space="preserve">a significant result was obtained (p &lt; 0.0001). In other words, a significant difference in final course score between students with positive, negative, and neutral attitudes. Due to the construction of the Kruskal-Wallis test, and the fact that there are three groups being compared, we cannot obtain an estimate of location shift as we did for the tests on mindset. However, similar visualizations were created and are shown below. </w:t>
      </w:r>
    </w:p>
    <w:p w14:paraId="0DCEE186" w14:textId="1CD931EC" w:rsidR="001C2E36" w:rsidRDefault="00D7764E" w:rsidP="0022380B">
      <w:pPr>
        <w:rPr>
          <w:rFonts w:cstheme="minorHAnsi"/>
          <w:sz w:val="24"/>
          <w:szCs w:val="24"/>
        </w:rPr>
      </w:pPr>
      <w:r>
        <w:rPr>
          <w:rFonts w:cstheme="minorHAnsi"/>
          <w:sz w:val="24"/>
          <w:szCs w:val="24"/>
        </w:rPr>
        <w:t xml:space="preserve">Notably, the negative mindset groups have lower medians (represented by vertical dashed lines) than the other two groups. It is difficult to say whether the differences are significant in the context of grade percentages. </w:t>
      </w:r>
      <w:bookmarkStart w:id="0" w:name="_GoBack"/>
      <w:bookmarkEnd w:id="0"/>
    </w:p>
    <w:p w14:paraId="44377839" w14:textId="172911CE" w:rsidR="001C2E36" w:rsidRPr="000927E5" w:rsidRDefault="001C2E36" w:rsidP="0022380B">
      <w:pPr>
        <w:rPr>
          <w:rFonts w:cstheme="minorHAnsi"/>
          <w:sz w:val="24"/>
          <w:szCs w:val="24"/>
        </w:rPr>
      </w:pPr>
      <w:r>
        <w:rPr>
          <w:noProof/>
        </w:rPr>
        <w:lastRenderedPageBreak/>
        <w:drawing>
          <wp:anchor distT="0" distB="0" distL="114300" distR="114300" simplePos="0" relativeHeight="251660288" behindDoc="0" locked="0" layoutInCell="1" allowOverlap="1" wp14:anchorId="26ABDD06" wp14:editId="1D9CD98A">
            <wp:simplePos x="0" y="0"/>
            <wp:positionH relativeFrom="margin">
              <wp:align>center</wp:align>
            </wp:positionH>
            <wp:positionV relativeFrom="paragraph">
              <wp:posOffset>0</wp:posOffset>
            </wp:positionV>
            <wp:extent cx="4543425" cy="3819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43425" cy="3819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FD82B09" wp14:editId="3B085F3F">
            <wp:simplePos x="0" y="0"/>
            <wp:positionH relativeFrom="margin">
              <wp:align>center</wp:align>
            </wp:positionH>
            <wp:positionV relativeFrom="paragraph">
              <wp:posOffset>4178300</wp:posOffset>
            </wp:positionV>
            <wp:extent cx="4799330" cy="4035425"/>
            <wp:effectExtent l="0" t="0" r="127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99330" cy="4035425"/>
                    </a:xfrm>
                    <a:prstGeom prst="rect">
                      <a:avLst/>
                    </a:prstGeom>
                  </pic:spPr>
                </pic:pic>
              </a:graphicData>
            </a:graphic>
            <wp14:sizeRelH relativeFrom="margin">
              <wp14:pctWidth>0</wp14:pctWidth>
            </wp14:sizeRelH>
            <wp14:sizeRelV relativeFrom="margin">
              <wp14:pctHeight>0</wp14:pctHeight>
            </wp14:sizeRelV>
          </wp:anchor>
        </w:drawing>
      </w:r>
    </w:p>
    <w:sectPr w:rsidR="001C2E36" w:rsidRPr="000927E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1DCC3" w14:textId="77777777" w:rsidR="002E4EDD" w:rsidRDefault="002E4EDD" w:rsidP="00B23D86">
      <w:pPr>
        <w:spacing w:after="0" w:line="240" w:lineRule="auto"/>
      </w:pPr>
      <w:r>
        <w:separator/>
      </w:r>
    </w:p>
  </w:endnote>
  <w:endnote w:type="continuationSeparator" w:id="0">
    <w:p w14:paraId="2D5AB6D7" w14:textId="77777777" w:rsidR="002E4EDD" w:rsidRDefault="002E4EDD" w:rsidP="00B23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30327" w14:textId="6C3238CF" w:rsidR="00B23D86" w:rsidRDefault="00B23D86">
    <w:pPr>
      <w:pStyle w:val="Footer"/>
    </w:pPr>
  </w:p>
  <w:p w14:paraId="5DBA4E7D" w14:textId="77777777" w:rsidR="00B23D86" w:rsidRDefault="00B23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774FA" w14:textId="77777777" w:rsidR="002E4EDD" w:rsidRDefault="002E4EDD" w:rsidP="00B23D86">
      <w:pPr>
        <w:spacing w:after="0" w:line="240" w:lineRule="auto"/>
      </w:pPr>
      <w:r>
        <w:separator/>
      </w:r>
    </w:p>
  </w:footnote>
  <w:footnote w:type="continuationSeparator" w:id="0">
    <w:p w14:paraId="1C4B5379" w14:textId="77777777" w:rsidR="002E4EDD" w:rsidRDefault="002E4EDD" w:rsidP="00B23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A1699"/>
    <w:multiLevelType w:val="hybridMultilevel"/>
    <w:tmpl w:val="379CC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3142D"/>
    <w:multiLevelType w:val="hybridMultilevel"/>
    <w:tmpl w:val="9BCC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E0"/>
    <w:rsid w:val="00072A88"/>
    <w:rsid w:val="000927E5"/>
    <w:rsid w:val="001416E0"/>
    <w:rsid w:val="001B28DC"/>
    <w:rsid w:val="001C2E36"/>
    <w:rsid w:val="0022380B"/>
    <w:rsid w:val="002E4EDD"/>
    <w:rsid w:val="00624F54"/>
    <w:rsid w:val="00685201"/>
    <w:rsid w:val="007E7E0F"/>
    <w:rsid w:val="00907748"/>
    <w:rsid w:val="00B23D86"/>
    <w:rsid w:val="00B87428"/>
    <w:rsid w:val="00CD1ED7"/>
    <w:rsid w:val="00D7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7C25"/>
  <w15:chartTrackingRefBased/>
  <w15:docId w15:val="{B4BE0BB1-DA10-4028-BB53-756258E0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6E0"/>
    <w:pPr>
      <w:ind w:left="720"/>
      <w:contextualSpacing/>
    </w:pPr>
  </w:style>
  <w:style w:type="table" w:styleId="TableGrid">
    <w:name w:val="Table Grid"/>
    <w:basedOn w:val="TableNormal"/>
    <w:uiPriority w:val="39"/>
    <w:rsid w:val="001B2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D86"/>
  </w:style>
  <w:style w:type="paragraph" w:styleId="Footer">
    <w:name w:val="footer"/>
    <w:basedOn w:val="Normal"/>
    <w:link w:val="FooterChar"/>
    <w:uiPriority w:val="99"/>
    <w:unhideWhenUsed/>
    <w:rsid w:val="00B23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dc:creator>
  <cp:keywords/>
  <dc:description/>
  <cp:lastModifiedBy>Matthew Isaac</cp:lastModifiedBy>
  <cp:revision>7</cp:revision>
  <dcterms:created xsi:type="dcterms:W3CDTF">2018-03-17T23:55:00Z</dcterms:created>
  <dcterms:modified xsi:type="dcterms:W3CDTF">2018-03-18T02:16:00Z</dcterms:modified>
</cp:coreProperties>
</file>