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 Descriptive Analysis of Deprescribing Patterns for People Living with Advanced Chronic Kidney Disease</w:t>
      </w:r>
    </w:p>
    <w:p>
      <w:pPr>
        <w:pStyle w:val="Author"/>
      </w:pPr>
      <w:r>
        <w:t xml:space="preserve">Matthew Letts</w:t>
      </w:r>
      <w:r>
        <w:rPr>
          <w:vertAlign w:val="superscript"/>
        </w:rPr>
        <w:t xml:space="preserve">1,2</w:t>
      </w:r>
      <w:r>
        <w:t xml:space="preserve">, Robert Porteous</w:t>
      </w:r>
      <w:r>
        <w:rPr>
          <w:vertAlign w:val="superscript"/>
        </w:rPr>
        <w:t xml:space="preserve">1</w:t>
      </w:r>
      <w:r>
        <w:t xml:space="preserve">, Rachel Denholm</w:t>
      </w:r>
      <w:r>
        <w:rPr>
          <w:vertAlign w:val="superscript"/>
        </w:rPr>
        <w:t xml:space="preserve">1</w:t>
      </w:r>
      <w:r>
        <w:t xml:space="preserve">, Rupert Payne</w:t>
      </w:r>
      <w:r>
        <w:rPr>
          <w:vertAlign w:val="superscript"/>
        </w:rPr>
        <w:t xml:space="preserve">3</w:t>
      </w:r>
      <w:r>
        <w:t xml:space="preserve">, Jonathan Sterne</w:t>
      </w:r>
      <w:r>
        <w:rPr>
          <w:vertAlign w:val="superscript"/>
        </w:rPr>
        <w:t xml:space="preserve">1</w:t>
      </w:r>
      <w:r>
        <w:t xml:space="preserve">, Fergus Caskey</w:t>
      </w:r>
      <w:r>
        <w:rPr>
          <w:vertAlign w:val="superscript"/>
        </w:rPr>
        <w:t xml:space="preserve">2</w:t>
      </w:r>
    </w:p>
    <w:p>
      <w:pPr>
        <w:pStyle w:val="Date"/>
      </w:pPr>
      <w:r>
        <w:t xml:space="preserve">24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vertAlign w:val="superscript"/>
        </w:rPr>
        <w:t xml:space="preserve">1</w:t>
      </w:r>
      <w:r>
        <w:t xml:space="preserve"> </w:t>
      </w:r>
      <w:r>
        <w:t xml:space="preserve">Electronic Health Records Group, Population Health Sciences, Bristol Medical School, University of Bristol, Bristol, UK</w:t>
      </w:r>
    </w:p>
    <w:p>
      <w:pPr>
        <w:pStyle w:val="BodyText"/>
      </w:pPr>
      <w:r>
        <w:rPr>
          <w:vertAlign w:val="superscript"/>
        </w:rPr>
        <w:t xml:space="preserve">2</w:t>
      </w:r>
      <w:r>
        <w:t xml:space="preserve"> </w:t>
      </w:r>
      <w:r>
        <w:t xml:space="preserve">Bristol Renal, Population Health Sciences, Bristol Medical School, University of Bristol, Bristol, UK</w:t>
      </w:r>
    </w:p>
    <w:p>
      <w:pPr>
        <w:pStyle w:val="BodyText"/>
      </w:pPr>
      <w:r>
        <w:rPr>
          <w:vertAlign w:val="superscript"/>
        </w:rPr>
        <w:t xml:space="preserve">3</w:t>
      </w:r>
      <w:r>
        <w:t xml:space="preserve"> </w:t>
      </w:r>
      <w:r>
        <w:t xml:space="preserve">Exeter Collaboration for Academic Primary Care, University of Exeter, Exeter, UK</w:t>
      </w:r>
    </w:p>
    <w:p>
      <w:r>
        <w:pict>
          <v:rect style="width:0;height:1.5pt" o:hralign="center" o:hrstd="t" o:hr="t"/>
        </w:pict>
      </w:r>
    </w:p>
    <w:tbl>
      <w:tblPr>
        <w:tblStyle w:val="Table"/>
        <w:tblW w:type="pct" w:w="5000"/>
        <w:tblLayout w:type="fixed"/>
        <w:tblLook w:firstRow="1" w:lastRow="0" w:firstColumn="0" w:lastColumn="0" w:noHBand="0" w:noVBand="0" w:val="0020"/>
      </w:tblPr>
      <w:tblGrid>
        <w:gridCol w:w="2545"/>
        <w:gridCol w:w="3677"/>
        <w:gridCol w:w="1697"/>
      </w:tblGrid>
      <w:tr>
        <w:trPr>
          <w:tblHeader w:val="on"/>
        </w:trPr>
        <w:tc>
          <w:tcPr/>
          <w:p>
            <w:pPr>
              <w:pStyle w:val="Compact"/>
            </w:pPr>
            <w:r>
              <w:t xml:space="preserve">Version</w:t>
            </w:r>
          </w:p>
        </w:tc>
        <w:tc>
          <w:tcPr/>
          <w:p>
            <w:pPr>
              <w:pStyle w:val="Compact"/>
            </w:pPr>
            <w:r>
              <w:t xml:space="preserve">Description</w:t>
            </w:r>
          </w:p>
        </w:tc>
        <w:tc>
          <w:tcPr/>
          <w:p>
            <w:pPr>
              <w:pStyle w:val="Compact"/>
            </w:pPr>
            <w:r>
              <w:t xml:space="preserve">Date</w:t>
            </w:r>
          </w:p>
        </w:tc>
      </w:tr>
      <w:tr>
        <w:tc>
          <w:tcPr/>
          <w:p>
            <w:pPr>
              <w:pStyle w:val="Compact"/>
            </w:pPr>
            <w:r>
              <w:t xml:space="preserve">1.0</w:t>
            </w:r>
          </w:p>
        </w:tc>
        <w:tc>
          <w:tcPr/>
          <w:p>
            <w:pPr>
              <w:pStyle w:val="Compact"/>
            </w:pPr>
            <w:r>
              <w:t xml:space="preserve">Initial protocol developed and structured according to RECORD-PE</w:t>
            </w:r>
            <w:r>
              <w:t xml:space="preserve"> </w:t>
            </w:r>
            <w:r>
              <w:t xml:space="preserve">(1)</w:t>
            </w:r>
          </w:p>
        </w:tc>
        <w:tc>
          <w:tcPr/>
          <w:p>
            <w:pPr>
              <w:pStyle w:val="Compact"/>
            </w:pPr>
            <w:r>
              <w:t xml:space="preserve">22/05/2026</w:t>
            </w:r>
          </w:p>
        </w:tc>
      </w:tr>
    </w:tbl>
    <w:p>
      <w:r>
        <w:pict>
          <v:rect style="width:0;height:1.5pt" o:hralign="center" o:hrstd="t" o:hr="t"/>
        </w:pict>
      </w:r>
    </w:p>
    <w:bookmarkStart w:id="9" w:name="background"/>
    <w:p>
      <w:pPr>
        <w:pStyle w:val="Heading1"/>
      </w:pPr>
      <w:r>
        <w:t xml:space="preserve">1. Background</w:t>
      </w:r>
    </w:p>
    <w:p>
      <w:pPr>
        <w:pStyle w:val="FirstParagraph"/>
      </w:pPr>
      <w:r>
        <w:t xml:space="preserve">Ninety-eight percent of people living with advanced chronic kidney disease (CKD) - stages 4 and 5, not receiving kidney replacement therapy (KRT) - live with multiple long-term conditions</w:t>
      </w:r>
      <w:r>
        <w:t xml:space="preserve"> </w:t>
      </w:r>
      <w:r>
        <w:t xml:space="preserve">(2)</w:t>
      </w:r>
      <w:r>
        <w:t xml:space="preserve">. Resultantly, polypharmacy is highly prevalent, and this gruop are prescribed on average 8-9 medicines per day (&gt;100 pills per week)</w:t>
      </w:r>
      <w:r>
        <w:t xml:space="preserve"> </w:t>
      </w:r>
      <w:r>
        <w:t xml:space="preserve">(3)</w:t>
      </w:r>
      <w:r>
        <w:t xml:space="preserve">. Polypharmacy is well linked to avoidable harm</w:t>
      </w:r>
      <w:r>
        <w:t xml:space="preserve"> </w:t>
      </w:r>
      <w:r>
        <w:t xml:space="preserve">(4)</w:t>
      </w:r>
      <w:r>
        <w:t xml:space="preserve">, hence addressing it is a key action area in the World Health Organisation’s current Global Patient Safety Challenge:</w:t>
      </w:r>
      <w:r>
        <w:t xml:space="preserve"> </w:t>
      </w:r>
      <w:r>
        <w:rPr>
          <w:i/>
          <w:iCs/>
        </w:rPr>
        <w:t xml:space="preserve">Medication Without Harm</w:t>
      </w:r>
      <w:r>
        <w:t xml:space="preserve"> </w:t>
      </w:r>
      <w:r>
        <w:t xml:space="preserve">(5)</w:t>
      </w:r>
      <w:r>
        <w:t xml:space="preserve">. For people with reduced kidney function, the risk of harm is augmented by unpredictable drug handling and excretion - 1 in 5 experience a medication-related harm each year [REF] - and therefore they are a high priority group to study</w:t>
      </w:r>
      <w:r>
        <w:t xml:space="preserve"> </w:t>
      </w:r>
      <w:r>
        <w:t xml:space="preserve">(6)</w:t>
      </w:r>
      <w:r>
        <w:t xml:space="preserve">.</w:t>
      </w:r>
    </w:p>
    <w:p>
      <w:pPr>
        <w:pStyle w:val="BodyText"/>
      </w:pPr>
      <w:r>
        <w:t xml:space="preserve">Added to this, clinical trials that establish the safety and effectiveness of medicines rarely include people living with advanced kidney disease, and instead include populations that do not reflect their comorbidity and diversity</w:t>
      </w:r>
      <w:r>
        <w:t xml:space="preserve"> </w:t>
      </w:r>
      <w:r>
        <w:t xml:space="preserve">(7)</w:t>
      </w:r>
      <w:r>
        <w:t xml:space="preserve">.</w:t>
      </w:r>
    </w:p>
    <w:p>
      <w:pPr>
        <w:pStyle w:val="BodyText"/>
      </w:pPr>
      <w:r>
        <w:t xml:space="preserve">Deprescribing - the systematic process of stopping or reducing medicines - is a proposed way of reducing the harms associated with polypharmacy. However, despite a new chapter in the recent KDIGO (Kidney Disease | Improving Global Outcomes) CKD practice guidelines update entitled</w:t>
      </w:r>
      <w:r>
        <w:t xml:space="preserve"> </w:t>
      </w:r>
      <w:r>
        <w:rPr>
          <w:i/>
          <w:iCs/>
        </w:rPr>
        <w:t xml:space="preserve">Medication management and Drug Stewardship</w:t>
      </w:r>
      <w:r>
        <w:t xml:space="preserve">, there is an acknowledgment that evidence to guide deprescribing is limited</w:t>
      </w:r>
      <w:r>
        <w:t xml:space="preserve"> </w:t>
      </w:r>
      <w:r>
        <w:t xml:space="preserve">(8)</w:t>
      </w:r>
      <w:r>
        <w:t xml:space="preserve">.</w:t>
      </w:r>
    </w:p>
    <w:p>
      <w:pPr>
        <w:pStyle w:val="BodyText"/>
      </w:pPr>
      <w:r>
        <w:t xml:space="preserve">Research has shown that a small number of people with advanced kidney disease are having medications such as statins and proton pump inhibitors discontinued in their last years of life</w:t>
      </w:r>
      <w:r>
        <w:t xml:space="preserve"> </w:t>
      </w:r>
      <w:r>
        <w:t xml:space="preserve">(9)</w:t>
      </w:r>
      <w:r>
        <w:t xml:space="preserve">, but information about patterns and predictors of discontinuation at a population level are lacking.</w:t>
      </w:r>
    </w:p>
    <w:p>
      <w:pPr>
        <w:pStyle w:val="BodyText"/>
      </w:pPr>
      <w:r>
        <w:t xml:space="preserve">Other factors that make this an important area to study include:</w:t>
      </w:r>
    </w:p>
    <w:p>
      <w:pPr>
        <w:pStyle w:val="Compact"/>
        <w:numPr>
          <w:ilvl w:val="0"/>
          <w:numId w:val="1001"/>
        </w:numPr>
      </w:pPr>
      <w:r>
        <w:t xml:space="preserve">Supported by policy - Department of Health and Social Care report on reducing overprescribing</w:t>
      </w:r>
      <w:r>
        <w:t xml:space="preserve"> </w:t>
      </w:r>
      <w:r>
        <w:t xml:space="preserve">(10)</w:t>
      </w:r>
      <w:r>
        <w:t xml:space="preserve">,</w:t>
      </w:r>
    </w:p>
    <w:p>
      <w:pPr>
        <w:pStyle w:val="Compact"/>
        <w:numPr>
          <w:ilvl w:val="0"/>
          <w:numId w:val="1001"/>
        </w:numPr>
      </w:pPr>
      <w:r>
        <w:t xml:space="preserve">Call for more research into deprescribing - current NIHR call, HDR UK Medicines in acute and Chronic disease driver programme</w:t>
      </w:r>
    </w:p>
    <w:p>
      <w:pPr>
        <w:pStyle w:val="Compact"/>
        <w:numPr>
          <w:ilvl w:val="0"/>
          <w:numId w:val="1001"/>
        </w:numPr>
      </w:pPr>
      <w:r>
        <w:t xml:space="preserve">Importance to patients, prescribers, and health and care services</w:t>
      </w:r>
    </w:p>
    <w:p>
      <w:pPr>
        <w:pStyle w:val="Compact"/>
        <w:numPr>
          <w:ilvl w:val="0"/>
          <w:numId w:val="1001"/>
        </w:numPr>
      </w:pPr>
      <w:r>
        <w:t xml:space="preserve">James Lind Alliance priority for understanding medicines in older life.</w:t>
      </w:r>
    </w:p>
    <w:p>
      <w:pPr>
        <w:pStyle w:val="FirstParagraph"/>
      </w:pPr>
      <w:r>
        <w:t xml:space="preserve">We therefore aim to describe the current patterns of discontinuation of common medicines in people living with advanced CKD in England, and evaluate the clinical and sociodemographic factors that lead to variances in these patterns.</w:t>
      </w:r>
    </w:p>
    <w:bookmarkEnd w:id="9"/>
    <w:bookmarkStart w:id="10" w:name="objectives"/>
    <w:p>
      <w:pPr>
        <w:pStyle w:val="Heading1"/>
      </w:pPr>
      <w:r>
        <w:t xml:space="preserve">2. Objectives</w:t>
      </w:r>
    </w:p>
    <w:p>
      <w:pPr>
        <w:pStyle w:val="Compact"/>
        <w:numPr>
          <w:ilvl w:val="0"/>
          <w:numId w:val="1002"/>
        </w:numPr>
      </w:pPr>
      <w:r>
        <w:t xml:space="preserve">To describe patterns of prescribing at a national level for people living with advanced CKD</w:t>
      </w:r>
    </w:p>
    <w:p>
      <w:pPr>
        <w:pStyle w:val="Compact"/>
        <w:numPr>
          <w:ilvl w:val="0"/>
          <w:numId w:val="1002"/>
        </w:numPr>
      </w:pPr>
      <w:r>
        <w:t xml:space="preserve">To establish the patterns of discontinuation of medicines in people in England living with advanced CKD.</w:t>
      </w:r>
    </w:p>
    <w:p>
      <w:pPr>
        <w:pStyle w:val="Compact"/>
        <w:numPr>
          <w:ilvl w:val="0"/>
          <w:numId w:val="1002"/>
        </w:numPr>
      </w:pPr>
      <w:r>
        <w:t xml:space="preserve">To identify the clinical and sociodemographic factors associated with variances in these patterns.</w:t>
      </w:r>
    </w:p>
    <w:p>
      <w:pPr>
        <w:pStyle w:val="FirstParagraph"/>
      </w:pPr>
      <w:r>
        <w:t xml:space="preserve">In routine healthcare data, deprescribing is largely observable as medication</w:t>
      </w:r>
      <w:r>
        <w:t xml:space="preserve"> </w:t>
      </w:r>
      <w:r>
        <w:rPr>
          <w:u w:val="single"/>
        </w:rPr>
        <w:t xml:space="preserve">discontinuation</w:t>
      </w:r>
      <w:r>
        <w:t xml:space="preserve">, which will therefore be the primary focus of this study.</w:t>
      </w:r>
    </w:p>
    <w:bookmarkEnd w:id="10"/>
    <w:bookmarkStart w:id="39" w:name="methods"/>
    <w:p>
      <w:pPr>
        <w:pStyle w:val="Heading1"/>
      </w:pPr>
      <w:r>
        <w:t xml:space="preserve">3. Methods</w:t>
      </w:r>
    </w:p>
    <w:bookmarkStart w:id="11" w:name="study-design"/>
    <w:p>
      <w:pPr>
        <w:pStyle w:val="Heading2"/>
      </w:pPr>
      <w:r>
        <w:t xml:space="preserve">3.1 Study design</w:t>
      </w:r>
    </w:p>
    <w:p>
      <w:pPr>
        <w:pStyle w:val="FirstParagraph"/>
      </w:pPr>
      <w:r>
        <w:t xml:space="preserve">We will conduct cross-sectional and longitudinal analyses of a retrospective cohort of individuals living with advanced kidney disease living in England.</w:t>
      </w:r>
    </w:p>
    <w:bookmarkEnd w:id="11"/>
    <w:bookmarkStart w:id="12" w:name="data-sources"/>
    <w:p>
      <w:pPr>
        <w:pStyle w:val="Heading2"/>
      </w:pPr>
      <w:r>
        <w:t xml:space="preserve">3.2 Data sources</w:t>
      </w:r>
    </w:p>
    <w:p>
      <w:pPr>
        <w:pStyle w:val="FirstParagraph"/>
      </w:pPr>
      <w:r>
        <w:t xml:space="preserve">We will analyse the primary care record data of people living in England that is stored and managed by The Phoenix Partnership (TPP), specifically through utilisation of the OpenSAFELY-TPP secure analytical database. We will utilise OpenSAFELY-TPP’s established linkages to:</w:t>
      </w:r>
    </w:p>
    <w:p>
      <w:pPr>
        <w:pStyle w:val="Compact"/>
        <w:numPr>
          <w:ilvl w:val="0"/>
          <w:numId w:val="1003"/>
        </w:numPr>
      </w:pPr>
      <w:r>
        <w:t xml:space="preserve">Office for National Statistics (ONS) data on registered deaths</w:t>
      </w:r>
    </w:p>
    <w:p>
      <w:pPr>
        <w:pStyle w:val="Compact"/>
        <w:numPr>
          <w:ilvl w:val="0"/>
          <w:numId w:val="1003"/>
        </w:numPr>
      </w:pPr>
      <w:r>
        <w:t xml:space="preserve">NHS Secondary Uses Service data, which includes information regarding hospital admissions, and is used to derive each individual’s ethnicity</w:t>
      </w:r>
    </w:p>
    <w:bookmarkEnd w:id="12"/>
    <w:bookmarkStart w:id="20" w:name="study-population"/>
    <w:p>
      <w:pPr>
        <w:pStyle w:val="Heading2"/>
      </w:pPr>
      <w:r>
        <w:t xml:space="preserve">3.3 Study population</w:t>
      </w:r>
    </w:p>
    <w:p>
      <w:pPr>
        <w:pStyle w:val="FirstParagraph"/>
      </w:pPr>
      <w:r>
        <w:t xml:space="preserve">This retrospective cohort study will analyse the cohort of individuals living with advanced kidney disease on 01/03/2022, and then follow up their prescriptions for the following 4 years.</w:t>
      </w:r>
    </w:p>
    <w:bookmarkStart w:id="15" w:name="inclusion-criteria"/>
    <w:p>
      <w:pPr>
        <w:pStyle w:val="Heading3"/>
      </w:pPr>
      <w:r>
        <w:t xml:space="preserve">3.3.1 Inclusion criteria</w:t>
      </w:r>
    </w:p>
    <w:p>
      <w:pPr>
        <w:pStyle w:val="FirstParagraph"/>
      </w:pPr>
      <w:r>
        <w:t xml:space="preserve">Individuals will be included in the cohort if on 01/03/2022 they meet all the following criteria:</w:t>
      </w:r>
    </w:p>
    <w:p>
      <w:pPr>
        <w:pStyle w:val="Compact"/>
        <w:numPr>
          <w:ilvl w:val="0"/>
          <w:numId w:val="1004"/>
        </w:numPr>
      </w:pPr>
      <w:r>
        <w:t xml:space="preserve">Alive</w:t>
      </w:r>
    </w:p>
    <w:p>
      <w:pPr>
        <w:pStyle w:val="Compact"/>
        <w:numPr>
          <w:ilvl w:val="0"/>
          <w:numId w:val="1004"/>
        </w:numPr>
      </w:pPr>
      <w:r>
        <w:t xml:space="preserve">Aged ≥18 and ≤110 years</w:t>
      </w:r>
    </w:p>
    <w:p>
      <w:pPr>
        <w:pStyle w:val="Compact"/>
        <w:numPr>
          <w:ilvl w:val="0"/>
          <w:numId w:val="1004"/>
        </w:numPr>
      </w:pPr>
      <w:r>
        <w:t xml:space="preserve">Continuous registration at a single GP practice that uses TPP software for at least the one year prior.</w:t>
      </w:r>
    </w:p>
    <w:p>
      <w:pPr>
        <w:pStyle w:val="Compact"/>
        <w:numPr>
          <w:ilvl w:val="0"/>
          <w:numId w:val="1004"/>
        </w:numPr>
      </w:pPr>
      <w:r>
        <w:t xml:space="preserve">Evidence of advanced chronic kidney disease, confirmed by the presence of one or both of the following</w:t>
      </w:r>
      <w:r>
        <w:t xml:space="preserve"> </w:t>
      </w:r>
      <w:r>
        <w:t xml:space="preserve">(11)</w:t>
      </w:r>
      <w:r>
        <w:t xml:space="preserve">:</w:t>
      </w:r>
    </w:p>
    <w:p>
      <w:pPr>
        <w:pStyle w:val="Compact"/>
        <w:numPr>
          <w:ilvl w:val="1"/>
          <w:numId w:val="1005"/>
        </w:numPr>
      </w:pPr>
      <w:r>
        <w:t xml:space="preserve">The two most recent serum creatinine measurements that are &gt;90 days apart are consistent with an estimated glomerular filtration rate (eGFR) &lt;30 mls/min/1.73m</w:t>
      </w:r>
      <w:r>
        <w:rPr>
          <w:vertAlign w:val="superscript"/>
        </w:rPr>
        <w:t xml:space="preserve">2</w:t>
      </w:r>
      <w:r>
        <w:t xml:space="preserve"> </w:t>
      </w:r>
      <w:r>
        <w:t xml:space="preserve">(calculated using the 2009 CKD-EPI equation as recommended by the</w:t>
      </w:r>
      <w:r>
        <w:t xml:space="preserve"> </w:t>
      </w:r>
      <w:hyperlink r:id="rId13">
        <w:r>
          <w:rPr>
            <w:rStyle w:val="Hyperlink"/>
          </w:rPr>
          <w:t xml:space="preserve">UK Kidney Association</w:t>
        </w:r>
      </w:hyperlink>
      <w:r>
        <w:t xml:space="preserve">).</w:t>
      </w:r>
    </w:p>
    <w:p>
      <w:pPr>
        <w:pStyle w:val="Compact"/>
        <w:numPr>
          <w:ilvl w:val="1"/>
          <w:numId w:val="1005"/>
        </w:numPr>
      </w:pPr>
      <w:r>
        <w:t xml:space="preserve">A SNOMED code indicating a diagnosis of CKD 4 and 5 (</w:t>
      </w:r>
      <w:hyperlink r:id="rId14">
        <w:r>
          <w:rPr>
            <w:rStyle w:val="Hyperlink"/>
          </w:rPr>
          <w:t xml:space="preserve">OpenCodelists</w:t>
        </w:r>
      </w:hyperlink>
      <w:r>
        <w:t xml:space="preserve">) on any prior date.</w:t>
      </w:r>
    </w:p>
    <w:bookmarkEnd w:id="15"/>
    <w:bookmarkStart w:id="17" w:name="exclusion-criteria"/>
    <w:p>
      <w:pPr>
        <w:pStyle w:val="Heading3"/>
      </w:pPr>
      <w:r>
        <w:t xml:space="preserve">3.3.2 Exclusion criteria</w:t>
      </w:r>
    </w:p>
    <w:p>
      <w:pPr>
        <w:pStyle w:val="Compact"/>
        <w:numPr>
          <w:ilvl w:val="0"/>
          <w:numId w:val="1006"/>
        </w:numPr>
      </w:pPr>
      <w:r>
        <w:t xml:space="preserve">People in receipt of kidney replacement therapy (KRT). This is defined as a</w:t>
      </w:r>
      <w:r>
        <w:t xml:space="preserve"> </w:t>
      </w:r>
      <w:hyperlink r:id="rId16">
        <w:r>
          <w:rPr>
            <w:rStyle w:val="Hyperlink"/>
          </w:rPr>
          <w:t xml:space="preserve">code</w:t>
        </w:r>
      </w:hyperlink>
      <w:r>
        <w:t xml:space="preserve"> </w:t>
      </w:r>
      <w:r>
        <w:t xml:space="preserve">indicating dialysis or transplant prior to the index date, or on the index date itself. This method has been shown to be sensitive for identifying the prevalent KRT population in England</w:t>
      </w:r>
      <w:r>
        <w:t xml:space="preserve"> </w:t>
      </w:r>
      <w:r>
        <w:t xml:space="preserve">(12)</w:t>
      </w:r>
      <w:r>
        <w:t xml:space="preserve">.</w:t>
      </w:r>
    </w:p>
    <w:bookmarkEnd w:id="17"/>
    <w:bookmarkStart w:id="18" w:name="follow-up"/>
    <w:p>
      <w:pPr>
        <w:pStyle w:val="Heading3"/>
      </w:pPr>
      <w:r>
        <w:t xml:space="preserve">3.3.3 Follow up</w:t>
      </w:r>
    </w:p>
    <w:p>
      <w:pPr>
        <w:pStyle w:val="FirstParagraph"/>
      </w:pPr>
      <w:r>
        <w:t xml:space="preserve">Study participants will be followed up from the index date until the earliest of:</w:t>
      </w:r>
    </w:p>
    <w:p>
      <w:pPr>
        <w:pStyle w:val="Compact"/>
        <w:numPr>
          <w:ilvl w:val="0"/>
          <w:numId w:val="1007"/>
        </w:numPr>
      </w:pPr>
      <w:r>
        <w:t xml:space="preserve">End of maximum follow up period (4 years)</w:t>
      </w:r>
    </w:p>
    <w:p>
      <w:pPr>
        <w:pStyle w:val="Compact"/>
        <w:numPr>
          <w:ilvl w:val="0"/>
          <w:numId w:val="1007"/>
        </w:numPr>
      </w:pPr>
      <w:r>
        <w:t xml:space="preserve">Death</w:t>
      </w:r>
    </w:p>
    <w:p>
      <w:pPr>
        <w:pStyle w:val="Compact"/>
        <w:numPr>
          <w:ilvl w:val="0"/>
          <w:numId w:val="1007"/>
        </w:numPr>
      </w:pPr>
      <w:r>
        <w:t xml:space="preserve">Initiation of kidney replacement therapy (dialysis or transplant)</w:t>
      </w:r>
    </w:p>
    <w:p>
      <w:pPr>
        <w:pStyle w:val="Compact"/>
        <w:numPr>
          <w:ilvl w:val="0"/>
          <w:numId w:val="1007"/>
        </w:numPr>
      </w:pPr>
      <w:r>
        <w:t xml:space="preserve">End of registration with GP practice that uses TPP software</w:t>
      </w:r>
    </w:p>
    <w:bookmarkEnd w:id="18"/>
    <w:bookmarkStart w:id="19" w:name="data-quality-assurance-criteria"/>
    <w:p>
      <w:pPr>
        <w:pStyle w:val="Heading3"/>
      </w:pPr>
      <w:r>
        <w:t xml:space="preserve">3.3.4 Data quality assurance criteria</w:t>
      </w:r>
    </w:p>
    <w:p>
      <w:pPr>
        <w:pStyle w:val="FirstParagraph"/>
      </w:pPr>
      <w:r>
        <w:t xml:space="preserve">Individuals will only be included if they meet all the following criteria:</w:t>
      </w:r>
    </w:p>
    <w:p>
      <w:pPr>
        <w:pStyle w:val="Compact"/>
        <w:numPr>
          <w:ilvl w:val="0"/>
          <w:numId w:val="1008"/>
        </w:numPr>
      </w:pPr>
      <w:r>
        <w:t xml:space="preserve">Known sex that is exactly</w:t>
      </w:r>
      <w:r>
        <w:t xml:space="preserve"> </w:t>
      </w:r>
      <w:r>
        <w:t xml:space="preserve">‘male’</w:t>
      </w:r>
      <w:r>
        <w:t xml:space="preserve"> </w:t>
      </w:r>
      <w:r>
        <w:t xml:space="preserve">or</w:t>
      </w:r>
      <w:r>
        <w:t xml:space="preserve"> </w:t>
      </w:r>
      <w:r>
        <w:t xml:space="preserve">‘female’</w:t>
      </w:r>
    </w:p>
    <w:p>
      <w:pPr>
        <w:pStyle w:val="Compact"/>
        <w:numPr>
          <w:ilvl w:val="0"/>
          <w:numId w:val="1008"/>
        </w:numPr>
      </w:pPr>
      <w:r>
        <w:t xml:space="preserve">Known date of birth</w:t>
      </w:r>
    </w:p>
    <w:p>
      <w:pPr>
        <w:pStyle w:val="Compact"/>
        <w:numPr>
          <w:ilvl w:val="0"/>
          <w:numId w:val="1008"/>
        </w:numPr>
      </w:pPr>
      <w:r>
        <w:t xml:space="preserve">(Known IMD</w:t>
      </w:r>
    </w:p>
    <w:p>
      <w:pPr>
        <w:pStyle w:val="Compact"/>
        <w:numPr>
          <w:ilvl w:val="0"/>
          <w:numId w:val="1008"/>
        </w:numPr>
      </w:pPr>
      <w:r>
        <w:t xml:space="preserve">Known ethnicity</w:t>
      </w:r>
    </w:p>
    <w:p>
      <w:pPr>
        <w:pStyle w:val="Compact"/>
        <w:numPr>
          <w:ilvl w:val="0"/>
          <w:numId w:val="1008"/>
        </w:numPr>
      </w:pPr>
      <w:r>
        <w:t xml:space="preserve">Known STP) -</w:t>
      </w:r>
      <w:r>
        <w:t xml:space="preserve"> </w:t>
      </w:r>
      <w:r>
        <w:rPr>
          <w:i/>
          <w:iCs/>
        </w:rPr>
        <w:t xml:space="preserve">I’m not sure about these bottom three - they may well exclude people unnecessarily</w:t>
      </w:r>
    </w:p>
    <w:bookmarkEnd w:id="19"/>
    <w:bookmarkEnd w:id="20"/>
    <w:bookmarkStart w:id="25" w:name="medication-data"/>
    <w:p>
      <w:pPr>
        <w:pStyle w:val="Heading2"/>
      </w:pPr>
      <w:r>
        <w:t xml:space="preserve">3.4 Medication data</w:t>
      </w:r>
    </w:p>
    <w:p>
      <w:pPr>
        <w:pStyle w:val="FirstParagraph"/>
      </w:pPr>
      <w:r>
        <w:t xml:space="preserve">In this analysis we will study baseline prescribing on the index date, and the trends of medication discontinuation over time.</w:t>
      </w:r>
    </w:p>
    <w:p>
      <w:pPr>
        <w:pStyle w:val="BodyText"/>
      </w:pPr>
      <w:r>
        <w:t xml:space="preserve">The medication table within OpenSAFELY-TPP contains information for every medication that is prescribed in primary care. Each prescription is recorded using its corresponding NHS dictionary of medicines and devices (dm+d) code and corresponding date.</w:t>
      </w:r>
      <w:r>
        <w:t xml:space="preserve"> </w:t>
      </w:r>
      <w:hyperlink r:id="rId21">
        <w:r>
          <w:rPr>
            <w:rStyle w:val="Hyperlink"/>
          </w:rPr>
          <w:t xml:space="preserve">dm+d codes</w:t>
        </w:r>
      </w:hyperlink>
      <w:r>
        <w:t xml:space="preserve"> </w:t>
      </w:r>
      <w:r>
        <w:t xml:space="preserve">are the preferred mechanism through which medicinal product identification and communication occurs within the NHS. In OpenSAFELY, each dm+d code corresponds to the name (e.g. atorvastatin), strength (e.g. 40mg) and formulation (e.g. tablet) of a prescribed drug. Data on the dosing recommendation (e.g. take 1 tablet once a day), the quantity of a medication prescribed (e.g. 28 tablets), whether a prescription was dispensed, or whether the patient adhered to the medication as prescribed are not available.</w:t>
      </w:r>
    </w:p>
    <w:bookmarkStart w:id="24" w:name="medication-data-handling"/>
    <w:p>
      <w:pPr>
        <w:pStyle w:val="Heading3"/>
      </w:pPr>
      <w:r>
        <w:t xml:space="preserve">3.4.1 Medication data handling</w:t>
      </w:r>
    </w:p>
    <w:p>
      <w:pPr>
        <w:pStyle w:val="FirstParagraph"/>
      </w:pPr>
      <w:r>
        <w:t xml:space="preserve">Each dm+d code has one or more official routes of administration and these will be mapped to the study data using publicly available</w:t>
      </w:r>
      <w:r>
        <w:t xml:space="preserve"> </w:t>
      </w:r>
      <w:hyperlink r:id="rId22">
        <w:r>
          <w:rPr>
            <w:rStyle w:val="Hyperlink"/>
          </w:rPr>
          <w:t xml:space="preserve">NHS TRUD</w:t>
        </w:r>
      </w:hyperlink>
      <w:r>
        <w:t xml:space="preserve"> </w:t>
      </w:r>
      <w:r>
        <w:t xml:space="preserve">(Technology Reference data Update Distribution) reference files. Each of the 79 official routes of administration will be mapped according to author consensus to one of the following categories: oral, topical, inhaled, eye/ear/nasal, oromucosal, rectal/vaginal, transdermal, intramuscular, intravenous, subcutaneous and other. If a dm+d code has multiple licensed routes it will be classified</w:t>
      </w:r>
      <w:r>
        <w:t xml:space="preserve"> </w:t>
      </w:r>
      <w:r>
        <w:t xml:space="preserve">‘multiple routes’</w:t>
      </w:r>
      <w:r>
        <w:t xml:space="preserve">, and if no licensed routes,</w:t>
      </w:r>
      <w:r>
        <w:t xml:space="preserve"> </w:t>
      </w:r>
      <w:r>
        <w:t xml:space="preserve">‘unknown’</w:t>
      </w:r>
      <w:r>
        <w:t xml:space="preserve">.</w:t>
      </w:r>
    </w:p>
    <w:p>
      <w:pPr>
        <w:pStyle w:val="BodyText"/>
      </w:pPr>
      <w:r>
        <w:t xml:space="preserve">Each medication will then have its dm+d code mapped to its corresponding British National Formulary (BNF) substance code using publicly available</w:t>
      </w:r>
      <w:r>
        <w:t xml:space="preserve"> </w:t>
      </w:r>
      <w:hyperlink r:id="rId23">
        <w:r>
          <w:rPr>
            <w:rStyle w:val="Hyperlink"/>
          </w:rPr>
          <w:t xml:space="preserve">mapping data</w:t>
        </w:r>
      </w:hyperlink>
      <w:r>
        <w:t xml:space="preserve">. BNF codes follow a clear hierarchical structure and allow for clinically meaningful analysis.</w:t>
      </w:r>
    </w:p>
    <w:bookmarkEnd w:id="24"/>
    <w:bookmarkEnd w:id="25"/>
    <w:bookmarkStart w:id="29" w:name="medication-inclusion-exclusion"/>
    <w:p>
      <w:pPr>
        <w:pStyle w:val="Heading2"/>
      </w:pPr>
      <w:r>
        <w:t xml:space="preserve">3.5 Medication inclusion / exclusion</w:t>
      </w:r>
    </w:p>
    <w:p>
      <w:pPr>
        <w:pStyle w:val="FirstParagraph"/>
      </w:pPr>
      <w:r>
        <w:t xml:space="preserve">Medicines will be included / excluded in our analysis by considering their</w:t>
      </w:r>
      <w:r>
        <w:t xml:space="preserve"> </w:t>
      </w:r>
      <w:r>
        <w:rPr>
          <w:i/>
          <w:iCs/>
        </w:rPr>
        <w:t xml:space="preserve">scope, uniqueness and timeframe</w:t>
      </w:r>
      <w:r>
        <w:t xml:space="preserve"> </w:t>
      </w:r>
      <w:r>
        <w:t xml:space="preserve">(13)</w:t>
      </w:r>
      <w:r>
        <w:t xml:space="preserve">.</w:t>
      </w:r>
    </w:p>
    <w:bookmarkStart w:id="26" w:name="scope"/>
    <w:p>
      <w:pPr>
        <w:pStyle w:val="Heading3"/>
      </w:pPr>
      <w:r>
        <w:t xml:space="preserve">3.5.1 Scope</w:t>
      </w:r>
    </w:p>
    <w:p>
      <w:pPr>
        <w:pStyle w:val="FirstParagraph"/>
      </w:pPr>
      <w:r>
        <w:t xml:space="preserve">We will include medications based on their drug type and route.</w:t>
      </w:r>
    </w:p>
    <w:p>
      <w:pPr>
        <w:pStyle w:val="Compact"/>
        <w:numPr>
          <w:ilvl w:val="0"/>
          <w:numId w:val="1009"/>
        </w:numPr>
      </w:pPr>
      <w:r>
        <w:t xml:space="preserve">Drug type. We will include medications within BNF chapters 1 to 13. BNF chapters 14 to 23 will be excluded as they represent specialist products that are unlikely to be common and not targets for discontinuation, and medical devices.</w:t>
      </w:r>
    </w:p>
    <w:p>
      <w:pPr>
        <w:pStyle w:val="Compact"/>
        <w:numPr>
          <w:ilvl w:val="0"/>
          <w:numId w:val="1009"/>
        </w:numPr>
      </w:pPr>
      <w:r>
        <w:t xml:space="preserve">Route. We will include medications that are orally administered. This is because oral medications are the most likely to be deprescribed in this population.</w:t>
      </w:r>
    </w:p>
    <w:p>
      <w:pPr>
        <w:pStyle w:val="FirstParagraph"/>
      </w:pPr>
      <w:r>
        <w:t xml:space="preserve">It will not be possible to distinguish PRN (as required) prescriptions from regular prescriptions, and so all medications will be assumed regular.</w:t>
      </w:r>
    </w:p>
    <w:bookmarkEnd w:id="26"/>
    <w:bookmarkStart w:id="27" w:name="uniqueness"/>
    <w:p>
      <w:pPr>
        <w:pStyle w:val="Heading3"/>
      </w:pPr>
      <w:r>
        <w:t xml:space="preserve">3.5.2 Uniqueness</w:t>
      </w:r>
    </w:p>
    <w:p>
      <w:pPr>
        <w:pStyle w:val="FirstParagraph"/>
      </w:pPr>
      <w:r>
        <w:t xml:space="preserve">Combination products have distinct dm+d and BNF substance codes and so will be counted as a single drug.</w:t>
      </w:r>
    </w:p>
    <w:bookmarkEnd w:id="27"/>
    <w:bookmarkStart w:id="28" w:name="timeframe"/>
    <w:p>
      <w:pPr>
        <w:pStyle w:val="Heading3"/>
      </w:pPr>
      <w:r>
        <w:t xml:space="preserve">3.5.3 Timeframe</w:t>
      </w:r>
    </w:p>
    <w:p>
      <w:pPr>
        <w:pStyle w:val="FirstParagraph"/>
      </w:pPr>
      <w:r>
        <w:t xml:space="preserve">Conceptually, for a medicine to be discontinued, it must be first in</w:t>
      </w:r>
      <w:r>
        <w:t xml:space="preserve"> </w:t>
      </w:r>
      <w:r>
        <w:rPr>
          <w:i/>
          <w:iCs/>
        </w:rPr>
        <w:t xml:space="preserve">chronic</w:t>
      </w:r>
      <w:r>
        <w:t xml:space="preserve"> </w:t>
      </w:r>
      <w:r>
        <w:t xml:space="preserve">use, i.e. being used on the index date, and regularly prior to that. There is no consensus regarding how to define a chronic prescription within electronic health record data. OpenSAFELY-TPP lacks data to show the clinician-intended duration for each prescription, and therefore assumptions about the length of each prescription are required to establish what a person could have been taking on any given date. It has previously been shown that for five of the commonest medicines, 92% were prescribed for 28 or 56 days, with the remainder being prescribed for 7 or 84 days</w:t>
      </w:r>
      <w:r>
        <w:t xml:space="preserve"> </w:t>
      </w:r>
      <w:r>
        <w:t xml:space="preserve">(14)</w:t>
      </w:r>
      <w:r>
        <w:t xml:space="preserve">.</w:t>
      </w:r>
    </w:p>
    <w:p>
      <w:pPr>
        <w:pStyle w:val="BodyText"/>
      </w:pPr>
      <w:r>
        <w:t xml:space="preserve">Considering this variability, we will define a medication as chronic, and include it in our analyses, if it is prescribed:</w:t>
      </w:r>
    </w:p>
    <w:p>
      <w:pPr>
        <w:pStyle w:val="Compact"/>
        <w:numPr>
          <w:ilvl w:val="0"/>
          <w:numId w:val="1010"/>
        </w:numPr>
      </w:pPr>
      <w:r>
        <w:t xml:space="preserve">Two or more times within the 180 days prior to study entry, and</w:t>
      </w:r>
    </w:p>
    <w:p>
      <w:pPr>
        <w:pStyle w:val="Compact"/>
        <w:numPr>
          <w:ilvl w:val="0"/>
          <w:numId w:val="1010"/>
        </w:numPr>
      </w:pPr>
      <w:r>
        <w:t xml:space="preserve">At least once within the most recent 90 days.</w:t>
      </w:r>
    </w:p>
    <w:p>
      <w:pPr>
        <w:pStyle w:val="FirstParagraph"/>
      </w:pPr>
      <w:r>
        <w:t xml:space="preserve">Additionally, within those 180 days there must be &gt;=21 days between the first and last prescriptions</w:t>
      </w:r>
      <w:r>
        <w:t xml:space="preserve"> </w:t>
      </w:r>
      <w:r>
        <w:t xml:space="preserve">This effect of this definition on results will be explored through sensitivity analyses.</w:t>
      </w:r>
    </w:p>
    <w:bookmarkEnd w:id="28"/>
    <w:bookmarkEnd w:id="29"/>
    <w:bookmarkStart w:id="30" w:name="medication-discontinuation"/>
    <w:p>
      <w:pPr>
        <w:pStyle w:val="Heading2"/>
      </w:pPr>
      <w:r>
        <w:t xml:space="preserve">3.6 Medication discontinuation</w:t>
      </w:r>
    </w:p>
    <w:p>
      <w:pPr>
        <w:pStyle w:val="FirstParagraph"/>
      </w:pPr>
      <w:r>
        <w:t xml:space="preserve">Medications prescribed at baseline will be followed longitudinally for up to 4 years to examine patterns of discontinuation. In line with previous publications</w:t>
      </w:r>
      <w:r>
        <w:t xml:space="preserve"> </w:t>
      </w:r>
      <w:r>
        <w:t xml:space="preserve">(15)</w:t>
      </w:r>
      <w:r>
        <w:t xml:space="preserve">, discontinuation will be defined by a gap in prescribing of a chronic medicine. Initially a gap of ≥90 days will be used, but sensitivity analyses will explore the effect of using gaps of: ≥30 days, ≥60 days and ≥180 days. The discontinuation date will be defined as the date after the end of the gap following the last prescription.</w:t>
      </w:r>
    </w:p>
    <w:p>
      <w:pPr>
        <w:pStyle w:val="BodyText"/>
      </w:pPr>
      <w:r>
        <w:t xml:space="preserve">— dose reduction? —</w:t>
      </w:r>
      <w:r>
        <w:t xml:space="preserve"> </w:t>
      </w:r>
      <w:r>
        <w:t xml:space="preserve">— modelling prior gaps? —</w:t>
      </w:r>
    </w:p>
    <w:bookmarkEnd w:id="30"/>
    <w:bookmarkStart w:id="34" w:name="covariates"/>
    <w:p>
      <w:pPr>
        <w:pStyle w:val="Heading2"/>
      </w:pPr>
      <w:r>
        <w:t xml:space="preserve">3.7 Covariates</w:t>
      </w:r>
    </w:p>
    <w:p>
      <w:pPr>
        <w:pStyle w:val="FirstParagraph"/>
      </w:pPr>
      <w:r>
        <w:t xml:space="preserve">The effect of various participant characteristics on prescribing at study entry and medication discontinuation will be explored. The characteristics have been chosen for two different reasons:</w:t>
      </w:r>
    </w:p>
    <w:p>
      <w:pPr>
        <w:pStyle w:val="Compact"/>
        <w:numPr>
          <w:ilvl w:val="0"/>
          <w:numId w:val="1011"/>
        </w:numPr>
      </w:pPr>
      <w:r>
        <w:t xml:space="preserve">It is hypothesised that they will likely have an impact on medication discontinuation.</w:t>
      </w:r>
    </w:p>
    <w:p>
      <w:pPr>
        <w:pStyle w:val="Compact"/>
        <w:numPr>
          <w:ilvl w:val="0"/>
          <w:numId w:val="1011"/>
        </w:numPr>
      </w:pPr>
      <w:r>
        <w:t xml:space="preserve">To promote analytical inclusivity, by exploring variations by protected characteristics.</w:t>
      </w:r>
    </w:p>
    <w:p>
      <w:pPr>
        <w:pStyle w:val="FirstParagraph"/>
      </w:pPr>
      <w:r>
        <w:t xml:space="preserve">Covariates, which will be defined on the index date are:</w:t>
      </w:r>
    </w:p>
    <w:p>
      <w:pPr>
        <w:pStyle w:val="Compact"/>
        <w:numPr>
          <w:ilvl w:val="0"/>
          <w:numId w:val="1012"/>
        </w:numPr>
      </w:pPr>
      <w:r>
        <w:t xml:space="preserve">Age</w:t>
      </w:r>
    </w:p>
    <w:p>
      <w:pPr>
        <w:pStyle w:val="Compact"/>
        <w:numPr>
          <w:ilvl w:val="0"/>
          <w:numId w:val="1012"/>
        </w:numPr>
      </w:pPr>
      <w:r>
        <w:t xml:space="preserve">Sex</w:t>
      </w:r>
    </w:p>
    <w:p>
      <w:pPr>
        <w:pStyle w:val="Compact"/>
        <w:numPr>
          <w:ilvl w:val="0"/>
          <w:numId w:val="1012"/>
        </w:numPr>
      </w:pPr>
      <w:r>
        <w:t xml:space="preserve">Ethnicity</w:t>
      </w:r>
    </w:p>
    <w:p>
      <w:pPr>
        <w:pStyle w:val="Compact"/>
        <w:numPr>
          <w:ilvl w:val="0"/>
          <w:numId w:val="1012"/>
        </w:numPr>
      </w:pPr>
      <w:r>
        <w:t xml:space="preserve">eGFR</w:t>
      </w:r>
    </w:p>
    <w:p>
      <w:pPr>
        <w:pStyle w:val="Compact"/>
        <w:numPr>
          <w:ilvl w:val="0"/>
          <w:numId w:val="1012"/>
        </w:numPr>
      </w:pPr>
      <w:r>
        <w:t xml:space="preserve">Number of chronic prescriptions</w:t>
      </w:r>
    </w:p>
    <w:p>
      <w:pPr>
        <w:pStyle w:val="Compact"/>
        <w:numPr>
          <w:ilvl w:val="0"/>
          <w:numId w:val="1012"/>
        </w:numPr>
      </w:pPr>
      <w:r>
        <w:t xml:space="preserve">Risk of mortality (see below)</w:t>
      </w:r>
    </w:p>
    <w:p>
      <w:pPr>
        <w:pStyle w:val="Compact"/>
        <w:numPr>
          <w:ilvl w:val="0"/>
          <w:numId w:val="1012"/>
        </w:numPr>
      </w:pPr>
      <w:r>
        <w:t xml:space="preserve">Frailty (see below)</w:t>
      </w:r>
    </w:p>
    <w:p>
      <w:pPr>
        <w:pStyle w:val="Compact"/>
        <w:numPr>
          <w:ilvl w:val="0"/>
          <w:numId w:val="1012"/>
        </w:numPr>
      </w:pPr>
      <w:r>
        <w:t xml:space="preserve">Presence or absence of comorbidities</w:t>
      </w:r>
    </w:p>
    <w:p>
      <w:pPr>
        <w:pStyle w:val="FirstParagraph"/>
      </w:pPr>
      <w:r>
        <w:t xml:space="preserve">— clinical events? e.g. falls/hospitalisations - probably would need to be examined longitudinally</w:t>
      </w:r>
    </w:p>
    <w:bookmarkStart w:id="32" w:name="risk-of-mortality"/>
    <w:p>
      <w:pPr>
        <w:pStyle w:val="Heading3"/>
      </w:pPr>
      <w:r>
        <w:t xml:space="preserve">3.7.1 Risk of mortality</w:t>
      </w:r>
    </w:p>
    <w:p>
      <w:pPr>
        <w:pStyle w:val="FirstParagraph"/>
      </w:pPr>
      <w:r>
        <w:t xml:space="preserve">The estimated 4-yr risk of mortality at baseline will be estimated using the mortality prediction tool</w:t>
      </w:r>
      <w:r>
        <w:t xml:space="preserve"> </w:t>
      </w:r>
      <w:hyperlink r:id="rId31">
        <w:r>
          <w:rPr>
            <w:rStyle w:val="Hyperlink"/>
          </w:rPr>
          <w:t xml:space="preserve">CKD G4+</w:t>
        </w:r>
      </w:hyperlink>
      <w:r>
        <w:t xml:space="preserve"> </w:t>
      </w:r>
      <w:r>
        <w:t xml:space="preserve">(16)</w:t>
      </w:r>
      <w:r>
        <w:t xml:space="preserve"> </w:t>
      </w:r>
      <w:r>
        <w:t xml:space="preserve">referenced in the 2024 KDIGO CKD clinical practice guideline</w:t>
      </w:r>
      <w:r>
        <w:t xml:space="preserve"> </w:t>
      </w:r>
      <w:r>
        <w:t xml:space="preserve">(8)</w:t>
      </w:r>
      <w:r>
        <w:t xml:space="preserve">. This tool requires the following clinical and demographic data:</w:t>
      </w:r>
    </w:p>
    <w:p>
      <w:pPr>
        <w:pStyle w:val="Compact"/>
        <w:numPr>
          <w:ilvl w:val="0"/>
          <w:numId w:val="1013"/>
        </w:numPr>
      </w:pPr>
      <w:r>
        <w:t xml:space="preserve">Age (values between 30 and 85)</w:t>
      </w:r>
    </w:p>
    <w:p>
      <w:pPr>
        <w:pStyle w:val="Compact"/>
        <w:numPr>
          <w:ilvl w:val="0"/>
          <w:numId w:val="1013"/>
        </w:numPr>
      </w:pPr>
      <w:r>
        <w:t xml:space="preserve">Sex (male or female)</w:t>
      </w:r>
    </w:p>
    <w:p>
      <w:pPr>
        <w:pStyle w:val="Compact"/>
        <w:numPr>
          <w:ilvl w:val="0"/>
          <w:numId w:val="1013"/>
        </w:numPr>
      </w:pPr>
      <w:r>
        <w:t xml:space="preserve">Race (black or white)</w:t>
      </w:r>
    </w:p>
    <w:p>
      <w:pPr>
        <w:pStyle w:val="Compact"/>
        <w:numPr>
          <w:ilvl w:val="0"/>
          <w:numId w:val="1013"/>
        </w:numPr>
      </w:pPr>
      <w:r>
        <w:t xml:space="preserve">Proteinuria quantification (uPCR or uACR)</w:t>
      </w:r>
    </w:p>
    <w:p>
      <w:pPr>
        <w:pStyle w:val="Compact"/>
        <w:numPr>
          <w:ilvl w:val="0"/>
          <w:numId w:val="1013"/>
        </w:numPr>
      </w:pPr>
      <w:r>
        <w:t xml:space="preserve">Smoking status (current vs never/ex)</w:t>
      </w:r>
    </w:p>
    <w:p>
      <w:pPr>
        <w:pStyle w:val="Compact"/>
        <w:numPr>
          <w:ilvl w:val="0"/>
          <w:numId w:val="1013"/>
        </w:numPr>
      </w:pPr>
      <w:r>
        <w:t xml:space="preserve">Diabetes status (yes or no)</w:t>
      </w:r>
    </w:p>
    <w:p>
      <w:pPr>
        <w:pStyle w:val="Compact"/>
        <w:numPr>
          <w:ilvl w:val="0"/>
          <w:numId w:val="1013"/>
        </w:numPr>
      </w:pPr>
      <w:r>
        <w:t xml:space="preserve">History of cardiovascular disease (yes or no)</w:t>
      </w:r>
    </w:p>
    <w:p>
      <w:pPr>
        <w:pStyle w:val="Compact"/>
        <w:numPr>
          <w:ilvl w:val="0"/>
          <w:numId w:val="1013"/>
        </w:numPr>
      </w:pPr>
      <w:r>
        <w:t xml:space="preserve">eGFR (values between 15 and 30)</w:t>
      </w:r>
    </w:p>
    <w:p>
      <w:pPr>
        <w:pStyle w:val="Compact"/>
        <w:numPr>
          <w:ilvl w:val="0"/>
          <w:numId w:val="1013"/>
        </w:numPr>
      </w:pPr>
      <w:r>
        <w:t xml:space="preserve">Systolic BP (values between 90–180)</w:t>
      </w:r>
    </w:p>
    <w:p>
      <w:pPr>
        <w:pStyle w:val="FirstParagraph"/>
      </w:pPr>
      <w:r>
        <w:t xml:space="preserve">Four strata will be viewed: &lt;25%, 25–49%, 50–74%, ≥75%</w:t>
      </w:r>
    </w:p>
    <w:bookmarkEnd w:id="32"/>
    <w:bookmarkStart w:id="33" w:name="frailty"/>
    <w:p>
      <w:pPr>
        <w:pStyle w:val="Heading3"/>
      </w:pPr>
      <w:r>
        <w:t xml:space="preserve">3.7.2 Frailty</w:t>
      </w:r>
    </w:p>
    <w:p>
      <w:pPr>
        <w:pStyle w:val="FirstParagraph"/>
      </w:pPr>
      <w:r>
        <w:t xml:space="preserve">Frailty at baseline will be characterised using the electronic frailty index (eFI — ideally eFI2</w:t>
      </w:r>
      <w:r>
        <w:t xml:space="preserve"> </w:t>
      </w:r>
      <w:r>
        <w:t xml:space="preserve">(17)</w:t>
      </w:r>
      <w:r>
        <w:t xml:space="preserve">) a widely utilised metric for identifying frailty within electronic health records. Using eFI (or similar) to identify potentially frail people in primary care in England is a GP contractual obligation, and those identified as severely frail are recommended for annual structured medication review according to NHS England.</w:t>
      </w:r>
    </w:p>
    <w:p>
      <w:pPr>
        <w:pStyle w:val="BodyText"/>
      </w:pPr>
      <w:r>
        <w:t xml:space="preserve">Four strata will be viewed: non-frail, mildly frail, moderately frail, severely frail.</w:t>
      </w:r>
    </w:p>
    <w:bookmarkEnd w:id="33"/>
    <w:bookmarkEnd w:id="34"/>
    <w:bookmarkStart w:id="36" w:name="statistical-methods"/>
    <w:p>
      <w:pPr>
        <w:pStyle w:val="Heading2"/>
      </w:pPr>
      <w:r>
        <w:t xml:space="preserve">3.8 Statistical methods</w:t>
      </w:r>
    </w:p>
    <w:bookmarkStart w:id="35" w:name="sensitivity-analysis"/>
    <w:p>
      <w:pPr>
        <w:pStyle w:val="Heading3"/>
      </w:pPr>
      <w:r>
        <w:t xml:space="preserve">3.8.1 Sensitivity analysis</w:t>
      </w:r>
    </w:p>
    <w:p>
      <w:pPr>
        <w:pStyle w:val="FirstParagraph"/>
      </w:pPr>
      <w:r>
        <w:t xml:space="preserve">In sensitivity analyses, we will explore the effect of including drugs that are administered through other routes.</w:t>
      </w:r>
    </w:p>
    <w:bookmarkEnd w:id="35"/>
    <w:bookmarkEnd w:id="36"/>
    <w:bookmarkStart w:id="37" w:name="tables-and-figures"/>
    <w:p>
      <w:pPr>
        <w:pStyle w:val="Heading2"/>
      </w:pPr>
      <w:r>
        <w:t xml:space="preserve">3.9 Tables and figures</w:t>
      </w:r>
    </w:p>
    <w:bookmarkEnd w:id="37"/>
    <w:bookmarkStart w:id="38" w:name="study-limitations"/>
    <w:p>
      <w:pPr>
        <w:pStyle w:val="Heading2"/>
      </w:pPr>
      <w:r>
        <w:t xml:space="preserve">3.10 Study limitations</w:t>
      </w:r>
    </w:p>
    <w:bookmarkEnd w:id="38"/>
    <w:bookmarkEnd w:id="39"/>
    <w:bookmarkStart w:id="42" w:name="other-information"/>
    <w:p>
      <w:pPr>
        <w:pStyle w:val="Heading1"/>
      </w:pPr>
      <w:r>
        <w:t xml:space="preserve">4. Other information</w:t>
      </w:r>
    </w:p>
    <w:bookmarkStart w:id="40" w:name="funding"/>
    <w:p>
      <w:pPr>
        <w:pStyle w:val="Heading2"/>
      </w:pPr>
      <w:r>
        <w:t xml:space="preserve">4.1 Funding</w:t>
      </w:r>
    </w:p>
    <w:bookmarkEnd w:id="40"/>
    <w:bookmarkStart w:id="41" w:name="ppie"/>
    <w:p>
      <w:pPr>
        <w:pStyle w:val="Heading2"/>
      </w:pPr>
      <w:r>
        <w:t xml:space="preserve">4.2 PPIE</w:t>
      </w:r>
    </w:p>
    <w:bookmarkEnd w:id="41"/>
    <w:bookmarkEnd w:id="42"/>
    <w:bookmarkStart w:id="74" w:name="references"/>
    <w:p>
      <w:pPr>
        <w:pStyle w:val="Heading1"/>
      </w:pPr>
      <w:r>
        <w:t xml:space="preserve">References</w:t>
      </w:r>
    </w:p>
    <w:bookmarkStart w:id="73" w:name="refs"/>
    <w:bookmarkStart w:id="44" w:name="ref-Brown2024"/>
    <w:p>
      <w:pPr>
        <w:pStyle w:val="Bibliography"/>
      </w:pPr>
      <w:r>
        <w:t xml:space="preserve">1.</w:t>
      </w:r>
      <w:r>
        <w:t xml:space="preserve"> </w:t>
      </w:r>
      <w:r>
        <w:t xml:space="preserve">	</w:t>
      </w:r>
      <w:r>
        <w:t xml:space="preserve">Brown JP, Hunnicutt JN, Ali MS, Bhaskaran K, Cole A, Langan SM, et al. Quantifying possible bias in clinical and epidemiological studies with quantitative bias analysis: Common approaches and limitations. BMJ. 2024;e076365. doi:</w:t>
      </w:r>
      <w:hyperlink r:id="rId43">
        <w:r>
          <w:rPr>
            <w:rStyle w:val="Hyperlink"/>
          </w:rPr>
          <w:t xml:space="preserve">10.1136/bmj-2023-076365</w:t>
        </w:r>
      </w:hyperlink>
    </w:p>
    <w:bookmarkEnd w:id="44"/>
    <w:bookmarkStart w:id="46" w:name="ref-Hawthorne2023"/>
    <w:p>
      <w:pPr>
        <w:pStyle w:val="Bibliography"/>
      </w:pPr>
      <w:r>
        <w:t xml:space="preserve">2.</w:t>
      </w:r>
      <w:r>
        <w:t xml:space="preserve"> </w:t>
      </w:r>
      <w:r>
        <w:t xml:space="preserve">	</w:t>
      </w:r>
      <w:r>
        <w:t xml:space="preserve">Hawthorne G, Lightfoot CJ, Smith AC, Khunti K, Wilkinson TJ. Multimorbidity prevalence and patterns in chronic kidney disease: Findings from an observational multicentre</w:t>
      </w:r>
      <w:r>
        <w:t xml:space="preserve"> </w:t>
      </w:r>
      <w:r>
        <w:t xml:space="preserve">UK</w:t>
      </w:r>
      <w:r>
        <w:t xml:space="preserve"> </w:t>
      </w:r>
      <w:r>
        <w:t xml:space="preserve">cohort study. International Urology and Nephrology. 2023;55(8):2047–57. doi:</w:t>
      </w:r>
      <w:hyperlink r:id="rId45">
        <w:r>
          <w:rPr>
            <w:rStyle w:val="Hyperlink"/>
          </w:rPr>
          <w:t xml:space="preserve">10.1007/s11255-023-03516-1</w:t>
        </w:r>
      </w:hyperlink>
    </w:p>
    <w:bookmarkEnd w:id="46"/>
    <w:bookmarkStart w:id="48" w:name="ref-vanOosten2021"/>
    <w:p>
      <w:pPr>
        <w:pStyle w:val="Bibliography"/>
      </w:pPr>
      <w:r>
        <w:t xml:space="preserve">3.</w:t>
      </w:r>
      <w:r>
        <w:t xml:space="preserve"> </w:t>
      </w:r>
      <w:r>
        <w:t xml:space="preserve">	</w:t>
      </w:r>
      <w:r>
        <w:t xml:space="preserve">Oosten MJM van, Logtenberg SJJ, Hemmellder MH, Leegte MJH, Bilo HJG, Jager KJ, et al. Polypharmacy and medication use in patients with chronic kidney disease with and without kidney replacement therapy compared to matched controls. Clinical Kidney Journal. 2021;14(12):2497–523. doi:</w:t>
      </w:r>
      <w:hyperlink r:id="rId47">
        <w:r>
          <w:rPr>
            <w:rStyle w:val="Hyperlink"/>
          </w:rPr>
          <w:t xml:space="preserve">10.1093/ckj/sfab120</w:t>
        </w:r>
      </w:hyperlink>
    </w:p>
    <w:bookmarkEnd w:id="48"/>
    <w:bookmarkStart w:id="50" w:name="ref-Fried2014"/>
    <w:p>
      <w:pPr>
        <w:pStyle w:val="Bibliography"/>
      </w:pPr>
      <w:r>
        <w:t xml:space="preserve">4.</w:t>
      </w:r>
      <w:r>
        <w:t xml:space="preserve"> </w:t>
      </w:r>
      <w:r>
        <w:t xml:space="preserve">	</w:t>
      </w:r>
      <w:r>
        <w:t xml:space="preserve">Fried TR, O’Leary J, Towle V, Goldstein MK, Trentalange M, Martin DK. Health outcomes associated with polypharmacy in community-dwelling older adults: A systematic review. Journal of the American Geriatrics Society. 2014;62(12):2261–72. doi:</w:t>
      </w:r>
      <w:hyperlink r:id="rId49">
        <w:r>
          <w:rPr>
            <w:rStyle w:val="Hyperlink"/>
          </w:rPr>
          <w:t xml:space="preserve">10.1111/jgs.13153</w:t>
        </w:r>
      </w:hyperlink>
    </w:p>
    <w:bookmarkEnd w:id="50"/>
    <w:bookmarkStart w:id="51" w:name="ref-WHO2023"/>
    <w:p>
      <w:pPr>
        <w:pStyle w:val="Bibliography"/>
      </w:pPr>
      <w:r>
        <w:t xml:space="preserve">5.</w:t>
      </w:r>
      <w:r>
        <w:t xml:space="preserve"> </w:t>
      </w:r>
      <w:r>
        <w:t xml:space="preserve">	</w:t>
      </w:r>
      <w:r>
        <w:t xml:space="preserve">World Health Organization. Medication without harm: Policy brief. World Health Organization; 2023.</w:t>
      </w:r>
    </w:p>
    <w:bookmarkEnd w:id="51"/>
    <w:bookmarkStart w:id="52" w:name="ref-Mohottige2021"/>
    <w:p>
      <w:pPr>
        <w:pStyle w:val="Bibliography"/>
      </w:pPr>
      <w:r>
        <w:t xml:space="preserve">6.</w:t>
      </w:r>
      <w:r>
        <w:t xml:space="preserve"> </w:t>
      </w:r>
      <w:r>
        <w:t xml:space="preserve">	</w:t>
      </w:r>
      <w:r>
        <w:t xml:space="preserve">Mohottige D, Manley HJ, Hall RK. Less is more: Deprescribing medications in older adults with kidney disease: A review. Kidney360. 2021;2(9):1510–22.</w:t>
      </w:r>
    </w:p>
    <w:bookmarkEnd w:id="52"/>
    <w:bookmarkStart w:id="54" w:name="ref-Colombijn2024"/>
    <w:p>
      <w:pPr>
        <w:pStyle w:val="Bibliography"/>
      </w:pPr>
      <w:r>
        <w:t xml:space="preserve">7.</w:t>
      </w:r>
      <w:r>
        <w:t xml:space="preserve"> </w:t>
      </w:r>
      <w:r>
        <w:t xml:space="preserve">	</w:t>
      </w:r>
      <w:r>
        <w:t xml:space="preserve">Colombijn JMT, Idema DL, Van Beem S, Blokland AM, Van Der Braak K, Handoko ML, et al. Representation of patients with chronic kidney disease in clinical trials of cardiovascular disease medications. JAMA Network Open. 2024;7(3):e240427. doi:</w:t>
      </w:r>
      <w:hyperlink r:id="rId53">
        <w:r>
          <w:rPr>
            <w:rStyle w:val="Hyperlink"/>
          </w:rPr>
          <w:t xml:space="preserve">10.1001/jamanetworkopen.2024.0427</w:t>
        </w:r>
      </w:hyperlink>
    </w:p>
    <w:bookmarkEnd w:id="54"/>
    <w:bookmarkStart w:id="56" w:name="ref-Stevens2024"/>
    <w:p>
      <w:pPr>
        <w:pStyle w:val="Bibliography"/>
      </w:pPr>
      <w:r>
        <w:t xml:space="preserve">8.</w:t>
      </w:r>
      <w:r>
        <w:t xml:space="preserve"> </w:t>
      </w:r>
      <w:r>
        <w:t xml:space="preserve">	</w:t>
      </w:r>
      <w:r>
        <w:t xml:space="preserve">Stevens PE, Ahmed SB, Carrero JJ, Foster B, Francis A, Hall RK, et al.</w:t>
      </w:r>
      <w:r>
        <w:t xml:space="preserve"> </w:t>
      </w:r>
      <w:r>
        <w:t xml:space="preserve">KDIGO</w:t>
      </w:r>
      <w:r>
        <w:t xml:space="preserve"> </w:t>
      </w:r>
      <w:r>
        <w:t xml:space="preserve">2024 clinical practice guideline for the evaluation and management of chronic kidney disease. Kidney International. 2024;105(4):S117–314. doi:</w:t>
      </w:r>
      <w:hyperlink r:id="rId55">
        <w:r>
          <w:rPr>
            <w:rStyle w:val="Hyperlink"/>
          </w:rPr>
          <w:t xml:space="preserve">10.1016/j.kint.2023.10.018</w:t>
        </w:r>
      </w:hyperlink>
    </w:p>
    <w:bookmarkEnd w:id="56"/>
    <w:bookmarkStart w:id="58" w:name="ref-Letts2024"/>
    <w:p>
      <w:pPr>
        <w:pStyle w:val="Bibliography"/>
      </w:pPr>
      <w:r>
        <w:t xml:space="preserve">9.</w:t>
      </w:r>
      <w:r>
        <w:t xml:space="preserve"> </w:t>
      </w:r>
      <w:r>
        <w:t xml:space="preserve">	</w:t>
      </w:r>
      <w:r>
        <w:t xml:space="preserve">Letts M, Chesnaye NC, Pippias M, Caskey F, Jager KJ, Dekker FW, et al. Prescribing patterns in older people with advanced chronic kidney disease towards the end of life. Clinical Kidney Journal. 2024. doi:</w:t>
      </w:r>
      <w:hyperlink r:id="rId57">
        <w:r>
          <w:rPr>
            <w:rStyle w:val="Hyperlink"/>
          </w:rPr>
          <w:t xml:space="preserve">10.1093/ckj/sfae301</w:t>
        </w:r>
      </w:hyperlink>
    </w:p>
    <w:bookmarkEnd w:id="58"/>
    <w:bookmarkStart w:id="60" w:name="ref-DHSC2021"/>
    <w:p>
      <w:pPr>
        <w:pStyle w:val="Bibliography"/>
      </w:pPr>
      <w:r>
        <w:t xml:space="preserve">10.</w:t>
      </w:r>
      <w:r>
        <w:t xml:space="preserve"> </w:t>
      </w:r>
      <w:r>
        <w:t xml:space="preserve">	</w:t>
      </w:r>
      <w:r>
        <w:t xml:space="preserve">Health &amp; Social Care UD of. Good for you, good for us, good for everybody [Electronic Book] [Internet]. 2021. Available from:</w:t>
      </w:r>
      <w:r>
        <w:t xml:space="preserve"> </w:t>
      </w:r>
      <w:hyperlink r:id="rId59">
        <w:r>
          <w:rPr>
            <w:rStyle w:val="Hyperlink"/>
          </w:rPr>
          <w:t xml:space="preserve">https://assets.publishing.service.gov.uk/government/uploads/system/uploads/attachment_data/file/1019475/good-for-you-good-for-us-good-for-everybody.pdf</w:t>
        </w:r>
      </w:hyperlink>
    </w:p>
    <w:bookmarkEnd w:id="60"/>
    <w:bookmarkStart w:id="61" w:name="ref-Sparks2025"/>
    <w:p>
      <w:pPr>
        <w:pStyle w:val="Bibliography"/>
      </w:pPr>
      <w:r>
        <w:t xml:space="preserve">11.</w:t>
      </w:r>
      <w:r>
        <w:t xml:space="preserve"> </w:t>
      </w:r>
      <w:r>
        <w:t xml:space="preserve">	</w:t>
      </w:r>
      <w:r>
        <w:t xml:space="preserve">Sparks C, Steinberg AG, Toussaint ND. Identifying and characterising a chronic kidney disease electronic-phenotype using electronic health record-derived data: A narrative review of strategies and applications. Nephrology. 2025;30(9).</w:t>
      </w:r>
    </w:p>
    <w:bookmarkEnd w:id="61"/>
    <w:bookmarkStart w:id="63" w:name="ref-Santhakumaran2024"/>
    <w:p>
      <w:pPr>
        <w:pStyle w:val="Bibliography"/>
      </w:pPr>
      <w:r>
        <w:t xml:space="preserve">12.</w:t>
      </w:r>
      <w:r>
        <w:t xml:space="preserve"> </w:t>
      </w:r>
      <w:r>
        <w:t xml:space="preserve">	</w:t>
      </w:r>
      <w:r>
        <w:t xml:space="preserve">Santhakumaran S, Fisher L, Zheng B, Mahalingasivam V, Plumb L, Parker EPK, et al. Identification of patients undergoing chronic kidney replacement therapy in primary and secondary care data: Validation study based on</w:t>
      </w:r>
      <w:r>
        <w:t xml:space="preserve"> </w:t>
      </w:r>
      <w:r>
        <w:t xml:space="preserve">OpenSAFELY</w:t>
      </w:r>
      <w:r>
        <w:t xml:space="preserve"> </w:t>
      </w:r>
      <w:r>
        <w:t xml:space="preserve">and</w:t>
      </w:r>
      <w:r>
        <w:t xml:space="preserve"> </w:t>
      </w:r>
      <w:r>
        <w:t xml:space="preserve">UK</w:t>
      </w:r>
      <w:r>
        <w:t xml:space="preserve"> </w:t>
      </w:r>
      <w:r>
        <w:t xml:space="preserve">renal registry. BMJ Medicine. 2024;3(1):e000807. doi:</w:t>
      </w:r>
      <w:hyperlink r:id="rId62">
        <w:r>
          <w:rPr>
            <w:rStyle w:val="Hyperlink"/>
          </w:rPr>
          <w:t xml:space="preserve">10.1136/bmjmed-2023-000807</w:t>
        </w:r>
      </w:hyperlink>
    </w:p>
    <w:bookmarkEnd w:id="63"/>
    <w:bookmarkStart w:id="65" w:name="ref-Goedken2016"/>
    <w:p>
      <w:pPr>
        <w:pStyle w:val="Bibliography"/>
      </w:pPr>
      <w:r>
        <w:t xml:space="preserve">13.</w:t>
      </w:r>
      <w:r>
        <w:t xml:space="preserve"> </w:t>
      </w:r>
      <w:r>
        <w:t xml:space="preserve">	</w:t>
      </w:r>
      <w:r>
        <w:t xml:space="preserve">Goedken AM, Lund BC, Cook EA, Schroeder MC, Brooks JM. Application of a framework for determining number of drugs. BMC Research Notes. 2016;9(1). doi:</w:t>
      </w:r>
      <w:hyperlink r:id="rId64">
        <w:r>
          <w:rPr>
            <w:rStyle w:val="Hyperlink"/>
          </w:rPr>
          <w:t xml:space="preserve">10.1186/s13104-016-2076-5</w:t>
        </w:r>
      </w:hyperlink>
    </w:p>
    <w:bookmarkEnd w:id="65"/>
    <w:bookmarkStart w:id="67" w:name="ref-Mackenna2025"/>
    <w:p>
      <w:pPr>
        <w:pStyle w:val="Bibliography"/>
      </w:pPr>
      <w:r>
        <w:t xml:space="preserve">14.</w:t>
      </w:r>
      <w:r>
        <w:t xml:space="preserve"> </w:t>
      </w:r>
      <w:r>
        <w:t xml:space="preserve">	</w:t>
      </w:r>
      <w:r>
        <w:t xml:space="preserve">Mackenna B, Brown AD, Croker R, Walker AJ, Goldacre B, Tsiachristas A, et al. Variation in duration of repeat prescriptions: A primary care cohort study in</w:t>
      </w:r>
      <w:r>
        <w:t xml:space="preserve"> </w:t>
      </w:r>
      <w:r>
        <w:t xml:space="preserve">England</w:t>
      </w:r>
      <w:r>
        <w:t xml:space="preserve">. British Journal of General Practice. 2025;75(756):e448–56. doi:</w:t>
      </w:r>
      <w:hyperlink r:id="rId66">
        <w:r>
          <w:rPr>
            <w:rStyle w:val="Hyperlink"/>
          </w:rPr>
          <w:t xml:space="preserve">10.3399/bjgp.2024.0326</w:t>
        </w:r>
      </w:hyperlink>
    </w:p>
    <w:bookmarkEnd w:id="67"/>
    <w:bookmarkStart w:id="69" w:name="ref-Bayliss2025"/>
    <w:p>
      <w:pPr>
        <w:pStyle w:val="Bibliography"/>
      </w:pPr>
      <w:r>
        <w:t xml:space="preserve">15.</w:t>
      </w:r>
      <w:r>
        <w:t xml:space="preserve"> </w:t>
      </w:r>
      <w:r>
        <w:t xml:space="preserve">	</w:t>
      </w:r>
      <w:r>
        <w:t xml:space="preserve">Bayliss EA, Goodrich GK, Barrow JC, Harding B, Ripley CA, Kraus CR, et al. Discontinuation categories underlying gaps in dispensing for six medication groups. Pharmacoepidemiology and Drug Safety. 2025;34(4). doi:</w:t>
      </w:r>
      <w:hyperlink r:id="rId68">
        <w:r>
          <w:rPr>
            <w:rStyle w:val="Hyperlink"/>
          </w:rPr>
          <w:t xml:space="preserve">10.1002/pds.70142</w:t>
        </w:r>
      </w:hyperlink>
    </w:p>
    <w:bookmarkEnd w:id="69"/>
    <w:bookmarkStart w:id="70" w:name="ref-Grams2018"/>
    <w:p>
      <w:pPr>
        <w:pStyle w:val="Bibliography"/>
      </w:pPr>
      <w:r>
        <w:t xml:space="preserve">16.</w:t>
      </w:r>
      <w:r>
        <w:t xml:space="preserve"> </w:t>
      </w:r>
      <w:r>
        <w:t xml:space="preserve">	</w:t>
      </w:r>
      <w:r>
        <w:t xml:space="preserve">Grams ME et al.</w:t>
      </w:r>
      <w:r>
        <w:t xml:space="preserve"> Predicting timing of clinical outcomes in patients with chronic kidney disease and severely decreased glomerular filtration rate. Kidney International. 2018;93(6):1442–51.</w:t>
      </w:r>
    </w:p>
    <w:bookmarkEnd w:id="70"/>
    <w:bookmarkStart w:id="72" w:name="ref-Best2025"/>
    <w:p>
      <w:pPr>
        <w:pStyle w:val="Bibliography"/>
      </w:pPr>
      <w:r>
        <w:t xml:space="preserve">17.</w:t>
      </w:r>
      <w:r>
        <w:t xml:space="preserve"> </w:t>
      </w:r>
      <w:r>
        <w:t xml:space="preserve">	</w:t>
      </w:r>
      <w:r>
        <w:t xml:space="preserve">Best K, Shuweihdi F, Alvarez JCB, Relton S, Avgerinou C, Nimmons D, et al. Development and external validation of the electronic frailty index 2 using routine primary care electronic health record data. Age and Ageing. 2025;54(4). doi:</w:t>
      </w:r>
      <w:hyperlink r:id="rId71">
        <w:r>
          <w:rPr>
            <w:rStyle w:val="Hyperlink"/>
          </w:rPr>
          <w:t xml:space="preserve">10.1093/ageing/afaf077</w:t>
        </w:r>
      </w:hyperlink>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9" Target="https://assets.publishing.service.gov.uk/government/uploads/system/uploads/attachment_data/file/1019475/good-for-you-good-for-us-good-for-everybody.pdf" TargetMode="External" /><Relationship Type="http://schemas.openxmlformats.org/officeDocument/2006/relationships/hyperlink" Id="rId31" Target="https://ckdpcrisk.org/lowgfrevents/" TargetMode="External" /><Relationship Type="http://schemas.openxmlformats.org/officeDocument/2006/relationships/hyperlink" Id="rId21" Target="https://digital.nhs.uk/data-and-information/information-standards/governance/latest-activity/standards-and-collections/scci0052-dictionary-of-medicines-and-devices-dm-d/" TargetMode="External" /><Relationship Type="http://schemas.openxmlformats.org/officeDocument/2006/relationships/hyperlink" Id="rId53" Target="https://doi.org/10.1001/jamanetworkopen.2024.0427" TargetMode="External" /><Relationship Type="http://schemas.openxmlformats.org/officeDocument/2006/relationships/hyperlink" Id="rId68" Target="https://doi.org/10.1002/pds.70142" TargetMode="External" /><Relationship Type="http://schemas.openxmlformats.org/officeDocument/2006/relationships/hyperlink" Id="rId45" Target="https://doi.org/10.1007/s11255-023-03516-1" TargetMode="External" /><Relationship Type="http://schemas.openxmlformats.org/officeDocument/2006/relationships/hyperlink" Id="rId55" Target="https://doi.org/10.1016/j.kint.2023.10.018" TargetMode="External" /><Relationship Type="http://schemas.openxmlformats.org/officeDocument/2006/relationships/hyperlink" Id="rId71" Target="https://doi.org/10.1093/ageing/afaf077" TargetMode="External" /><Relationship Type="http://schemas.openxmlformats.org/officeDocument/2006/relationships/hyperlink" Id="rId47" Target="https://doi.org/10.1093/ckj/sfab120" TargetMode="External" /><Relationship Type="http://schemas.openxmlformats.org/officeDocument/2006/relationships/hyperlink" Id="rId57" Target="https://doi.org/10.1093/ckj/sfae301" TargetMode="External" /><Relationship Type="http://schemas.openxmlformats.org/officeDocument/2006/relationships/hyperlink" Id="rId49" Target="https://doi.org/10.1111/jgs.13153" TargetMode="External" /><Relationship Type="http://schemas.openxmlformats.org/officeDocument/2006/relationships/hyperlink" Id="rId43" Target="https://doi.org/10.1136/bmj-2023-076365" TargetMode="External" /><Relationship Type="http://schemas.openxmlformats.org/officeDocument/2006/relationships/hyperlink" Id="rId62" Target="https://doi.org/10.1136/bmjmed-2023-000807" TargetMode="External" /><Relationship Type="http://schemas.openxmlformats.org/officeDocument/2006/relationships/hyperlink" Id="rId64" Target="https://doi.org/10.1186/s13104-016-2076-5" TargetMode="External" /><Relationship Type="http://schemas.openxmlformats.org/officeDocument/2006/relationships/hyperlink" Id="rId66" Target="https://doi.org/10.3399/bjgp.2024.0326" TargetMode="External" /><Relationship Type="http://schemas.openxmlformats.org/officeDocument/2006/relationships/hyperlink" Id="rId22" Target="https://isd.digital.nhs.uk/trud/users/guest/filters/0/categories/6" TargetMode="External" /><Relationship Type="http://schemas.openxmlformats.org/officeDocument/2006/relationships/hyperlink" Id="rId23" Target="https://www.nhsbsa.nhs.uk/prescription-data/understanding-our-data/bnf-snomed-mapping" TargetMode="External" /><Relationship Type="http://schemas.openxmlformats.org/officeDocument/2006/relationships/hyperlink" Id="rId16" Target="https://www.opencodelists.org/codelist/opensafely/renal-replacement-therapy/2020-04-14/#full-list" TargetMode="External" /><Relationship Type="http://schemas.openxmlformats.org/officeDocument/2006/relationships/hyperlink" Id="rId14" Target="https://www.opencodelists.org/codelist/user/mletts92/chronic-kidney-disease-stage-4-and-5-but-not-receiving-kidney-replacement-therapy/49c071e2/" TargetMode="External" /><Relationship Type="http://schemas.openxmlformats.org/officeDocument/2006/relationships/hyperlink" Id="rId13" Target="https://www.ukkidney.org/health-professionals/information-resources/uk-eckd-guide/measurement-kidney-function" TargetMode="External" /></Relationships>
</file>

<file path=word/_rels/footnotes.xml.rels><?xml version="1.0" encoding="UTF-8"?><Relationships xmlns="http://schemas.openxmlformats.org/package/2006/relationships"><Relationship Type="http://schemas.openxmlformats.org/officeDocument/2006/relationships/hyperlink" Id="rId59" Target="https://assets.publishing.service.gov.uk/government/uploads/system/uploads/attachment_data/file/1019475/good-for-you-good-for-us-good-for-everybody.pdf" TargetMode="External" /><Relationship Type="http://schemas.openxmlformats.org/officeDocument/2006/relationships/hyperlink" Id="rId31" Target="https://ckdpcrisk.org/lowgfrevents/" TargetMode="External" /><Relationship Type="http://schemas.openxmlformats.org/officeDocument/2006/relationships/hyperlink" Id="rId21" Target="https://digital.nhs.uk/data-and-information/information-standards/governance/latest-activity/standards-and-collections/scci0052-dictionary-of-medicines-and-devices-dm-d/" TargetMode="External" /><Relationship Type="http://schemas.openxmlformats.org/officeDocument/2006/relationships/hyperlink" Id="rId53" Target="https://doi.org/10.1001/jamanetworkopen.2024.0427" TargetMode="External" /><Relationship Type="http://schemas.openxmlformats.org/officeDocument/2006/relationships/hyperlink" Id="rId68" Target="https://doi.org/10.1002/pds.70142" TargetMode="External" /><Relationship Type="http://schemas.openxmlformats.org/officeDocument/2006/relationships/hyperlink" Id="rId45" Target="https://doi.org/10.1007/s11255-023-03516-1" TargetMode="External" /><Relationship Type="http://schemas.openxmlformats.org/officeDocument/2006/relationships/hyperlink" Id="rId55" Target="https://doi.org/10.1016/j.kint.2023.10.018" TargetMode="External" /><Relationship Type="http://schemas.openxmlformats.org/officeDocument/2006/relationships/hyperlink" Id="rId71" Target="https://doi.org/10.1093/ageing/afaf077" TargetMode="External" /><Relationship Type="http://schemas.openxmlformats.org/officeDocument/2006/relationships/hyperlink" Id="rId47" Target="https://doi.org/10.1093/ckj/sfab120" TargetMode="External" /><Relationship Type="http://schemas.openxmlformats.org/officeDocument/2006/relationships/hyperlink" Id="rId57" Target="https://doi.org/10.1093/ckj/sfae301" TargetMode="External" /><Relationship Type="http://schemas.openxmlformats.org/officeDocument/2006/relationships/hyperlink" Id="rId49" Target="https://doi.org/10.1111/jgs.13153" TargetMode="External" /><Relationship Type="http://schemas.openxmlformats.org/officeDocument/2006/relationships/hyperlink" Id="rId43" Target="https://doi.org/10.1136/bmj-2023-076365" TargetMode="External" /><Relationship Type="http://schemas.openxmlformats.org/officeDocument/2006/relationships/hyperlink" Id="rId62" Target="https://doi.org/10.1136/bmjmed-2023-000807" TargetMode="External" /><Relationship Type="http://schemas.openxmlformats.org/officeDocument/2006/relationships/hyperlink" Id="rId64" Target="https://doi.org/10.1186/s13104-016-2076-5" TargetMode="External" /><Relationship Type="http://schemas.openxmlformats.org/officeDocument/2006/relationships/hyperlink" Id="rId66" Target="https://doi.org/10.3399/bjgp.2024.0326" TargetMode="External" /><Relationship Type="http://schemas.openxmlformats.org/officeDocument/2006/relationships/hyperlink" Id="rId22" Target="https://isd.digital.nhs.uk/trud/users/guest/filters/0/categories/6" TargetMode="External" /><Relationship Type="http://schemas.openxmlformats.org/officeDocument/2006/relationships/hyperlink" Id="rId23" Target="https://www.nhsbsa.nhs.uk/prescription-data/understanding-our-data/bnf-snomed-mapping" TargetMode="External" /><Relationship Type="http://schemas.openxmlformats.org/officeDocument/2006/relationships/hyperlink" Id="rId16" Target="https://www.opencodelists.org/codelist/opensafely/renal-replacement-therapy/2020-04-14/#full-list" TargetMode="External" /><Relationship Type="http://schemas.openxmlformats.org/officeDocument/2006/relationships/hyperlink" Id="rId14" Target="https://www.opencodelists.org/codelist/user/mletts92/chronic-kidney-disease-stage-4-and-5-but-not-receiving-kidney-replacement-therapy/49c071e2/" TargetMode="External" /><Relationship Type="http://schemas.openxmlformats.org/officeDocument/2006/relationships/hyperlink" Id="rId13" Target="https://www.ukkidney.org/health-professionals/information-resources/uk-eckd-guide/measurement-kidney-fun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Descriptive Analysis of Deprescribing Patterns for People Living with Advanced Chronic Kidney Disease</dc:title>
  <dc:creator>Matthew Letts1,2, Robert Porteous1, Rachel Denholm1, Rupert Payne3, Jonathan Sterne1, Fergus Caskey2</dc:creator>
  <cp:keywords/>
  <dcterms:created xsi:type="dcterms:W3CDTF">2026-06-24T12:38:30Z</dcterms:created>
  <dcterms:modified xsi:type="dcterms:W3CDTF">2026-06-24T12:38:30Z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date">
    <vt:lpwstr>24 June 2026</vt:lpwstr>
  </property>
  <property fmtid="{D5CDD505-2E9C-101B-9397-08002B2CF9AE}" pid="8" name="date-format">
    <vt:lpwstr>D MMMM YYYY</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