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571C5" w14:textId="6B6DD5F1" w:rsidR="005D1F54" w:rsidRPr="00303D1A" w:rsidRDefault="005D1F54" w:rsidP="00345E7A">
      <w:pPr>
        <w:spacing w:line="480" w:lineRule="auto"/>
        <w:ind w:firstLine="720"/>
        <w:rPr>
          <w:rFonts w:ascii="Arial" w:hAnsi="Arial" w:cs="Arial"/>
          <w:sz w:val="24"/>
          <w:szCs w:val="24"/>
        </w:rPr>
      </w:pPr>
      <w:r w:rsidRPr="00303D1A">
        <w:rPr>
          <w:rFonts w:ascii="Arial" w:hAnsi="Arial" w:cs="Arial"/>
          <w:sz w:val="24"/>
          <w:szCs w:val="24"/>
        </w:rPr>
        <w:t xml:space="preserve">In considering the influence school type may have on default rates, it was </w:t>
      </w:r>
      <w:r w:rsidR="00520552" w:rsidRPr="00303D1A">
        <w:rPr>
          <w:rFonts w:ascii="Arial" w:hAnsi="Arial" w:cs="Arial"/>
          <w:sz w:val="24"/>
          <w:szCs w:val="24"/>
        </w:rPr>
        <w:t>essential</w:t>
      </w:r>
      <w:r w:rsidRPr="00303D1A">
        <w:rPr>
          <w:rFonts w:ascii="Arial" w:hAnsi="Arial" w:cs="Arial"/>
          <w:sz w:val="24"/>
          <w:szCs w:val="24"/>
        </w:rPr>
        <w:t xml:space="preserve"> to identify the various levels that c</w:t>
      </w:r>
      <w:r w:rsidR="00303D1A">
        <w:rPr>
          <w:rFonts w:ascii="Arial" w:hAnsi="Arial" w:cs="Arial"/>
          <w:sz w:val="24"/>
          <w:szCs w:val="24"/>
        </w:rPr>
        <w:t>omprised the variable. The PEPS</w:t>
      </w:r>
      <w:r w:rsidRPr="00303D1A">
        <w:rPr>
          <w:rFonts w:ascii="Arial" w:hAnsi="Arial" w:cs="Arial"/>
          <w:sz w:val="24"/>
          <w:szCs w:val="24"/>
        </w:rPr>
        <w:t xml:space="preserve">300 data frame obtained from the Department of Education coded </w:t>
      </w:r>
      <w:r w:rsidR="00C9294F" w:rsidRPr="00303D1A">
        <w:rPr>
          <w:rFonts w:ascii="Arial" w:hAnsi="Arial" w:cs="Arial"/>
          <w:sz w:val="24"/>
          <w:szCs w:val="24"/>
        </w:rPr>
        <w:t xml:space="preserve">the </w:t>
      </w:r>
      <w:r w:rsidR="00303D1A">
        <w:rPr>
          <w:rFonts w:ascii="Arial" w:hAnsi="Arial" w:cs="Arial"/>
          <w:sz w:val="24"/>
          <w:szCs w:val="24"/>
        </w:rPr>
        <w:t>“</w:t>
      </w:r>
      <w:r w:rsidR="00C9294F" w:rsidRPr="00303D1A">
        <w:rPr>
          <w:rFonts w:ascii="Arial" w:hAnsi="Arial" w:cs="Arial"/>
          <w:sz w:val="24"/>
          <w:szCs w:val="24"/>
        </w:rPr>
        <w:t>School Type</w:t>
      </w:r>
      <w:r w:rsidR="00303D1A">
        <w:rPr>
          <w:rFonts w:ascii="Arial" w:hAnsi="Arial" w:cs="Arial"/>
          <w:sz w:val="24"/>
          <w:szCs w:val="24"/>
        </w:rPr>
        <w:t>”</w:t>
      </w:r>
      <w:r w:rsidR="00C9294F" w:rsidRPr="00303D1A">
        <w:rPr>
          <w:rFonts w:ascii="Arial" w:hAnsi="Arial" w:cs="Arial"/>
          <w:sz w:val="24"/>
          <w:szCs w:val="24"/>
        </w:rPr>
        <w:t xml:space="preserve"> variable</w:t>
      </w:r>
      <w:r w:rsidRPr="00303D1A">
        <w:rPr>
          <w:rFonts w:ascii="Arial" w:hAnsi="Arial" w:cs="Arial"/>
          <w:sz w:val="24"/>
          <w:szCs w:val="24"/>
        </w:rPr>
        <w:t xml:space="preserve"> with 6 levels: 1 (Public Institutions), 2 (Private-Non-Profit Institutions), 3 (Proprietary Institutions)</w:t>
      </w:r>
      <w:r w:rsidR="00303D1A">
        <w:rPr>
          <w:rFonts w:ascii="Arial" w:hAnsi="Arial" w:cs="Arial"/>
          <w:sz w:val="24"/>
          <w:szCs w:val="24"/>
        </w:rPr>
        <w:t>,</w:t>
      </w:r>
      <w:r w:rsidRPr="00303D1A">
        <w:rPr>
          <w:rFonts w:ascii="Arial" w:hAnsi="Arial" w:cs="Arial"/>
          <w:sz w:val="24"/>
          <w:szCs w:val="24"/>
        </w:rPr>
        <w:t xml:space="preserve"> 5 (Foreign, Public Institutions), </w:t>
      </w:r>
      <w:r w:rsidR="00C9294F" w:rsidRPr="00303D1A">
        <w:rPr>
          <w:rFonts w:ascii="Arial" w:hAnsi="Arial" w:cs="Arial"/>
          <w:sz w:val="24"/>
          <w:szCs w:val="24"/>
        </w:rPr>
        <w:t>6</w:t>
      </w:r>
      <w:r w:rsidRPr="00303D1A">
        <w:rPr>
          <w:rFonts w:ascii="Arial" w:hAnsi="Arial" w:cs="Arial"/>
          <w:sz w:val="24"/>
          <w:szCs w:val="24"/>
        </w:rPr>
        <w:t xml:space="preserve"> (Foreign, Private-Non-Profit Institutions), </w:t>
      </w:r>
      <w:r w:rsidR="00C9294F" w:rsidRPr="00303D1A">
        <w:rPr>
          <w:rFonts w:ascii="Arial" w:hAnsi="Arial" w:cs="Arial"/>
          <w:sz w:val="24"/>
          <w:szCs w:val="24"/>
        </w:rPr>
        <w:t>7</w:t>
      </w:r>
      <w:r w:rsidRPr="00303D1A">
        <w:rPr>
          <w:rFonts w:ascii="Arial" w:hAnsi="Arial" w:cs="Arial"/>
          <w:sz w:val="24"/>
          <w:szCs w:val="24"/>
        </w:rPr>
        <w:t xml:space="preserve"> (Foreign, Proprietary Institutions)</w:t>
      </w:r>
      <w:r w:rsidR="008A4027" w:rsidRPr="00303D1A">
        <w:rPr>
          <w:rFonts w:ascii="Arial" w:hAnsi="Arial" w:cs="Arial"/>
          <w:sz w:val="24"/>
          <w:szCs w:val="24"/>
        </w:rPr>
        <w:t xml:space="preserve">. </w:t>
      </w:r>
    </w:p>
    <w:p w14:paraId="62BFCC93" w14:textId="7E4636D8" w:rsidR="00D17155" w:rsidRPr="00303D1A" w:rsidRDefault="00D17155" w:rsidP="00345E7A">
      <w:pPr>
        <w:spacing w:line="480" w:lineRule="auto"/>
        <w:ind w:firstLine="720"/>
        <w:rPr>
          <w:rFonts w:ascii="Arial" w:hAnsi="Arial" w:cs="Arial"/>
          <w:sz w:val="24"/>
          <w:szCs w:val="24"/>
        </w:rPr>
      </w:pPr>
      <w:r w:rsidRPr="00303D1A">
        <w:rPr>
          <w:rFonts w:ascii="Arial" w:hAnsi="Arial" w:cs="Arial"/>
          <w:sz w:val="24"/>
          <w:szCs w:val="24"/>
        </w:rPr>
        <w:t xml:space="preserve">The </w:t>
      </w:r>
      <w:r w:rsidR="00303D1A">
        <w:rPr>
          <w:rFonts w:ascii="Arial" w:hAnsi="Arial" w:cs="Arial"/>
          <w:sz w:val="24"/>
          <w:szCs w:val="24"/>
        </w:rPr>
        <w:t>PEPS</w:t>
      </w:r>
      <w:r w:rsidR="00520552" w:rsidRPr="00303D1A">
        <w:rPr>
          <w:rFonts w:ascii="Arial" w:hAnsi="Arial" w:cs="Arial"/>
          <w:sz w:val="24"/>
          <w:szCs w:val="24"/>
        </w:rPr>
        <w:t xml:space="preserve">300 </w:t>
      </w:r>
      <w:r w:rsidRPr="00303D1A">
        <w:rPr>
          <w:rFonts w:ascii="Arial" w:hAnsi="Arial" w:cs="Arial"/>
          <w:sz w:val="24"/>
          <w:szCs w:val="24"/>
        </w:rPr>
        <w:t xml:space="preserve">data frame, from which we obtained the “School Type” variable was read in with </w:t>
      </w:r>
      <w:r w:rsidR="00CA5ACB">
        <w:rPr>
          <w:rFonts w:ascii="Arial" w:hAnsi="Arial" w:cs="Arial"/>
          <w:sz w:val="24"/>
          <w:szCs w:val="24"/>
        </w:rPr>
        <w:t>school type</w:t>
      </w:r>
      <w:r w:rsidRPr="00303D1A">
        <w:rPr>
          <w:rFonts w:ascii="Arial" w:hAnsi="Arial" w:cs="Arial"/>
          <w:sz w:val="24"/>
          <w:szCs w:val="24"/>
        </w:rPr>
        <w:t xml:space="preserve"> showing </w:t>
      </w:r>
      <w:r w:rsidR="00520552" w:rsidRPr="00303D1A">
        <w:rPr>
          <w:rFonts w:ascii="Arial" w:hAnsi="Arial" w:cs="Arial"/>
          <w:sz w:val="24"/>
          <w:szCs w:val="24"/>
        </w:rPr>
        <w:t xml:space="preserve">as a numeric variable with levels 1, 2, 3, 5, 6, 7. </w:t>
      </w:r>
      <w:r w:rsidRPr="00303D1A">
        <w:rPr>
          <w:rFonts w:ascii="Arial" w:hAnsi="Arial" w:cs="Arial"/>
          <w:sz w:val="24"/>
          <w:szCs w:val="24"/>
        </w:rPr>
        <w:t>After the data was merged</w:t>
      </w:r>
      <w:r w:rsidR="00303D1A">
        <w:rPr>
          <w:rFonts w:ascii="Arial" w:hAnsi="Arial" w:cs="Arial"/>
          <w:sz w:val="24"/>
          <w:szCs w:val="24"/>
        </w:rPr>
        <w:t xml:space="preserve"> using matching UNIT_ID</w:t>
      </w:r>
      <w:r w:rsidRPr="00303D1A">
        <w:rPr>
          <w:rFonts w:ascii="Arial" w:hAnsi="Arial" w:cs="Arial"/>
          <w:sz w:val="24"/>
          <w:szCs w:val="24"/>
        </w:rPr>
        <w:t xml:space="preserve"> and </w:t>
      </w:r>
      <w:r w:rsidR="00303D1A">
        <w:rPr>
          <w:rFonts w:ascii="Arial" w:hAnsi="Arial" w:cs="Arial"/>
          <w:sz w:val="24"/>
          <w:szCs w:val="24"/>
        </w:rPr>
        <w:t>OPEID numbers</w:t>
      </w:r>
      <w:r w:rsidRPr="00303D1A">
        <w:rPr>
          <w:rFonts w:ascii="Arial" w:hAnsi="Arial" w:cs="Arial"/>
          <w:sz w:val="24"/>
          <w:szCs w:val="24"/>
        </w:rPr>
        <w:t xml:space="preserve"> and after omitting incomplete cases</w:t>
      </w:r>
      <w:r w:rsidR="00303D1A">
        <w:rPr>
          <w:rFonts w:ascii="Arial" w:hAnsi="Arial" w:cs="Arial"/>
          <w:sz w:val="24"/>
          <w:szCs w:val="24"/>
        </w:rPr>
        <w:t>,</w:t>
      </w:r>
      <w:r w:rsidRPr="00303D1A">
        <w:rPr>
          <w:rFonts w:ascii="Arial" w:hAnsi="Arial" w:cs="Arial"/>
          <w:sz w:val="24"/>
          <w:szCs w:val="24"/>
        </w:rPr>
        <w:t xml:space="preserve"> three levels for </w:t>
      </w:r>
      <w:r w:rsidR="00303D1A">
        <w:rPr>
          <w:rFonts w:ascii="Arial" w:hAnsi="Arial" w:cs="Arial"/>
          <w:sz w:val="24"/>
          <w:szCs w:val="24"/>
        </w:rPr>
        <w:t>school type</w:t>
      </w:r>
      <w:r w:rsidRPr="00303D1A">
        <w:rPr>
          <w:rFonts w:ascii="Arial" w:hAnsi="Arial" w:cs="Arial"/>
          <w:sz w:val="24"/>
          <w:szCs w:val="24"/>
        </w:rPr>
        <w:t xml:space="preserve"> were omitted entirely—5 (Foreign, Public Institutions), 6 (Foreign, Private-Non-Profit Institutions), 7 (Foreign, Proprietary Institutions). </w:t>
      </w:r>
      <w:r w:rsidR="00CA5ACB">
        <w:rPr>
          <w:rFonts w:ascii="Arial" w:hAnsi="Arial" w:cs="Arial"/>
          <w:sz w:val="24"/>
          <w:szCs w:val="24"/>
        </w:rPr>
        <w:t>It left</w:t>
      </w:r>
      <w:r w:rsidRPr="00303D1A">
        <w:rPr>
          <w:rFonts w:ascii="Arial" w:hAnsi="Arial" w:cs="Arial"/>
          <w:sz w:val="24"/>
          <w:szCs w:val="24"/>
        </w:rPr>
        <w:t xml:space="preserve"> 1339 observations of 1</w:t>
      </w:r>
      <w:r w:rsidR="00CA5ACB">
        <w:rPr>
          <w:rFonts w:ascii="Arial" w:hAnsi="Arial" w:cs="Arial"/>
          <w:sz w:val="24"/>
          <w:szCs w:val="24"/>
        </w:rPr>
        <w:t xml:space="preserve"> </w:t>
      </w:r>
      <w:r w:rsidRPr="00303D1A">
        <w:rPr>
          <w:rFonts w:ascii="Arial" w:hAnsi="Arial" w:cs="Arial"/>
          <w:sz w:val="24"/>
          <w:szCs w:val="24"/>
        </w:rPr>
        <w:t>(</w:t>
      </w:r>
      <w:r w:rsidR="00303D1A">
        <w:rPr>
          <w:rFonts w:ascii="Arial" w:hAnsi="Arial" w:cs="Arial"/>
          <w:sz w:val="24"/>
          <w:szCs w:val="24"/>
        </w:rPr>
        <w:t>Public I</w:t>
      </w:r>
      <w:r w:rsidRPr="00303D1A">
        <w:rPr>
          <w:rFonts w:ascii="Arial" w:hAnsi="Arial" w:cs="Arial"/>
          <w:sz w:val="24"/>
          <w:szCs w:val="24"/>
        </w:rPr>
        <w:t>nstitutions), 1175 observations of 2 (P</w:t>
      </w:r>
      <w:r w:rsidR="00303D1A">
        <w:rPr>
          <w:rFonts w:ascii="Arial" w:hAnsi="Arial" w:cs="Arial"/>
          <w:sz w:val="24"/>
          <w:szCs w:val="24"/>
        </w:rPr>
        <w:t>rivate In</w:t>
      </w:r>
      <w:r w:rsidRPr="00303D1A">
        <w:rPr>
          <w:rFonts w:ascii="Arial" w:hAnsi="Arial" w:cs="Arial"/>
          <w:sz w:val="24"/>
          <w:szCs w:val="24"/>
        </w:rPr>
        <w:t>stitutions) and 304 observations of 3 (P</w:t>
      </w:r>
      <w:r w:rsidR="00303D1A">
        <w:rPr>
          <w:rFonts w:ascii="Arial" w:hAnsi="Arial" w:cs="Arial"/>
          <w:sz w:val="24"/>
          <w:szCs w:val="24"/>
        </w:rPr>
        <w:t>roprietary I</w:t>
      </w:r>
      <w:r w:rsidRPr="00303D1A">
        <w:rPr>
          <w:rFonts w:ascii="Arial" w:hAnsi="Arial" w:cs="Arial"/>
          <w:sz w:val="24"/>
          <w:szCs w:val="24"/>
        </w:rPr>
        <w:t xml:space="preserve">nstitutions). Unfortunately, the data merge (and subsequent purge of incomplete cases) </w:t>
      </w:r>
      <w:r w:rsidR="00303D1A">
        <w:rPr>
          <w:rFonts w:ascii="Arial" w:hAnsi="Arial" w:cs="Arial"/>
          <w:sz w:val="24"/>
          <w:szCs w:val="24"/>
        </w:rPr>
        <w:t>trimmed our data to less</w:t>
      </w:r>
      <w:r w:rsidRPr="00303D1A">
        <w:rPr>
          <w:rFonts w:ascii="Arial" w:hAnsi="Arial" w:cs="Arial"/>
          <w:sz w:val="24"/>
          <w:szCs w:val="24"/>
        </w:rPr>
        <w:t xml:space="preserve"> than a third of the institutions that were initially </w:t>
      </w:r>
      <w:r w:rsidR="00303D1A">
        <w:rPr>
          <w:rFonts w:ascii="Arial" w:hAnsi="Arial" w:cs="Arial"/>
          <w:sz w:val="24"/>
          <w:szCs w:val="24"/>
        </w:rPr>
        <w:t>included</w:t>
      </w:r>
      <w:r w:rsidRPr="00303D1A">
        <w:rPr>
          <w:rFonts w:ascii="Arial" w:hAnsi="Arial" w:cs="Arial"/>
          <w:sz w:val="24"/>
          <w:szCs w:val="24"/>
        </w:rPr>
        <w:t xml:space="preserve"> in the PEPS300 data. </w:t>
      </w:r>
    </w:p>
    <w:p w14:paraId="4AC573F5" w14:textId="5BAB782D" w:rsidR="001C3318" w:rsidRPr="00303D1A" w:rsidRDefault="00520552" w:rsidP="00345E7A">
      <w:pPr>
        <w:spacing w:line="480" w:lineRule="auto"/>
        <w:ind w:firstLine="720"/>
        <w:rPr>
          <w:rFonts w:ascii="Arial" w:hAnsi="Arial" w:cs="Arial"/>
          <w:sz w:val="24"/>
          <w:szCs w:val="24"/>
        </w:rPr>
      </w:pPr>
      <w:r w:rsidRPr="00303D1A">
        <w:rPr>
          <w:rFonts w:ascii="Arial" w:hAnsi="Arial" w:cs="Arial"/>
          <w:sz w:val="24"/>
          <w:szCs w:val="24"/>
        </w:rPr>
        <w:t xml:space="preserve">Before analyzing the data for distributions, trends, </w:t>
      </w:r>
      <w:r w:rsidR="00D17155" w:rsidRPr="00303D1A">
        <w:rPr>
          <w:rFonts w:ascii="Arial" w:hAnsi="Arial" w:cs="Arial"/>
          <w:sz w:val="24"/>
          <w:szCs w:val="24"/>
        </w:rPr>
        <w:t>and correlations,</w:t>
      </w:r>
      <w:r w:rsidRPr="00303D1A">
        <w:rPr>
          <w:rFonts w:ascii="Arial" w:hAnsi="Arial" w:cs="Arial"/>
          <w:sz w:val="24"/>
          <w:szCs w:val="24"/>
        </w:rPr>
        <w:t xml:space="preserve"> the class of the </w:t>
      </w:r>
      <w:r w:rsidR="00303D1A">
        <w:rPr>
          <w:rFonts w:ascii="Arial" w:hAnsi="Arial" w:cs="Arial"/>
          <w:sz w:val="24"/>
          <w:szCs w:val="24"/>
        </w:rPr>
        <w:t>school t</w:t>
      </w:r>
      <w:r w:rsidR="00D17155" w:rsidRPr="00303D1A">
        <w:rPr>
          <w:rFonts w:ascii="Arial" w:hAnsi="Arial" w:cs="Arial"/>
          <w:sz w:val="24"/>
          <w:szCs w:val="24"/>
        </w:rPr>
        <w:t xml:space="preserve">ype </w:t>
      </w:r>
      <w:r w:rsidRPr="00303D1A">
        <w:rPr>
          <w:rFonts w:ascii="Arial" w:hAnsi="Arial" w:cs="Arial"/>
          <w:sz w:val="24"/>
          <w:szCs w:val="24"/>
        </w:rPr>
        <w:t xml:space="preserve">variable </w:t>
      </w:r>
      <w:r w:rsidR="00D17155" w:rsidRPr="00303D1A">
        <w:rPr>
          <w:rFonts w:ascii="Arial" w:hAnsi="Arial" w:cs="Arial"/>
          <w:sz w:val="24"/>
          <w:szCs w:val="24"/>
        </w:rPr>
        <w:t xml:space="preserve">was changed to </w:t>
      </w:r>
      <w:r w:rsidR="001C3318" w:rsidRPr="00303D1A">
        <w:rPr>
          <w:rFonts w:ascii="Arial" w:hAnsi="Arial" w:cs="Arial"/>
          <w:sz w:val="24"/>
          <w:szCs w:val="24"/>
        </w:rPr>
        <w:t>“</w:t>
      </w:r>
      <w:r w:rsidRPr="00303D1A">
        <w:rPr>
          <w:rFonts w:ascii="Arial" w:hAnsi="Arial" w:cs="Arial"/>
          <w:sz w:val="24"/>
          <w:szCs w:val="24"/>
        </w:rPr>
        <w:t>factor</w:t>
      </w:r>
      <w:r w:rsidR="001C3318" w:rsidRPr="00303D1A">
        <w:rPr>
          <w:rFonts w:ascii="Arial" w:hAnsi="Arial" w:cs="Arial"/>
          <w:sz w:val="24"/>
          <w:szCs w:val="24"/>
        </w:rPr>
        <w:t>”</w:t>
      </w:r>
      <w:r w:rsidRPr="00303D1A">
        <w:rPr>
          <w:rFonts w:ascii="Arial" w:hAnsi="Arial" w:cs="Arial"/>
          <w:sz w:val="24"/>
          <w:szCs w:val="24"/>
        </w:rPr>
        <w:t xml:space="preserve"> and </w:t>
      </w:r>
      <w:r w:rsidR="00D17155" w:rsidRPr="00303D1A">
        <w:rPr>
          <w:rFonts w:ascii="Arial" w:hAnsi="Arial" w:cs="Arial"/>
          <w:sz w:val="24"/>
          <w:szCs w:val="24"/>
        </w:rPr>
        <w:t>the</w:t>
      </w:r>
      <w:r w:rsidRPr="00303D1A">
        <w:rPr>
          <w:rFonts w:ascii="Arial" w:hAnsi="Arial" w:cs="Arial"/>
          <w:sz w:val="24"/>
          <w:szCs w:val="24"/>
        </w:rPr>
        <w:t xml:space="preserve"> levels </w:t>
      </w:r>
      <w:r w:rsidR="00D17155" w:rsidRPr="00303D1A">
        <w:rPr>
          <w:rFonts w:ascii="Arial" w:hAnsi="Arial" w:cs="Arial"/>
          <w:sz w:val="24"/>
          <w:szCs w:val="24"/>
        </w:rPr>
        <w:t xml:space="preserve">were renamed from numerical values to their </w:t>
      </w:r>
      <w:r w:rsidRPr="00303D1A">
        <w:rPr>
          <w:rFonts w:ascii="Arial" w:hAnsi="Arial" w:cs="Arial"/>
          <w:sz w:val="24"/>
          <w:szCs w:val="24"/>
        </w:rPr>
        <w:t>corresponding categorical variable names</w:t>
      </w:r>
      <w:r w:rsidR="00D17155" w:rsidRPr="00303D1A">
        <w:rPr>
          <w:rFonts w:ascii="Arial" w:hAnsi="Arial" w:cs="Arial"/>
          <w:sz w:val="24"/>
          <w:szCs w:val="24"/>
        </w:rPr>
        <w:t xml:space="preserve"> (Public, Private, </w:t>
      </w:r>
      <w:r w:rsidR="002A6292" w:rsidRPr="00303D1A">
        <w:rPr>
          <w:rFonts w:ascii="Arial" w:hAnsi="Arial" w:cs="Arial"/>
          <w:sz w:val="24"/>
          <w:szCs w:val="24"/>
        </w:rPr>
        <w:t>and Proprietary</w:t>
      </w:r>
      <w:r w:rsidR="00D17155" w:rsidRPr="00303D1A">
        <w:rPr>
          <w:rFonts w:ascii="Arial" w:hAnsi="Arial" w:cs="Arial"/>
          <w:sz w:val="24"/>
          <w:szCs w:val="24"/>
        </w:rPr>
        <w:t>)</w:t>
      </w:r>
      <w:r w:rsidRPr="00303D1A">
        <w:rPr>
          <w:rFonts w:ascii="Arial" w:hAnsi="Arial" w:cs="Arial"/>
          <w:sz w:val="24"/>
          <w:szCs w:val="24"/>
        </w:rPr>
        <w:t xml:space="preserve">. </w:t>
      </w:r>
      <w:r w:rsidR="001C3318" w:rsidRPr="00303D1A">
        <w:rPr>
          <w:rFonts w:ascii="Arial" w:hAnsi="Arial" w:cs="Arial"/>
          <w:sz w:val="24"/>
          <w:szCs w:val="24"/>
        </w:rPr>
        <w:t xml:space="preserve">This was especially </w:t>
      </w:r>
      <w:r w:rsidR="00345E7A">
        <w:rPr>
          <w:rFonts w:ascii="Arial" w:hAnsi="Arial" w:cs="Arial"/>
          <w:sz w:val="24"/>
          <w:szCs w:val="24"/>
        </w:rPr>
        <w:t>useful</w:t>
      </w:r>
      <w:r w:rsidR="001C3318" w:rsidRPr="00303D1A">
        <w:rPr>
          <w:rFonts w:ascii="Arial" w:hAnsi="Arial" w:cs="Arial"/>
          <w:sz w:val="24"/>
          <w:szCs w:val="24"/>
        </w:rPr>
        <w:t xml:space="preserve"> in </w:t>
      </w:r>
      <w:r w:rsidR="00303D1A">
        <w:rPr>
          <w:rFonts w:ascii="Arial" w:hAnsi="Arial" w:cs="Arial"/>
          <w:sz w:val="24"/>
          <w:szCs w:val="24"/>
        </w:rPr>
        <w:t>visualizing and analyzing</w:t>
      </w:r>
      <w:r w:rsidR="001C3318" w:rsidRPr="00303D1A">
        <w:rPr>
          <w:rFonts w:ascii="Arial" w:hAnsi="Arial" w:cs="Arial"/>
          <w:sz w:val="24"/>
          <w:szCs w:val="24"/>
        </w:rPr>
        <w:t xml:space="preserve"> the data </w:t>
      </w:r>
      <w:r w:rsidR="00303D1A">
        <w:rPr>
          <w:rFonts w:ascii="Arial" w:hAnsi="Arial" w:cs="Arial"/>
          <w:sz w:val="24"/>
          <w:szCs w:val="24"/>
        </w:rPr>
        <w:t>in variou</w:t>
      </w:r>
      <w:r w:rsidR="001C3318" w:rsidRPr="00303D1A">
        <w:rPr>
          <w:rFonts w:ascii="Arial" w:hAnsi="Arial" w:cs="Arial"/>
          <w:sz w:val="24"/>
          <w:szCs w:val="24"/>
        </w:rPr>
        <w:t>s</w:t>
      </w:r>
      <w:r w:rsidR="00303D1A">
        <w:rPr>
          <w:rFonts w:ascii="Arial" w:hAnsi="Arial" w:cs="Arial"/>
          <w:sz w:val="24"/>
          <w:szCs w:val="24"/>
        </w:rPr>
        <w:t xml:space="preserve"> s</w:t>
      </w:r>
      <w:r w:rsidR="001C3318" w:rsidRPr="00303D1A">
        <w:rPr>
          <w:rFonts w:ascii="Arial" w:hAnsi="Arial" w:cs="Arial"/>
          <w:sz w:val="24"/>
          <w:szCs w:val="24"/>
        </w:rPr>
        <w:t>ummary tables and plots</w:t>
      </w:r>
      <w:r w:rsidR="00303D1A">
        <w:rPr>
          <w:rFonts w:ascii="Arial" w:hAnsi="Arial" w:cs="Arial"/>
          <w:sz w:val="24"/>
          <w:szCs w:val="24"/>
        </w:rPr>
        <w:t xml:space="preserve"> (Appendix 4 – 8). </w:t>
      </w:r>
      <w:r w:rsidR="001C3318" w:rsidRPr="00303D1A">
        <w:rPr>
          <w:rFonts w:ascii="Arial" w:hAnsi="Arial" w:cs="Arial"/>
          <w:sz w:val="24"/>
          <w:szCs w:val="24"/>
        </w:rPr>
        <w:t xml:space="preserve">. </w:t>
      </w:r>
    </w:p>
    <w:p w14:paraId="271205CB" w14:textId="5E0C406E" w:rsidR="0092734F" w:rsidRPr="00303D1A" w:rsidRDefault="0027035C" w:rsidP="00345E7A">
      <w:pPr>
        <w:spacing w:line="480" w:lineRule="auto"/>
        <w:ind w:firstLine="720"/>
        <w:rPr>
          <w:rFonts w:ascii="Arial" w:hAnsi="Arial" w:cs="Arial"/>
          <w:sz w:val="24"/>
          <w:szCs w:val="24"/>
        </w:rPr>
      </w:pPr>
      <w:r w:rsidRPr="00303D1A">
        <w:rPr>
          <w:rFonts w:ascii="Arial" w:hAnsi="Arial" w:cs="Arial"/>
          <w:sz w:val="24"/>
          <w:szCs w:val="24"/>
        </w:rPr>
        <w:t xml:space="preserve">In considering a simple snapshot of default rates among the three remaining school types, a summary table was created to capture the mean default rate based on </w:t>
      </w:r>
      <w:r w:rsidRPr="00303D1A">
        <w:rPr>
          <w:rFonts w:ascii="Arial" w:hAnsi="Arial" w:cs="Arial"/>
          <w:sz w:val="24"/>
          <w:szCs w:val="24"/>
        </w:rPr>
        <w:lastRenderedPageBreak/>
        <w:t xml:space="preserve">school type. </w:t>
      </w:r>
      <w:r w:rsidR="00FB5FA6" w:rsidRPr="00303D1A">
        <w:rPr>
          <w:rFonts w:ascii="Arial" w:hAnsi="Arial" w:cs="Arial"/>
          <w:sz w:val="24"/>
          <w:szCs w:val="24"/>
        </w:rPr>
        <w:t xml:space="preserve">The combined, </w:t>
      </w:r>
      <w:proofErr w:type="spellStart"/>
      <w:r w:rsidR="00FB5FA6" w:rsidRPr="00303D1A">
        <w:rPr>
          <w:rFonts w:ascii="Arial" w:hAnsi="Arial" w:cs="Arial"/>
          <w:sz w:val="24"/>
          <w:szCs w:val="24"/>
        </w:rPr>
        <w:t>unflattened</w:t>
      </w:r>
      <w:proofErr w:type="spellEnd"/>
      <w:r w:rsidR="00FB5FA6" w:rsidRPr="00303D1A">
        <w:rPr>
          <w:rFonts w:ascii="Arial" w:hAnsi="Arial" w:cs="Arial"/>
          <w:sz w:val="24"/>
          <w:szCs w:val="24"/>
        </w:rPr>
        <w:t xml:space="preserve"> data frame was grouped by variables </w:t>
      </w:r>
      <w:r w:rsidR="00303D1A">
        <w:rPr>
          <w:rFonts w:ascii="Arial" w:hAnsi="Arial" w:cs="Arial"/>
          <w:sz w:val="24"/>
          <w:szCs w:val="24"/>
        </w:rPr>
        <w:t>school type</w:t>
      </w:r>
      <w:r w:rsidR="00FB5FA6" w:rsidRPr="00303D1A">
        <w:rPr>
          <w:rFonts w:ascii="Arial" w:hAnsi="Arial" w:cs="Arial"/>
          <w:sz w:val="24"/>
          <w:szCs w:val="24"/>
        </w:rPr>
        <w:t xml:space="preserve"> and </w:t>
      </w:r>
      <w:r w:rsidR="00303D1A">
        <w:rPr>
          <w:rFonts w:ascii="Arial" w:hAnsi="Arial" w:cs="Arial"/>
          <w:sz w:val="24"/>
          <w:szCs w:val="24"/>
        </w:rPr>
        <w:t>year</w:t>
      </w:r>
      <w:r w:rsidR="00FB5FA6" w:rsidRPr="00303D1A">
        <w:rPr>
          <w:rFonts w:ascii="Arial" w:hAnsi="Arial" w:cs="Arial"/>
          <w:sz w:val="24"/>
          <w:szCs w:val="24"/>
        </w:rPr>
        <w:t xml:space="preserve"> and the </w:t>
      </w:r>
      <w:proofErr w:type="spellStart"/>
      <w:r w:rsidR="00FB5FA6" w:rsidRPr="00303D1A">
        <w:rPr>
          <w:rFonts w:ascii="Arial" w:hAnsi="Arial" w:cs="Arial"/>
          <w:sz w:val="24"/>
          <w:szCs w:val="24"/>
        </w:rPr>
        <w:t>value.var</w:t>
      </w:r>
      <w:proofErr w:type="spellEnd"/>
      <w:r w:rsidR="00FB5FA6" w:rsidRPr="00303D1A">
        <w:rPr>
          <w:rFonts w:ascii="Arial" w:hAnsi="Arial" w:cs="Arial"/>
          <w:sz w:val="24"/>
          <w:szCs w:val="24"/>
        </w:rPr>
        <w:t xml:space="preserve"> was set </w:t>
      </w:r>
      <w:r w:rsidR="00490CE9">
        <w:rPr>
          <w:rFonts w:ascii="Arial" w:hAnsi="Arial" w:cs="Arial"/>
          <w:sz w:val="24"/>
          <w:szCs w:val="24"/>
        </w:rPr>
        <w:t xml:space="preserve">as </w:t>
      </w:r>
      <w:r w:rsidR="00FB5FA6" w:rsidRPr="00303D1A">
        <w:rPr>
          <w:rFonts w:ascii="Arial" w:hAnsi="Arial" w:cs="Arial"/>
          <w:sz w:val="24"/>
          <w:szCs w:val="24"/>
        </w:rPr>
        <w:t xml:space="preserve">the mean of the default rate column. </w:t>
      </w:r>
      <w:r w:rsidRPr="00303D1A">
        <w:rPr>
          <w:rFonts w:ascii="Arial" w:hAnsi="Arial" w:cs="Arial"/>
          <w:sz w:val="24"/>
          <w:szCs w:val="24"/>
        </w:rPr>
        <w:t xml:space="preserve">In observing </w:t>
      </w:r>
      <w:r w:rsidR="00AA161A" w:rsidRPr="00303D1A">
        <w:rPr>
          <w:rFonts w:ascii="Arial" w:hAnsi="Arial" w:cs="Arial"/>
          <w:sz w:val="24"/>
          <w:szCs w:val="24"/>
        </w:rPr>
        <w:t>these rates (Appendix</w:t>
      </w:r>
      <w:r w:rsidRPr="00303D1A">
        <w:rPr>
          <w:rFonts w:ascii="Arial" w:hAnsi="Arial" w:cs="Arial"/>
          <w:sz w:val="24"/>
          <w:szCs w:val="24"/>
        </w:rPr>
        <w:t xml:space="preserve"> </w:t>
      </w:r>
      <w:r w:rsidR="00490CE9">
        <w:rPr>
          <w:rFonts w:ascii="Arial" w:hAnsi="Arial" w:cs="Arial"/>
          <w:sz w:val="24"/>
          <w:szCs w:val="24"/>
        </w:rPr>
        <w:t>4</w:t>
      </w:r>
      <w:r w:rsidRPr="00303D1A">
        <w:rPr>
          <w:rFonts w:ascii="Arial" w:hAnsi="Arial" w:cs="Arial"/>
          <w:sz w:val="24"/>
          <w:szCs w:val="24"/>
        </w:rPr>
        <w:t>), it is clear that on average, private institutions ha</w:t>
      </w:r>
      <w:r w:rsidR="00AA161A" w:rsidRPr="00303D1A">
        <w:rPr>
          <w:rFonts w:ascii="Arial" w:hAnsi="Arial" w:cs="Arial"/>
          <w:sz w:val="24"/>
          <w:szCs w:val="24"/>
        </w:rPr>
        <w:t>d</w:t>
      </w:r>
      <w:r w:rsidR="00345E7A">
        <w:rPr>
          <w:rFonts w:ascii="Arial" w:hAnsi="Arial" w:cs="Arial"/>
          <w:sz w:val="24"/>
          <w:szCs w:val="24"/>
        </w:rPr>
        <w:t xml:space="preserve"> the</w:t>
      </w:r>
      <w:r w:rsidRPr="00303D1A">
        <w:rPr>
          <w:rFonts w:ascii="Arial" w:hAnsi="Arial" w:cs="Arial"/>
          <w:sz w:val="24"/>
          <w:szCs w:val="24"/>
        </w:rPr>
        <w:t xml:space="preserve"> l</w:t>
      </w:r>
      <w:r w:rsidR="00345E7A">
        <w:rPr>
          <w:rFonts w:ascii="Arial" w:hAnsi="Arial" w:cs="Arial"/>
          <w:sz w:val="24"/>
          <w:szCs w:val="24"/>
        </w:rPr>
        <w:t>owest</w:t>
      </w:r>
      <w:r w:rsidRPr="00303D1A">
        <w:rPr>
          <w:rFonts w:ascii="Arial" w:hAnsi="Arial" w:cs="Arial"/>
          <w:sz w:val="24"/>
          <w:szCs w:val="24"/>
        </w:rPr>
        <w:t xml:space="preserve"> percentage of students in default</w:t>
      </w:r>
      <w:r w:rsidR="00AA161A" w:rsidRPr="00303D1A">
        <w:rPr>
          <w:rFonts w:ascii="Arial" w:hAnsi="Arial" w:cs="Arial"/>
          <w:sz w:val="24"/>
          <w:szCs w:val="24"/>
        </w:rPr>
        <w:t xml:space="preserve">. In 2012, the average default rate a private institutions was just 6.8 percent, </w:t>
      </w:r>
      <w:r w:rsidRPr="00303D1A">
        <w:rPr>
          <w:rFonts w:ascii="Arial" w:hAnsi="Arial" w:cs="Arial"/>
          <w:sz w:val="24"/>
          <w:szCs w:val="24"/>
        </w:rPr>
        <w:t xml:space="preserve">compared to </w:t>
      </w:r>
      <w:r w:rsidR="00CD122A" w:rsidRPr="00303D1A">
        <w:rPr>
          <w:rFonts w:ascii="Arial" w:hAnsi="Arial" w:cs="Arial"/>
          <w:sz w:val="24"/>
          <w:szCs w:val="24"/>
        </w:rPr>
        <w:t>14.08</w:t>
      </w:r>
      <w:r w:rsidR="00345E7A">
        <w:rPr>
          <w:rFonts w:ascii="Arial" w:hAnsi="Arial" w:cs="Arial"/>
          <w:sz w:val="24"/>
          <w:szCs w:val="24"/>
        </w:rPr>
        <w:t xml:space="preserve"> percent at</w:t>
      </w:r>
      <w:r w:rsidR="00CD122A" w:rsidRPr="00303D1A">
        <w:rPr>
          <w:rFonts w:ascii="Arial" w:hAnsi="Arial" w:cs="Arial"/>
          <w:sz w:val="24"/>
          <w:szCs w:val="24"/>
        </w:rPr>
        <w:t xml:space="preserve"> public institutions and 12.79 percent at proprietary institutions. In 2013, a similar percentages were observed, with private institutions leading the way</w:t>
      </w:r>
      <w:r w:rsidR="00490CE9">
        <w:rPr>
          <w:rFonts w:ascii="Arial" w:hAnsi="Arial" w:cs="Arial"/>
          <w:sz w:val="24"/>
          <w:szCs w:val="24"/>
        </w:rPr>
        <w:t>. That year, o</w:t>
      </w:r>
      <w:r w:rsidR="00CD122A" w:rsidRPr="00303D1A">
        <w:rPr>
          <w:rFonts w:ascii="Arial" w:hAnsi="Arial" w:cs="Arial"/>
          <w:sz w:val="24"/>
          <w:szCs w:val="24"/>
        </w:rPr>
        <w:t xml:space="preserve">n average 6.73 percent of </w:t>
      </w:r>
      <w:r w:rsidR="00F32ED3" w:rsidRPr="00303D1A">
        <w:rPr>
          <w:rFonts w:ascii="Arial" w:hAnsi="Arial" w:cs="Arial"/>
          <w:sz w:val="24"/>
          <w:szCs w:val="24"/>
        </w:rPr>
        <w:t xml:space="preserve">private school </w:t>
      </w:r>
      <w:r w:rsidR="00CD122A" w:rsidRPr="00303D1A">
        <w:rPr>
          <w:rFonts w:ascii="Arial" w:hAnsi="Arial" w:cs="Arial"/>
          <w:sz w:val="24"/>
          <w:szCs w:val="24"/>
        </w:rPr>
        <w:t xml:space="preserve">students were in default compared to 13.75 percent of students at public institutions and 12.01 percent at proprietary institutions. </w:t>
      </w:r>
    </w:p>
    <w:p w14:paraId="2E46E2A1" w14:textId="2702D084" w:rsidR="00490CE9" w:rsidRDefault="00CD122A" w:rsidP="00867DC2">
      <w:pPr>
        <w:spacing w:line="480" w:lineRule="auto"/>
        <w:ind w:firstLine="720"/>
        <w:rPr>
          <w:rFonts w:ascii="Arial" w:hAnsi="Arial" w:cs="Arial"/>
          <w:sz w:val="24"/>
          <w:szCs w:val="24"/>
        </w:rPr>
      </w:pPr>
      <w:r w:rsidRPr="00303D1A">
        <w:rPr>
          <w:rFonts w:ascii="Arial" w:hAnsi="Arial" w:cs="Arial"/>
          <w:sz w:val="24"/>
          <w:szCs w:val="24"/>
        </w:rPr>
        <w:t>After considering average default rate, a deeper analysis was conducted to assess how these institutions were performing as it relates to Department of Education</w:t>
      </w:r>
      <w:r w:rsidR="0050515F" w:rsidRPr="00303D1A">
        <w:rPr>
          <w:rFonts w:ascii="Arial" w:hAnsi="Arial" w:cs="Arial"/>
          <w:sz w:val="24"/>
          <w:szCs w:val="24"/>
        </w:rPr>
        <w:t xml:space="preserve"> performance</w:t>
      </w:r>
      <w:r w:rsidRPr="00303D1A">
        <w:rPr>
          <w:rFonts w:ascii="Arial" w:hAnsi="Arial" w:cs="Arial"/>
          <w:sz w:val="24"/>
          <w:szCs w:val="24"/>
        </w:rPr>
        <w:t xml:space="preserve"> standards. </w:t>
      </w:r>
      <w:r w:rsidR="00F050C1" w:rsidRPr="00303D1A">
        <w:rPr>
          <w:rFonts w:ascii="Arial" w:hAnsi="Arial" w:cs="Arial"/>
          <w:sz w:val="24"/>
          <w:szCs w:val="24"/>
        </w:rPr>
        <w:t xml:space="preserve">According to the Department of Education’s “Instructions for using the School Cohort Default Rate Reports,” we learn that institutions </w:t>
      </w:r>
      <w:r w:rsidR="00345E7A">
        <w:rPr>
          <w:rFonts w:ascii="Arial" w:hAnsi="Arial" w:cs="Arial"/>
          <w:sz w:val="24"/>
          <w:szCs w:val="24"/>
        </w:rPr>
        <w:t>maintaining</w:t>
      </w:r>
      <w:r w:rsidR="00F050C1" w:rsidRPr="00303D1A">
        <w:rPr>
          <w:rFonts w:ascii="Arial" w:hAnsi="Arial" w:cs="Arial"/>
          <w:sz w:val="24"/>
          <w:szCs w:val="24"/>
        </w:rPr>
        <w:t xml:space="preserve"> cohort default rate of 15% or below for three consecutive years have greater autonomy </w:t>
      </w:r>
      <w:r w:rsidR="0050515F" w:rsidRPr="00303D1A">
        <w:rPr>
          <w:rFonts w:ascii="Arial" w:hAnsi="Arial" w:cs="Arial"/>
          <w:sz w:val="24"/>
          <w:szCs w:val="24"/>
        </w:rPr>
        <w:t>with</w:t>
      </w:r>
      <w:r w:rsidR="00F050C1" w:rsidRPr="00303D1A">
        <w:rPr>
          <w:rFonts w:ascii="Arial" w:hAnsi="Arial" w:cs="Arial"/>
          <w:sz w:val="24"/>
          <w:szCs w:val="24"/>
        </w:rPr>
        <w:t xml:space="preserve"> when and how they disburse financial aid awards. </w:t>
      </w:r>
      <w:r w:rsidR="0050515F" w:rsidRPr="00303D1A">
        <w:rPr>
          <w:rFonts w:ascii="Arial" w:hAnsi="Arial" w:cs="Arial"/>
          <w:sz w:val="24"/>
          <w:szCs w:val="24"/>
        </w:rPr>
        <w:t xml:space="preserve">When institutions are meeting the DOE benchmark, they can disperse funds at any point over the course of the academic year and as many (or as few) times as they would like throughout the year. </w:t>
      </w:r>
    </w:p>
    <w:p w14:paraId="08527F12" w14:textId="6783BC2E" w:rsidR="00FD2443" w:rsidRPr="00303D1A" w:rsidRDefault="00FB5FA6" w:rsidP="00867DC2">
      <w:pPr>
        <w:spacing w:line="480" w:lineRule="auto"/>
        <w:ind w:firstLine="720"/>
        <w:rPr>
          <w:rFonts w:ascii="Arial" w:hAnsi="Arial" w:cs="Arial"/>
          <w:sz w:val="24"/>
          <w:szCs w:val="24"/>
        </w:rPr>
      </w:pPr>
      <w:r w:rsidRPr="00303D1A">
        <w:rPr>
          <w:rFonts w:ascii="Arial" w:hAnsi="Arial" w:cs="Arial"/>
          <w:sz w:val="24"/>
          <w:szCs w:val="24"/>
        </w:rPr>
        <w:t xml:space="preserve">To </w:t>
      </w:r>
      <w:r w:rsidR="00D54A17">
        <w:rPr>
          <w:rFonts w:ascii="Arial" w:hAnsi="Arial" w:cs="Arial"/>
          <w:sz w:val="24"/>
          <w:szCs w:val="24"/>
        </w:rPr>
        <w:t>identify which school types were most likely to meet this DOE benchmark</w:t>
      </w:r>
      <w:r w:rsidR="00955F3F" w:rsidRPr="00303D1A">
        <w:rPr>
          <w:rFonts w:ascii="Arial" w:hAnsi="Arial" w:cs="Arial"/>
          <w:sz w:val="24"/>
          <w:szCs w:val="24"/>
        </w:rPr>
        <w:t>,</w:t>
      </w:r>
      <w:r w:rsidR="00D54A17">
        <w:rPr>
          <w:rFonts w:ascii="Arial" w:hAnsi="Arial" w:cs="Arial"/>
          <w:sz w:val="24"/>
          <w:szCs w:val="24"/>
        </w:rPr>
        <w:t xml:space="preserve"> a summary table (Appendix 5) was developed from the </w:t>
      </w:r>
      <w:proofErr w:type="spellStart"/>
      <w:r w:rsidRPr="00303D1A">
        <w:rPr>
          <w:rFonts w:ascii="Arial" w:hAnsi="Arial" w:cs="Arial"/>
          <w:sz w:val="24"/>
          <w:szCs w:val="24"/>
        </w:rPr>
        <w:t>unflattened</w:t>
      </w:r>
      <w:proofErr w:type="spellEnd"/>
      <w:r w:rsidRPr="00303D1A">
        <w:rPr>
          <w:rFonts w:ascii="Arial" w:hAnsi="Arial" w:cs="Arial"/>
          <w:sz w:val="24"/>
          <w:szCs w:val="24"/>
        </w:rPr>
        <w:t xml:space="preserve"> data frame</w:t>
      </w:r>
      <w:r w:rsidR="00D54A17">
        <w:rPr>
          <w:rFonts w:ascii="Arial" w:hAnsi="Arial" w:cs="Arial"/>
          <w:sz w:val="24"/>
          <w:szCs w:val="24"/>
        </w:rPr>
        <w:t>, grouping together</w:t>
      </w:r>
      <w:r w:rsidRPr="00303D1A">
        <w:rPr>
          <w:rFonts w:ascii="Arial" w:hAnsi="Arial" w:cs="Arial"/>
          <w:sz w:val="24"/>
          <w:szCs w:val="24"/>
        </w:rPr>
        <w:t xml:space="preserve"> two variables</w:t>
      </w:r>
      <w:r w:rsidR="00490CE9">
        <w:rPr>
          <w:rFonts w:ascii="Arial" w:hAnsi="Arial" w:cs="Arial"/>
          <w:sz w:val="24"/>
          <w:szCs w:val="24"/>
        </w:rPr>
        <w:t xml:space="preserve">—school type </w:t>
      </w:r>
      <w:r w:rsidR="00955F3F" w:rsidRPr="00303D1A">
        <w:rPr>
          <w:rFonts w:ascii="Arial" w:hAnsi="Arial" w:cs="Arial"/>
          <w:sz w:val="24"/>
          <w:szCs w:val="24"/>
        </w:rPr>
        <w:t xml:space="preserve"> and </w:t>
      </w:r>
      <w:r w:rsidR="00490CE9">
        <w:rPr>
          <w:rFonts w:ascii="Arial" w:hAnsi="Arial" w:cs="Arial"/>
          <w:sz w:val="24"/>
          <w:szCs w:val="24"/>
        </w:rPr>
        <w:t>year</w:t>
      </w:r>
      <w:r w:rsidR="00955F3F" w:rsidRPr="00303D1A">
        <w:rPr>
          <w:rFonts w:ascii="Arial" w:hAnsi="Arial" w:cs="Arial"/>
          <w:sz w:val="24"/>
          <w:szCs w:val="24"/>
        </w:rPr>
        <w:t xml:space="preserve"> with the </w:t>
      </w:r>
      <w:proofErr w:type="spellStart"/>
      <w:r w:rsidR="00955F3F" w:rsidRPr="00303D1A">
        <w:rPr>
          <w:rFonts w:ascii="Arial" w:hAnsi="Arial" w:cs="Arial"/>
          <w:sz w:val="24"/>
          <w:szCs w:val="24"/>
        </w:rPr>
        <w:t>value.var</w:t>
      </w:r>
      <w:proofErr w:type="spellEnd"/>
      <w:r w:rsidR="00955F3F" w:rsidRPr="00303D1A">
        <w:rPr>
          <w:rFonts w:ascii="Arial" w:hAnsi="Arial" w:cs="Arial"/>
          <w:sz w:val="24"/>
          <w:szCs w:val="24"/>
        </w:rPr>
        <w:t xml:space="preserve"> set </w:t>
      </w:r>
      <w:r w:rsidR="00490CE9">
        <w:rPr>
          <w:rFonts w:ascii="Arial" w:hAnsi="Arial" w:cs="Arial"/>
          <w:sz w:val="24"/>
          <w:szCs w:val="24"/>
        </w:rPr>
        <w:t>as</w:t>
      </w:r>
      <w:r w:rsidR="00955F3F" w:rsidRPr="00303D1A">
        <w:rPr>
          <w:rFonts w:ascii="Arial" w:hAnsi="Arial" w:cs="Arial"/>
          <w:sz w:val="24"/>
          <w:szCs w:val="24"/>
        </w:rPr>
        <w:t xml:space="preserve"> the percentage of each school type with </w:t>
      </w:r>
      <w:r w:rsidR="00490CE9">
        <w:rPr>
          <w:rFonts w:ascii="Arial" w:hAnsi="Arial" w:cs="Arial"/>
          <w:sz w:val="24"/>
          <w:szCs w:val="24"/>
        </w:rPr>
        <w:t xml:space="preserve">default rates 15 percent or </w:t>
      </w:r>
      <w:r w:rsidR="00955F3F" w:rsidRPr="00303D1A">
        <w:rPr>
          <w:rFonts w:ascii="Arial" w:hAnsi="Arial" w:cs="Arial"/>
          <w:sz w:val="24"/>
          <w:szCs w:val="24"/>
        </w:rPr>
        <w:t xml:space="preserve">below. </w:t>
      </w:r>
      <w:r w:rsidR="00FD2443" w:rsidRPr="00303D1A">
        <w:rPr>
          <w:rFonts w:ascii="Arial" w:hAnsi="Arial" w:cs="Arial"/>
          <w:sz w:val="24"/>
          <w:szCs w:val="24"/>
        </w:rPr>
        <w:t xml:space="preserve">Private institutions led the way in percentage of schools meeting the sub-15 percent metric. In 2012, 91.5 percent of private schools had default rates at or below 15 percent. That number increased to </w:t>
      </w:r>
      <w:r w:rsidR="00FD2443" w:rsidRPr="00303D1A">
        <w:rPr>
          <w:rFonts w:ascii="Arial" w:hAnsi="Arial" w:cs="Arial"/>
          <w:sz w:val="24"/>
          <w:szCs w:val="24"/>
        </w:rPr>
        <w:lastRenderedPageBreak/>
        <w:t xml:space="preserve">92 percent in 2013. Proprietary institutions turned in the second </w:t>
      </w:r>
      <w:r w:rsidR="0038384D" w:rsidRPr="00303D1A">
        <w:rPr>
          <w:rFonts w:ascii="Arial" w:hAnsi="Arial" w:cs="Arial"/>
          <w:sz w:val="24"/>
          <w:szCs w:val="24"/>
        </w:rPr>
        <w:t>strongest</w:t>
      </w:r>
      <w:r w:rsidR="00FD2443" w:rsidRPr="00303D1A">
        <w:rPr>
          <w:rFonts w:ascii="Arial" w:hAnsi="Arial" w:cs="Arial"/>
          <w:sz w:val="24"/>
          <w:szCs w:val="24"/>
        </w:rPr>
        <w:t xml:space="preserve"> results with this benchmark</w:t>
      </w:r>
      <w:r w:rsidR="0038384D" w:rsidRPr="00303D1A">
        <w:rPr>
          <w:rFonts w:ascii="Arial" w:hAnsi="Arial" w:cs="Arial"/>
          <w:sz w:val="24"/>
          <w:szCs w:val="24"/>
        </w:rPr>
        <w:t>. I</w:t>
      </w:r>
      <w:r w:rsidR="00FD2443" w:rsidRPr="00303D1A">
        <w:rPr>
          <w:rFonts w:ascii="Arial" w:hAnsi="Arial" w:cs="Arial"/>
          <w:sz w:val="24"/>
          <w:szCs w:val="24"/>
        </w:rPr>
        <w:t xml:space="preserve">n years 2012 and 2013, with 64.7 </w:t>
      </w:r>
      <w:r w:rsidR="0038384D" w:rsidRPr="00303D1A">
        <w:rPr>
          <w:rFonts w:ascii="Arial" w:hAnsi="Arial" w:cs="Arial"/>
          <w:sz w:val="24"/>
          <w:szCs w:val="24"/>
        </w:rPr>
        <w:t xml:space="preserve">and 67.7 percent of proprietary schools met the DOE standard. Public institutions performed worst in this area with 56.6 percent and 55.9 percent of institutions posting sub-15 percent default rates in 2012 and 2013, respectively. </w:t>
      </w:r>
    </w:p>
    <w:p w14:paraId="5CD64F0B" w14:textId="4A86E499" w:rsidR="0092734F" w:rsidRPr="00303D1A" w:rsidRDefault="00D97D22" w:rsidP="00345E7A">
      <w:pPr>
        <w:spacing w:line="480" w:lineRule="auto"/>
        <w:ind w:firstLine="720"/>
        <w:rPr>
          <w:rFonts w:ascii="Arial" w:hAnsi="Arial" w:cs="Arial"/>
          <w:sz w:val="24"/>
          <w:szCs w:val="24"/>
        </w:rPr>
      </w:pPr>
      <w:r w:rsidRPr="00303D1A">
        <w:rPr>
          <w:rFonts w:ascii="Arial" w:hAnsi="Arial" w:cs="Arial"/>
          <w:sz w:val="24"/>
          <w:szCs w:val="24"/>
        </w:rPr>
        <w:t xml:space="preserve">On the other end of the spectrum, </w:t>
      </w:r>
      <w:r w:rsidR="00490CE9">
        <w:rPr>
          <w:rFonts w:ascii="Arial" w:hAnsi="Arial" w:cs="Arial"/>
          <w:sz w:val="24"/>
          <w:szCs w:val="24"/>
        </w:rPr>
        <w:t>the Department of Education also monitors institutions with default rates</w:t>
      </w:r>
      <w:r w:rsidRPr="00303D1A">
        <w:rPr>
          <w:rFonts w:ascii="Arial" w:hAnsi="Arial" w:cs="Arial"/>
          <w:sz w:val="24"/>
          <w:szCs w:val="24"/>
        </w:rPr>
        <w:t xml:space="preserve"> </w:t>
      </w:r>
      <w:r w:rsidR="00490CE9">
        <w:rPr>
          <w:rFonts w:ascii="Arial" w:hAnsi="Arial" w:cs="Arial"/>
          <w:sz w:val="24"/>
          <w:szCs w:val="24"/>
        </w:rPr>
        <w:t xml:space="preserve">at or above 30 percent. These institutions </w:t>
      </w:r>
      <w:r w:rsidRPr="00303D1A">
        <w:rPr>
          <w:rFonts w:ascii="Arial" w:hAnsi="Arial" w:cs="Arial"/>
          <w:sz w:val="24"/>
          <w:szCs w:val="24"/>
        </w:rPr>
        <w:t>could be subject to the loss of eligibility t</w:t>
      </w:r>
      <w:r w:rsidR="00490CE9">
        <w:rPr>
          <w:rFonts w:ascii="Arial" w:hAnsi="Arial" w:cs="Arial"/>
          <w:sz w:val="24"/>
          <w:szCs w:val="24"/>
        </w:rPr>
        <w:t>o participate in federal financial aid programs such as</w:t>
      </w:r>
      <w:r w:rsidRPr="00303D1A">
        <w:rPr>
          <w:rFonts w:ascii="Arial" w:hAnsi="Arial" w:cs="Arial"/>
          <w:sz w:val="24"/>
          <w:szCs w:val="24"/>
        </w:rPr>
        <w:t xml:space="preserve"> Federal Family Education Loan, Direct Loan and/or Pell Grant. </w:t>
      </w:r>
      <w:r w:rsidR="00490CE9">
        <w:rPr>
          <w:rFonts w:ascii="Arial" w:hAnsi="Arial" w:cs="Arial"/>
          <w:sz w:val="24"/>
          <w:szCs w:val="24"/>
        </w:rPr>
        <w:t>T</w:t>
      </w:r>
      <w:r w:rsidR="005A70A8" w:rsidRPr="00303D1A">
        <w:rPr>
          <w:rFonts w:ascii="Arial" w:hAnsi="Arial" w:cs="Arial"/>
          <w:sz w:val="24"/>
          <w:szCs w:val="24"/>
        </w:rPr>
        <w:t xml:space="preserve">he loss of eligibility can be detrimental to an institution’s financial ability to operate. </w:t>
      </w:r>
    </w:p>
    <w:p w14:paraId="758998A4" w14:textId="2C43AED1" w:rsidR="0092734F" w:rsidRPr="00303D1A" w:rsidRDefault="00D54A17" w:rsidP="00345E7A">
      <w:pPr>
        <w:spacing w:line="480" w:lineRule="auto"/>
        <w:ind w:firstLine="720"/>
        <w:rPr>
          <w:rFonts w:ascii="Arial" w:hAnsi="Arial" w:cs="Arial"/>
          <w:sz w:val="24"/>
          <w:szCs w:val="24"/>
        </w:rPr>
      </w:pPr>
      <w:r>
        <w:rPr>
          <w:rFonts w:ascii="Arial" w:hAnsi="Arial" w:cs="Arial"/>
          <w:sz w:val="24"/>
          <w:szCs w:val="24"/>
        </w:rPr>
        <w:t>A summary table (Appendix 6) was generated to identify</w:t>
      </w:r>
      <w:r w:rsidR="00955F3F" w:rsidRPr="00303D1A">
        <w:rPr>
          <w:rFonts w:ascii="Arial" w:hAnsi="Arial" w:cs="Arial"/>
          <w:sz w:val="24"/>
          <w:szCs w:val="24"/>
        </w:rPr>
        <w:t xml:space="preserve"> </w:t>
      </w:r>
      <w:r>
        <w:rPr>
          <w:rFonts w:ascii="Arial" w:hAnsi="Arial" w:cs="Arial"/>
          <w:sz w:val="24"/>
          <w:szCs w:val="24"/>
        </w:rPr>
        <w:t>which school types could be considered ‘most at risk’ by not meeting DOE standards. T</w:t>
      </w:r>
      <w:r w:rsidR="00955F3F" w:rsidRPr="00303D1A">
        <w:rPr>
          <w:rFonts w:ascii="Arial" w:hAnsi="Arial" w:cs="Arial"/>
          <w:sz w:val="24"/>
          <w:szCs w:val="24"/>
        </w:rPr>
        <w:t xml:space="preserve">he </w:t>
      </w:r>
      <w:proofErr w:type="spellStart"/>
      <w:r w:rsidR="00955F3F" w:rsidRPr="00303D1A">
        <w:rPr>
          <w:rFonts w:ascii="Arial" w:hAnsi="Arial" w:cs="Arial"/>
          <w:sz w:val="24"/>
          <w:szCs w:val="24"/>
        </w:rPr>
        <w:t>unflattened</w:t>
      </w:r>
      <w:proofErr w:type="spellEnd"/>
      <w:r w:rsidR="00955F3F" w:rsidRPr="00303D1A">
        <w:rPr>
          <w:rFonts w:ascii="Arial" w:hAnsi="Arial" w:cs="Arial"/>
          <w:sz w:val="24"/>
          <w:szCs w:val="24"/>
        </w:rPr>
        <w:t xml:space="preserve"> data frame was again, grouped by</w:t>
      </w:r>
      <w:r w:rsidR="00490CE9">
        <w:rPr>
          <w:rFonts w:ascii="Arial" w:hAnsi="Arial" w:cs="Arial"/>
          <w:sz w:val="24"/>
          <w:szCs w:val="24"/>
        </w:rPr>
        <w:t xml:space="preserve"> school type and year, but this time</w:t>
      </w:r>
      <w:r w:rsidR="00955F3F" w:rsidRPr="00303D1A">
        <w:rPr>
          <w:rFonts w:ascii="Arial" w:hAnsi="Arial" w:cs="Arial"/>
          <w:sz w:val="24"/>
          <w:szCs w:val="24"/>
        </w:rPr>
        <w:t xml:space="preserve"> with the </w:t>
      </w:r>
      <w:proofErr w:type="spellStart"/>
      <w:r w:rsidR="00955F3F" w:rsidRPr="00303D1A">
        <w:rPr>
          <w:rFonts w:ascii="Arial" w:hAnsi="Arial" w:cs="Arial"/>
          <w:sz w:val="24"/>
          <w:szCs w:val="24"/>
        </w:rPr>
        <w:t>value.var</w:t>
      </w:r>
      <w:proofErr w:type="spellEnd"/>
      <w:r w:rsidR="00955F3F" w:rsidRPr="00303D1A">
        <w:rPr>
          <w:rFonts w:ascii="Arial" w:hAnsi="Arial" w:cs="Arial"/>
          <w:sz w:val="24"/>
          <w:szCs w:val="24"/>
        </w:rPr>
        <w:t xml:space="preserve"> set </w:t>
      </w:r>
      <w:r w:rsidR="00490CE9">
        <w:rPr>
          <w:rFonts w:ascii="Arial" w:hAnsi="Arial" w:cs="Arial"/>
          <w:sz w:val="24"/>
          <w:szCs w:val="24"/>
        </w:rPr>
        <w:t>as the</w:t>
      </w:r>
      <w:r w:rsidR="00955F3F" w:rsidRPr="00303D1A">
        <w:rPr>
          <w:rFonts w:ascii="Arial" w:hAnsi="Arial" w:cs="Arial"/>
          <w:sz w:val="24"/>
          <w:szCs w:val="24"/>
        </w:rPr>
        <w:t xml:space="preserve"> percentage of each school type with default rates at 30 percent or higher. </w:t>
      </w:r>
      <w:r w:rsidR="0092734F" w:rsidRPr="00303D1A">
        <w:rPr>
          <w:rFonts w:ascii="Arial" w:hAnsi="Arial" w:cs="Arial"/>
          <w:sz w:val="24"/>
          <w:szCs w:val="24"/>
        </w:rPr>
        <w:t xml:space="preserve">While all school types boast relatively low percentages </w:t>
      </w:r>
      <w:r w:rsidR="00490CE9">
        <w:rPr>
          <w:rFonts w:ascii="Arial" w:hAnsi="Arial" w:cs="Arial"/>
          <w:sz w:val="24"/>
          <w:szCs w:val="24"/>
        </w:rPr>
        <w:t>in this area</w:t>
      </w:r>
      <w:r w:rsidR="0092734F" w:rsidRPr="00303D1A">
        <w:rPr>
          <w:rFonts w:ascii="Arial" w:hAnsi="Arial" w:cs="Arial"/>
          <w:sz w:val="24"/>
          <w:szCs w:val="24"/>
        </w:rPr>
        <w:t xml:space="preserve">, proprietary institutions observed in this data set performed best. Of the 304 institutions observed, there weren’t any that had a default rate of 30 percent or greater in either 2012 or 2013. Private institutions also performed well, with .5 percent of </w:t>
      </w:r>
      <w:r w:rsidR="00FD1746" w:rsidRPr="00303D1A">
        <w:rPr>
          <w:rFonts w:ascii="Arial" w:hAnsi="Arial" w:cs="Arial"/>
          <w:sz w:val="24"/>
          <w:szCs w:val="24"/>
        </w:rPr>
        <w:t xml:space="preserve">schools posting rates of 30 percent or greater in 2012 and just .1 percent of schools the following year. Public institutions lagged behind their counterparts as approximately 1.5 percent of schools had default rates of at least 30 percent in 2012. Public schools, however, improved in that metric, with just .8 percent turning in default rates of 30% or more in 2013. </w:t>
      </w:r>
    </w:p>
    <w:p w14:paraId="3AB1B18E" w14:textId="58E04889" w:rsidR="0092734F" w:rsidRPr="00303D1A" w:rsidRDefault="005A62E7" w:rsidP="00345E7A">
      <w:pPr>
        <w:spacing w:line="480" w:lineRule="auto"/>
        <w:ind w:firstLine="720"/>
        <w:rPr>
          <w:rFonts w:ascii="Arial" w:hAnsi="Arial" w:cs="Arial"/>
          <w:sz w:val="24"/>
          <w:szCs w:val="24"/>
        </w:rPr>
      </w:pPr>
      <w:r w:rsidRPr="00303D1A">
        <w:rPr>
          <w:rFonts w:ascii="Arial" w:hAnsi="Arial" w:cs="Arial"/>
          <w:sz w:val="24"/>
          <w:szCs w:val="24"/>
        </w:rPr>
        <w:lastRenderedPageBreak/>
        <w:t xml:space="preserve">In addition to summarizing data from the School Type variable, plots were also generated to visualize how </w:t>
      </w:r>
      <w:r w:rsidR="00046C59" w:rsidRPr="00303D1A">
        <w:rPr>
          <w:rFonts w:ascii="Arial" w:hAnsi="Arial" w:cs="Arial"/>
          <w:sz w:val="24"/>
          <w:szCs w:val="24"/>
        </w:rPr>
        <w:t xml:space="preserve">variables were correlated with one another. A scatter plot (Appendix </w:t>
      </w:r>
      <w:r w:rsidR="00D54A17">
        <w:rPr>
          <w:rFonts w:ascii="Arial" w:hAnsi="Arial" w:cs="Arial"/>
          <w:sz w:val="24"/>
          <w:szCs w:val="24"/>
        </w:rPr>
        <w:t>7</w:t>
      </w:r>
      <w:r w:rsidR="00046C59" w:rsidRPr="00303D1A">
        <w:rPr>
          <w:rFonts w:ascii="Arial" w:hAnsi="Arial" w:cs="Arial"/>
          <w:sz w:val="24"/>
          <w:szCs w:val="24"/>
        </w:rPr>
        <w:t>) was generated to measure the default rate over cost of tuition for years 2012 and 2013. Within the scatter plot, sch</w:t>
      </w:r>
      <w:r w:rsidR="008419C4" w:rsidRPr="00303D1A">
        <w:rPr>
          <w:rFonts w:ascii="Arial" w:hAnsi="Arial" w:cs="Arial"/>
          <w:sz w:val="24"/>
          <w:szCs w:val="24"/>
        </w:rPr>
        <w:t xml:space="preserve">ool type is identified by color. The plot shows clear separation between the three school types, with Public Institutions boasting lower cost of tuition, but higher default rates, private institutions showing higher cost of tuition, but lower default rates and proprietary institutions occupying the space in between for both variables. </w:t>
      </w:r>
    </w:p>
    <w:p w14:paraId="04FAD288" w14:textId="1300F6A5" w:rsidR="005D1F54" w:rsidRDefault="008419C4" w:rsidP="00867DC2">
      <w:pPr>
        <w:spacing w:line="480" w:lineRule="auto"/>
        <w:ind w:firstLine="720"/>
        <w:rPr>
          <w:rFonts w:ascii="Arial" w:hAnsi="Arial" w:cs="Arial"/>
          <w:sz w:val="24"/>
          <w:szCs w:val="24"/>
        </w:rPr>
      </w:pPr>
      <w:r w:rsidRPr="00303D1A">
        <w:rPr>
          <w:rFonts w:ascii="Arial" w:hAnsi="Arial" w:cs="Arial"/>
          <w:sz w:val="24"/>
          <w:szCs w:val="24"/>
        </w:rPr>
        <w:t>A boxplot</w:t>
      </w:r>
      <w:r w:rsidR="00CA723E" w:rsidRPr="00303D1A">
        <w:rPr>
          <w:rFonts w:ascii="Arial" w:hAnsi="Arial" w:cs="Arial"/>
          <w:sz w:val="24"/>
          <w:szCs w:val="24"/>
        </w:rPr>
        <w:t>, with jitter</w:t>
      </w:r>
      <w:r w:rsidR="00D54A17">
        <w:rPr>
          <w:rFonts w:ascii="Arial" w:hAnsi="Arial" w:cs="Arial"/>
          <w:sz w:val="24"/>
          <w:szCs w:val="24"/>
        </w:rPr>
        <w:t xml:space="preserve"> (Appendix 8)</w:t>
      </w:r>
      <w:r w:rsidR="00CA723E" w:rsidRPr="00303D1A">
        <w:rPr>
          <w:rFonts w:ascii="Arial" w:hAnsi="Arial" w:cs="Arial"/>
          <w:sz w:val="24"/>
          <w:szCs w:val="24"/>
        </w:rPr>
        <w:t>,</w:t>
      </w:r>
      <w:r w:rsidRPr="00303D1A">
        <w:rPr>
          <w:rFonts w:ascii="Arial" w:hAnsi="Arial" w:cs="Arial"/>
          <w:sz w:val="24"/>
          <w:szCs w:val="24"/>
        </w:rPr>
        <w:t xml:space="preserve"> was also generated to compare default rate against school type. This plot </w:t>
      </w:r>
      <w:r w:rsidR="00D54A17">
        <w:rPr>
          <w:rFonts w:ascii="Arial" w:hAnsi="Arial" w:cs="Arial"/>
          <w:sz w:val="24"/>
          <w:szCs w:val="24"/>
        </w:rPr>
        <w:t>is</w:t>
      </w:r>
      <w:r w:rsidRPr="00303D1A">
        <w:rPr>
          <w:rFonts w:ascii="Arial" w:hAnsi="Arial" w:cs="Arial"/>
          <w:sz w:val="24"/>
          <w:szCs w:val="24"/>
        </w:rPr>
        <w:t xml:space="preserve"> especially </w:t>
      </w:r>
      <w:r w:rsidR="00D54A17">
        <w:rPr>
          <w:rFonts w:ascii="Arial" w:hAnsi="Arial" w:cs="Arial"/>
          <w:sz w:val="24"/>
          <w:szCs w:val="24"/>
        </w:rPr>
        <w:t>useful</w:t>
      </w:r>
      <w:r w:rsidRPr="00303D1A">
        <w:rPr>
          <w:rFonts w:ascii="Arial" w:hAnsi="Arial" w:cs="Arial"/>
          <w:sz w:val="24"/>
          <w:szCs w:val="24"/>
        </w:rPr>
        <w:t xml:space="preserve"> in </w:t>
      </w:r>
      <w:r w:rsidR="006247B5">
        <w:rPr>
          <w:rFonts w:ascii="Arial" w:hAnsi="Arial" w:cs="Arial"/>
          <w:sz w:val="24"/>
          <w:szCs w:val="24"/>
        </w:rPr>
        <w:t>identifying</w:t>
      </w:r>
      <w:r w:rsidRPr="00303D1A">
        <w:rPr>
          <w:rFonts w:ascii="Arial" w:hAnsi="Arial" w:cs="Arial"/>
          <w:sz w:val="24"/>
          <w:szCs w:val="24"/>
        </w:rPr>
        <w:t xml:space="preserve"> how the observations were distributed among the three school types. </w:t>
      </w:r>
      <w:r w:rsidR="00CA723E" w:rsidRPr="00303D1A">
        <w:rPr>
          <w:rFonts w:ascii="Arial" w:hAnsi="Arial" w:cs="Arial"/>
          <w:sz w:val="24"/>
          <w:szCs w:val="24"/>
        </w:rPr>
        <w:t>It</w:t>
      </w:r>
      <w:r w:rsidR="00B23541" w:rsidRPr="00303D1A">
        <w:rPr>
          <w:rFonts w:ascii="Arial" w:hAnsi="Arial" w:cs="Arial"/>
          <w:sz w:val="24"/>
          <w:szCs w:val="24"/>
        </w:rPr>
        <w:t xml:space="preserve"> shows that the default rates of public institutions </w:t>
      </w:r>
      <w:r w:rsidR="00D54A17">
        <w:rPr>
          <w:rFonts w:ascii="Arial" w:hAnsi="Arial" w:cs="Arial"/>
          <w:sz w:val="24"/>
          <w:szCs w:val="24"/>
        </w:rPr>
        <w:t>are</w:t>
      </w:r>
      <w:r w:rsidR="00B23541" w:rsidRPr="00303D1A">
        <w:rPr>
          <w:rFonts w:ascii="Arial" w:hAnsi="Arial" w:cs="Arial"/>
          <w:sz w:val="24"/>
          <w:szCs w:val="24"/>
        </w:rPr>
        <w:t xml:space="preserve"> evenly distributed between </w:t>
      </w:r>
      <w:r w:rsidR="00CA723E" w:rsidRPr="00303D1A">
        <w:rPr>
          <w:rFonts w:ascii="Arial" w:hAnsi="Arial" w:cs="Arial"/>
          <w:sz w:val="24"/>
          <w:szCs w:val="24"/>
        </w:rPr>
        <w:t xml:space="preserve">all </w:t>
      </w:r>
      <w:proofErr w:type="gramStart"/>
      <w:r w:rsidR="00B23541" w:rsidRPr="00303D1A">
        <w:rPr>
          <w:rFonts w:ascii="Arial" w:hAnsi="Arial" w:cs="Arial"/>
          <w:sz w:val="24"/>
          <w:szCs w:val="24"/>
        </w:rPr>
        <w:t>default</w:t>
      </w:r>
      <w:proofErr w:type="gramEnd"/>
      <w:r w:rsidR="00B23541" w:rsidRPr="00303D1A">
        <w:rPr>
          <w:rFonts w:ascii="Arial" w:hAnsi="Arial" w:cs="Arial"/>
          <w:sz w:val="24"/>
          <w:szCs w:val="24"/>
        </w:rPr>
        <w:t xml:space="preserve"> rates 0 – 30 percent. </w:t>
      </w:r>
      <w:r w:rsidR="00CA723E" w:rsidRPr="00303D1A">
        <w:rPr>
          <w:rFonts w:ascii="Arial" w:hAnsi="Arial" w:cs="Arial"/>
          <w:sz w:val="24"/>
          <w:szCs w:val="24"/>
        </w:rPr>
        <w:t>Public institutions also had the highest median default rate. Private institutions had</w:t>
      </w:r>
      <w:r w:rsidR="00D54A17">
        <w:rPr>
          <w:rFonts w:ascii="Arial" w:hAnsi="Arial" w:cs="Arial"/>
          <w:sz w:val="24"/>
          <w:szCs w:val="24"/>
        </w:rPr>
        <w:t xml:space="preserve">, by far, the lowest median default rate, </w:t>
      </w:r>
      <w:r w:rsidR="00CA723E" w:rsidRPr="00303D1A">
        <w:rPr>
          <w:rFonts w:ascii="Arial" w:hAnsi="Arial" w:cs="Arial"/>
          <w:sz w:val="24"/>
          <w:szCs w:val="24"/>
        </w:rPr>
        <w:t>with a majority institutions observing default rate</w:t>
      </w:r>
      <w:r w:rsidR="00D54A17">
        <w:rPr>
          <w:rFonts w:ascii="Arial" w:hAnsi="Arial" w:cs="Arial"/>
          <w:sz w:val="24"/>
          <w:szCs w:val="24"/>
        </w:rPr>
        <w:t>s</w:t>
      </w:r>
      <w:r w:rsidR="00CA723E" w:rsidRPr="00303D1A">
        <w:rPr>
          <w:rFonts w:ascii="Arial" w:hAnsi="Arial" w:cs="Arial"/>
          <w:sz w:val="24"/>
          <w:szCs w:val="24"/>
        </w:rPr>
        <w:t xml:space="preserve"> at or below 5 percent. </w:t>
      </w:r>
      <w:r w:rsidR="006247B5">
        <w:rPr>
          <w:rFonts w:ascii="Arial" w:hAnsi="Arial" w:cs="Arial"/>
          <w:sz w:val="24"/>
          <w:szCs w:val="24"/>
        </w:rPr>
        <w:t>T</w:t>
      </w:r>
      <w:r w:rsidR="00D54A17">
        <w:rPr>
          <w:rFonts w:ascii="Arial" w:hAnsi="Arial" w:cs="Arial"/>
          <w:sz w:val="24"/>
          <w:szCs w:val="24"/>
        </w:rPr>
        <w:t>his</w:t>
      </w:r>
      <w:r w:rsidR="00CA723E" w:rsidRPr="00303D1A">
        <w:rPr>
          <w:rFonts w:ascii="Arial" w:hAnsi="Arial" w:cs="Arial"/>
          <w:sz w:val="24"/>
          <w:szCs w:val="24"/>
        </w:rPr>
        <w:t xml:space="preserve"> plot also shows</w:t>
      </w:r>
      <w:r w:rsidR="00D54A17">
        <w:rPr>
          <w:rFonts w:ascii="Arial" w:hAnsi="Arial" w:cs="Arial"/>
          <w:sz w:val="24"/>
          <w:szCs w:val="24"/>
        </w:rPr>
        <w:t xml:space="preserve"> populat</w:t>
      </w:r>
      <w:r w:rsidR="006247B5">
        <w:rPr>
          <w:rFonts w:ascii="Arial" w:hAnsi="Arial" w:cs="Arial"/>
          <w:sz w:val="24"/>
          <w:szCs w:val="24"/>
        </w:rPr>
        <w:t>ion density of each school type and provides insight into how well each school type is represented in the data set.</w:t>
      </w:r>
      <w:r w:rsidR="00D54A17">
        <w:rPr>
          <w:rFonts w:ascii="Arial" w:hAnsi="Arial" w:cs="Arial"/>
          <w:sz w:val="24"/>
          <w:szCs w:val="24"/>
        </w:rPr>
        <w:t xml:space="preserve"> </w:t>
      </w:r>
      <w:r w:rsidR="006247B5">
        <w:rPr>
          <w:rFonts w:ascii="Arial" w:hAnsi="Arial" w:cs="Arial"/>
          <w:sz w:val="24"/>
          <w:szCs w:val="24"/>
        </w:rPr>
        <w:t xml:space="preserve">The plot shows that public </w:t>
      </w:r>
      <w:r w:rsidR="00CA723E" w:rsidRPr="00303D1A">
        <w:rPr>
          <w:rFonts w:ascii="Arial" w:hAnsi="Arial" w:cs="Arial"/>
          <w:sz w:val="24"/>
          <w:szCs w:val="24"/>
        </w:rPr>
        <w:t>institutions were the most represented</w:t>
      </w:r>
      <w:r w:rsidR="006247B5">
        <w:rPr>
          <w:rFonts w:ascii="Arial" w:hAnsi="Arial" w:cs="Arial"/>
          <w:sz w:val="24"/>
          <w:szCs w:val="24"/>
        </w:rPr>
        <w:t xml:space="preserve"> school type</w:t>
      </w:r>
      <w:r w:rsidR="00CA723E" w:rsidRPr="00303D1A">
        <w:rPr>
          <w:rFonts w:ascii="Arial" w:hAnsi="Arial" w:cs="Arial"/>
          <w:sz w:val="24"/>
          <w:szCs w:val="24"/>
        </w:rPr>
        <w:t xml:space="preserve"> while proprietary institutions were the least represented</w:t>
      </w:r>
      <w:r w:rsidR="00867DC2">
        <w:rPr>
          <w:rFonts w:ascii="Arial" w:hAnsi="Arial" w:cs="Arial"/>
          <w:sz w:val="24"/>
          <w:szCs w:val="24"/>
        </w:rPr>
        <w:t>.</w:t>
      </w:r>
    </w:p>
    <w:p w14:paraId="48065E52" w14:textId="279E429F" w:rsidR="002E704F" w:rsidRDefault="002E704F" w:rsidP="00867DC2">
      <w:pPr>
        <w:spacing w:line="480" w:lineRule="auto"/>
        <w:ind w:firstLine="720"/>
        <w:rPr>
          <w:rFonts w:ascii="Arial" w:hAnsi="Arial" w:cs="Arial"/>
          <w:sz w:val="24"/>
          <w:szCs w:val="24"/>
        </w:rPr>
      </w:pPr>
      <w:r>
        <w:rPr>
          <w:rFonts w:ascii="Arial" w:hAnsi="Arial" w:cs="Arial"/>
          <w:sz w:val="24"/>
          <w:szCs w:val="24"/>
        </w:rPr>
        <w:t xml:space="preserve">Through this analysis, it appears that </w:t>
      </w:r>
      <w:r w:rsidR="008C78A9">
        <w:rPr>
          <w:rFonts w:ascii="Arial" w:hAnsi="Arial" w:cs="Arial"/>
          <w:sz w:val="24"/>
          <w:szCs w:val="24"/>
        </w:rPr>
        <w:t>school type and default rate may be correlated</w:t>
      </w:r>
      <w:r>
        <w:rPr>
          <w:rFonts w:ascii="Arial" w:hAnsi="Arial" w:cs="Arial"/>
          <w:sz w:val="24"/>
          <w:szCs w:val="24"/>
        </w:rPr>
        <w:t>. By observing the tables and plots generated in Appendices 4 – 8, it is clear that Private Institutions</w:t>
      </w:r>
      <w:r w:rsidR="00C34528">
        <w:rPr>
          <w:rFonts w:ascii="Arial" w:hAnsi="Arial" w:cs="Arial"/>
          <w:sz w:val="24"/>
          <w:szCs w:val="24"/>
        </w:rPr>
        <w:t xml:space="preserve"> outperform both Public Institutions and Proprietary Institutions when considering some of the most important metrics the Department of Education assesses when regulating student loan practices and policies. </w:t>
      </w:r>
      <w:r w:rsidR="000615CF">
        <w:rPr>
          <w:rFonts w:ascii="Arial" w:hAnsi="Arial" w:cs="Arial"/>
          <w:sz w:val="24"/>
          <w:szCs w:val="24"/>
        </w:rPr>
        <w:t>In addition, p</w:t>
      </w:r>
      <w:r w:rsidR="00C34528">
        <w:rPr>
          <w:rFonts w:ascii="Arial" w:hAnsi="Arial" w:cs="Arial"/>
          <w:sz w:val="24"/>
          <w:szCs w:val="24"/>
        </w:rPr>
        <w:t xml:space="preserve">ublic </w:t>
      </w:r>
      <w:r w:rsidR="00C34528">
        <w:rPr>
          <w:rFonts w:ascii="Arial" w:hAnsi="Arial" w:cs="Arial"/>
          <w:sz w:val="24"/>
          <w:szCs w:val="24"/>
        </w:rPr>
        <w:lastRenderedPageBreak/>
        <w:t xml:space="preserve">institutions are </w:t>
      </w:r>
      <w:r w:rsidR="00C34528" w:rsidRPr="000615CF">
        <w:rPr>
          <w:rFonts w:ascii="Arial" w:hAnsi="Arial" w:cs="Arial"/>
          <w:i/>
          <w:sz w:val="24"/>
          <w:szCs w:val="24"/>
        </w:rPr>
        <w:t>least</w:t>
      </w:r>
      <w:r w:rsidR="00C34528">
        <w:rPr>
          <w:rFonts w:ascii="Arial" w:hAnsi="Arial" w:cs="Arial"/>
          <w:sz w:val="24"/>
          <w:szCs w:val="24"/>
        </w:rPr>
        <w:t xml:space="preserve"> likely to meet the same, Department of Education benchmark metrics. Unfortunately, the analysis doesn’t capture a complete picture of the influence of school type </w:t>
      </w:r>
      <w:r w:rsidR="008C78A9">
        <w:rPr>
          <w:rFonts w:ascii="Arial" w:hAnsi="Arial" w:cs="Arial"/>
          <w:sz w:val="24"/>
          <w:szCs w:val="24"/>
        </w:rPr>
        <w:t xml:space="preserve">may have </w:t>
      </w:r>
      <w:r w:rsidR="00C34528">
        <w:rPr>
          <w:rFonts w:ascii="Arial" w:hAnsi="Arial" w:cs="Arial"/>
          <w:sz w:val="24"/>
          <w:szCs w:val="24"/>
        </w:rPr>
        <w:t>on default rates. The levels that are observed in the school type variable are fairly broad. For instance, included in the Public Institution level are both community colleges and four-year colleges and unive</w:t>
      </w:r>
      <w:r w:rsidR="00084204">
        <w:rPr>
          <w:rFonts w:ascii="Arial" w:hAnsi="Arial" w:cs="Arial"/>
          <w:sz w:val="24"/>
          <w:szCs w:val="24"/>
        </w:rPr>
        <w:t xml:space="preserve">rsities. </w:t>
      </w:r>
      <w:r w:rsidR="00F34C31">
        <w:rPr>
          <w:rFonts w:ascii="Arial" w:hAnsi="Arial" w:cs="Arial"/>
          <w:sz w:val="24"/>
          <w:szCs w:val="24"/>
        </w:rPr>
        <w:t>T</w:t>
      </w:r>
      <w:r w:rsidR="00084204">
        <w:rPr>
          <w:rFonts w:ascii="Arial" w:hAnsi="Arial" w:cs="Arial"/>
          <w:sz w:val="24"/>
          <w:szCs w:val="24"/>
        </w:rPr>
        <w:t>hough considered the same level</w:t>
      </w:r>
      <w:r w:rsidR="00DF3525">
        <w:rPr>
          <w:rFonts w:ascii="Arial" w:hAnsi="Arial" w:cs="Arial"/>
          <w:sz w:val="24"/>
          <w:szCs w:val="24"/>
        </w:rPr>
        <w:t xml:space="preserve"> by the DOE definitions</w:t>
      </w:r>
      <w:r w:rsidR="00084204">
        <w:rPr>
          <w:rFonts w:ascii="Arial" w:hAnsi="Arial" w:cs="Arial"/>
          <w:sz w:val="24"/>
          <w:szCs w:val="24"/>
        </w:rPr>
        <w:t>,</w:t>
      </w:r>
      <w:r w:rsidR="00F34C31">
        <w:rPr>
          <w:rFonts w:ascii="Arial" w:hAnsi="Arial" w:cs="Arial"/>
          <w:sz w:val="24"/>
          <w:szCs w:val="24"/>
        </w:rPr>
        <w:t xml:space="preserve"> these institutions have </w:t>
      </w:r>
      <w:r w:rsidR="00084204">
        <w:rPr>
          <w:rFonts w:ascii="Arial" w:hAnsi="Arial" w:cs="Arial"/>
          <w:sz w:val="24"/>
          <w:szCs w:val="24"/>
        </w:rPr>
        <w:t>very different</w:t>
      </w:r>
      <w:r w:rsidR="00F34C31">
        <w:rPr>
          <w:rFonts w:ascii="Arial" w:hAnsi="Arial" w:cs="Arial"/>
          <w:sz w:val="24"/>
          <w:szCs w:val="24"/>
        </w:rPr>
        <w:t xml:space="preserve"> programs and structures, while serving</w:t>
      </w:r>
      <w:r w:rsidR="00084204">
        <w:rPr>
          <w:rFonts w:ascii="Arial" w:hAnsi="Arial" w:cs="Arial"/>
          <w:sz w:val="24"/>
          <w:szCs w:val="24"/>
        </w:rPr>
        <w:t xml:space="preserve"> different student demographics. Likewise, short-term, vocational/technical schools and universities offering bachelor and graduate degrees are both included in the proprietary school level</w:t>
      </w:r>
      <w:r w:rsidR="00F34C31">
        <w:rPr>
          <w:rFonts w:ascii="Arial" w:hAnsi="Arial" w:cs="Arial"/>
          <w:sz w:val="24"/>
          <w:szCs w:val="24"/>
        </w:rPr>
        <w:t>—two entirely different target student populations</w:t>
      </w:r>
      <w:r w:rsidR="00084204">
        <w:rPr>
          <w:rFonts w:ascii="Arial" w:hAnsi="Arial" w:cs="Arial"/>
          <w:sz w:val="24"/>
          <w:szCs w:val="24"/>
        </w:rPr>
        <w:t>. With such a wide range of institutions comprising each level of the school type variable, it is difficult to draw a clear-cut conclusion from the insight</w:t>
      </w:r>
      <w:r w:rsidR="008C78A9">
        <w:rPr>
          <w:rFonts w:ascii="Arial" w:hAnsi="Arial" w:cs="Arial"/>
          <w:sz w:val="24"/>
          <w:szCs w:val="24"/>
        </w:rPr>
        <w:t xml:space="preserve"> we are </w:t>
      </w:r>
      <w:r w:rsidR="00A042B6">
        <w:rPr>
          <w:rFonts w:ascii="Arial" w:hAnsi="Arial" w:cs="Arial"/>
          <w:sz w:val="24"/>
          <w:szCs w:val="24"/>
        </w:rPr>
        <w:t>gleaning from our data</w:t>
      </w:r>
      <w:r w:rsidR="008C78A9">
        <w:rPr>
          <w:rFonts w:ascii="Arial" w:hAnsi="Arial" w:cs="Arial"/>
          <w:sz w:val="24"/>
          <w:szCs w:val="24"/>
        </w:rPr>
        <w:t xml:space="preserve">. </w:t>
      </w:r>
      <w:r w:rsidR="00E3460A">
        <w:rPr>
          <w:rFonts w:ascii="Arial" w:hAnsi="Arial" w:cs="Arial"/>
          <w:sz w:val="24"/>
          <w:szCs w:val="24"/>
        </w:rPr>
        <w:t xml:space="preserve">Through exploratory analysis, the data </w:t>
      </w:r>
      <w:r w:rsidR="008C78A9">
        <w:rPr>
          <w:rFonts w:ascii="Arial" w:hAnsi="Arial" w:cs="Arial"/>
          <w:sz w:val="24"/>
          <w:szCs w:val="24"/>
        </w:rPr>
        <w:t>offers</w:t>
      </w:r>
      <w:r w:rsidR="00BA355A">
        <w:rPr>
          <w:rFonts w:ascii="Arial" w:hAnsi="Arial" w:cs="Arial"/>
          <w:sz w:val="24"/>
          <w:szCs w:val="24"/>
        </w:rPr>
        <w:t xml:space="preserve"> an interesting perspective on a possible correlation between school type and default rate</w:t>
      </w:r>
      <w:r w:rsidR="00BE1AE0">
        <w:rPr>
          <w:rFonts w:ascii="Arial" w:hAnsi="Arial" w:cs="Arial"/>
          <w:sz w:val="24"/>
          <w:szCs w:val="24"/>
        </w:rPr>
        <w:t>. Ultimately, however, a</w:t>
      </w:r>
      <w:r w:rsidR="008C78A9">
        <w:rPr>
          <w:rFonts w:ascii="Arial" w:hAnsi="Arial" w:cs="Arial"/>
          <w:sz w:val="24"/>
          <w:szCs w:val="24"/>
        </w:rPr>
        <w:t xml:space="preserve">dded levels to the Department of Education school type definitions </w:t>
      </w:r>
      <w:r w:rsidR="00BA355A">
        <w:rPr>
          <w:rFonts w:ascii="Arial" w:hAnsi="Arial" w:cs="Arial"/>
          <w:sz w:val="24"/>
          <w:szCs w:val="24"/>
        </w:rPr>
        <w:t>w</w:t>
      </w:r>
      <w:r w:rsidR="008C78A9">
        <w:rPr>
          <w:rFonts w:ascii="Arial" w:hAnsi="Arial" w:cs="Arial"/>
          <w:sz w:val="24"/>
          <w:szCs w:val="24"/>
        </w:rPr>
        <w:t xml:space="preserve">ould provide the most valuable insight on how </w:t>
      </w:r>
      <w:r w:rsidR="00BA355A">
        <w:rPr>
          <w:rFonts w:ascii="Arial" w:hAnsi="Arial" w:cs="Arial"/>
          <w:sz w:val="24"/>
          <w:szCs w:val="24"/>
        </w:rPr>
        <w:t>the two variables</w:t>
      </w:r>
      <w:r w:rsidR="008C78A9">
        <w:rPr>
          <w:rFonts w:ascii="Arial" w:hAnsi="Arial" w:cs="Arial"/>
          <w:sz w:val="24"/>
          <w:szCs w:val="24"/>
        </w:rPr>
        <w:t xml:space="preserve"> are related.</w:t>
      </w:r>
    </w:p>
    <w:p w14:paraId="7FA2831C" w14:textId="77777777" w:rsidR="0018392F" w:rsidRDefault="0018392F" w:rsidP="00867DC2">
      <w:pPr>
        <w:spacing w:line="480" w:lineRule="auto"/>
        <w:ind w:firstLine="720"/>
        <w:rPr>
          <w:rFonts w:ascii="Arial" w:hAnsi="Arial" w:cs="Arial"/>
          <w:sz w:val="24"/>
          <w:szCs w:val="24"/>
        </w:rPr>
      </w:pPr>
      <w:bookmarkStart w:id="0" w:name="_GoBack"/>
      <w:bookmarkEnd w:id="0"/>
    </w:p>
    <w:p w14:paraId="1301E3D2" w14:textId="31C3BE94"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59264" behindDoc="0" locked="0" layoutInCell="1" allowOverlap="1" wp14:anchorId="019DCDAA" wp14:editId="1DE25AC1">
            <wp:simplePos x="0" y="0"/>
            <wp:positionH relativeFrom="margin">
              <wp:posOffset>-95250</wp:posOffset>
            </wp:positionH>
            <wp:positionV relativeFrom="paragraph">
              <wp:posOffset>340360</wp:posOffset>
            </wp:positionV>
            <wp:extent cx="3543300" cy="1123950"/>
            <wp:effectExtent l="0" t="0" r="0" b="0"/>
            <wp:wrapNone/>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5">
                      <a:extLst>
                        <a:ext uri="{28A0092B-C50C-407E-A947-70E740481C1C}">
                          <a14:useLocalDpi xmlns:a14="http://schemas.microsoft.com/office/drawing/2010/main" val="0"/>
                        </a:ext>
                      </a:extLst>
                    </a:blip>
                    <a:stretch>
                      <a:fillRect/>
                    </a:stretch>
                  </pic:blipFill>
                  <pic:spPr>
                    <a:xfrm>
                      <a:off x="0" y="0"/>
                      <a:ext cx="3543300" cy="1123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Summary Table: Average Cohort Default Rate for School Type by Year</w:t>
      </w:r>
    </w:p>
    <w:p w14:paraId="2BD2477B" w14:textId="37D998B2" w:rsidR="00347A9B" w:rsidRDefault="00347A9B" w:rsidP="00347A9B">
      <w:pPr>
        <w:spacing w:line="480" w:lineRule="auto"/>
        <w:rPr>
          <w:rFonts w:ascii="Arial" w:hAnsi="Arial" w:cs="Arial"/>
          <w:sz w:val="24"/>
          <w:szCs w:val="24"/>
        </w:rPr>
      </w:pPr>
    </w:p>
    <w:p w14:paraId="3D0D0C7B" w14:textId="111589BA" w:rsidR="00347A9B" w:rsidRDefault="00347A9B" w:rsidP="00347A9B">
      <w:pPr>
        <w:spacing w:line="480" w:lineRule="auto"/>
        <w:rPr>
          <w:rFonts w:ascii="Arial" w:hAnsi="Arial" w:cs="Arial"/>
          <w:sz w:val="24"/>
          <w:szCs w:val="24"/>
        </w:rPr>
      </w:pPr>
    </w:p>
    <w:p w14:paraId="38A49982" w14:textId="0718C807" w:rsidR="00347A9B" w:rsidRDefault="00347A9B" w:rsidP="00347A9B">
      <w:pPr>
        <w:spacing w:line="480" w:lineRule="auto"/>
        <w:rPr>
          <w:rFonts w:ascii="Arial" w:hAnsi="Arial" w:cs="Arial"/>
          <w:sz w:val="24"/>
          <w:szCs w:val="24"/>
        </w:rPr>
      </w:pPr>
    </w:p>
    <w:p w14:paraId="3EEEC860" w14:textId="4DF6F753"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60288" behindDoc="0" locked="0" layoutInCell="1" allowOverlap="1" wp14:anchorId="586E79A9" wp14:editId="0A5275D1">
            <wp:simplePos x="0" y="0"/>
            <wp:positionH relativeFrom="column">
              <wp:posOffset>-95250</wp:posOffset>
            </wp:positionH>
            <wp:positionV relativeFrom="paragraph">
              <wp:posOffset>362585</wp:posOffset>
            </wp:positionV>
            <wp:extent cx="3660775" cy="1123315"/>
            <wp:effectExtent l="0" t="0" r="0" b="635"/>
            <wp:wrapNone/>
            <wp:docPr id="14"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660775" cy="1123315"/>
                    </a:xfrm>
                    <a:prstGeom prst="rect">
                      <a:avLst/>
                    </a:prstGeom>
                  </pic:spPr>
                </pic:pic>
              </a:graphicData>
            </a:graphic>
          </wp:anchor>
        </w:drawing>
      </w:r>
      <w:r>
        <w:rPr>
          <w:rFonts w:ascii="Arial" w:hAnsi="Arial" w:cs="Arial"/>
          <w:sz w:val="24"/>
          <w:szCs w:val="24"/>
        </w:rPr>
        <w:t>Summary Table: Percentage of Institutions with Default Rates ≤ 15%</w:t>
      </w:r>
    </w:p>
    <w:p w14:paraId="1DA1ED5D" w14:textId="10C76EEB" w:rsidR="00347A9B" w:rsidRDefault="00347A9B" w:rsidP="00347A9B">
      <w:pPr>
        <w:spacing w:line="480" w:lineRule="auto"/>
        <w:rPr>
          <w:rFonts w:ascii="Arial" w:hAnsi="Arial" w:cs="Arial"/>
          <w:sz w:val="24"/>
          <w:szCs w:val="24"/>
        </w:rPr>
      </w:pPr>
    </w:p>
    <w:p w14:paraId="681BDA28" w14:textId="55CC5CED" w:rsidR="00347A9B" w:rsidRDefault="00347A9B" w:rsidP="00347A9B">
      <w:pPr>
        <w:spacing w:line="480" w:lineRule="auto"/>
        <w:rPr>
          <w:rFonts w:ascii="Arial" w:hAnsi="Arial" w:cs="Arial"/>
          <w:sz w:val="24"/>
          <w:szCs w:val="24"/>
        </w:rPr>
      </w:pPr>
    </w:p>
    <w:p w14:paraId="6D732441" w14:textId="6B999C6E" w:rsidR="00347A9B" w:rsidRDefault="00347A9B" w:rsidP="00347A9B">
      <w:pPr>
        <w:spacing w:line="480" w:lineRule="auto"/>
        <w:rPr>
          <w:rFonts w:ascii="Arial" w:hAnsi="Arial" w:cs="Arial"/>
          <w:sz w:val="24"/>
          <w:szCs w:val="24"/>
        </w:rPr>
      </w:pPr>
    </w:p>
    <w:p w14:paraId="61B65730" w14:textId="6C220EC8" w:rsidR="00347A9B" w:rsidRDefault="00347A9B" w:rsidP="00347A9B">
      <w:pPr>
        <w:spacing w:line="480" w:lineRule="auto"/>
        <w:rPr>
          <w:rFonts w:ascii="Arial" w:hAnsi="Arial" w:cs="Arial"/>
          <w:sz w:val="24"/>
          <w:szCs w:val="24"/>
        </w:rPr>
      </w:pPr>
      <w:r w:rsidRPr="00867DC2">
        <w:rPr>
          <w:rFonts w:ascii="Arial" w:hAnsi="Arial" w:cs="Arial"/>
          <w:noProof/>
          <w:sz w:val="24"/>
          <w:szCs w:val="24"/>
        </w:rPr>
        <w:drawing>
          <wp:anchor distT="0" distB="0" distL="114300" distR="114300" simplePos="0" relativeHeight="251661312" behindDoc="0" locked="0" layoutInCell="1" allowOverlap="1" wp14:anchorId="6BC34AC1" wp14:editId="1225980C">
            <wp:simplePos x="0" y="0"/>
            <wp:positionH relativeFrom="column">
              <wp:posOffset>-90995</wp:posOffset>
            </wp:positionH>
            <wp:positionV relativeFrom="paragraph">
              <wp:posOffset>412115</wp:posOffset>
            </wp:positionV>
            <wp:extent cx="3654456" cy="1159661"/>
            <wp:effectExtent l="0" t="0" r="3175" b="2540"/>
            <wp:wrapNone/>
            <wp:docPr id="15" name="Picture 14"/>
            <wp:cNvGraphicFramePr/>
            <a:graphic xmlns:a="http://schemas.openxmlformats.org/drawingml/2006/main">
              <a:graphicData uri="http://schemas.openxmlformats.org/drawingml/2006/picture">
                <pic:pic xmlns:pic="http://schemas.openxmlformats.org/drawingml/2006/picture">
                  <pic:nvPicPr>
                    <pic:cNvPr id="15"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3654456" cy="1159661"/>
                    </a:xfrm>
                    <a:prstGeom prst="rect">
                      <a:avLst/>
                    </a:prstGeom>
                  </pic:spPr>
                </pic:pic>
              </a:graphicData>
            </a:graphic>
          </wp:anchor>
        </w:drawing>
      </w:r>
      <w:r>
        <w:rPr>
          <w:rFonts w:ascii="Arial" w:hAnsi="Arial" w:cs="Arial"/>
          <w:sz w:val="24"/>
          <w:szCs w:val="24"/>
        </w:rPr>
        <w:t>Summary Table: Percentage of Institutions with Default Rates ≥ 30%</w:t>
      </w:r>
    </w:p>
    <w:p w14:paraId="7CF43D98" w14:textId="3C7B9579" w:rsidR="00347A9B" w:rsidRDefault="00347A9B" w:rsidP="00347A9B">
      <w:pPr>
        <w:spacing w:line="480" w:lineRule="auto"/>
        <w:rPr>
          <w:rFonts w:ascii="Arial" w:hAnsi="Arial" w:cs="Arial"/>
          <w:sz w:val="24"/>
          <w:szCs w:val="24"/>
        </w:rPr>
      </w:pPr>
    </w:p>
    <w:p w14:paraId="40EBFAFC" w14:textId="40B0D85F" w:rsidR="00347A9B" w:rsidRDefault="00347A9B" w:rsidP="00347A9B">
      <w:pPr>
        <w:spacing w:line="480" w:lineRule="auto"/>
        <w:rPr>
          <w:rFonts w:ascii="Arial" w:hAnsi="Arial" w:cs="Arial"/>
          <w:sz w:val="24"/>
          <w:szCs w:val="24"/>
        </w:rPr>
      </w:pPr>
    </w:p>
    <w:p w14:paraId="43FD814A" w14:textId="77777777" w:rsidR="00347A9B" w:rsidRDefault="00347A9B" w:rsidP="00347A9B">
      <w:pPr>
        <w:spacing w:line="480" w:lineRule="auto"/>
        <w:rPr>
          <w:rFonts w:ascii="Arial" w:hAnsi="Arial" w:cs="Arial"/>
          <w:sz w:val="24"/>
          <w:szCs w:val="24"/>
        </w:rPr>
      </w:pPr>
    </w:p>
    <w:p w14:paraId="3254DEDB" w14:textId="4DFBDE39" w:rsidR="00347A9B" w:rsidRDefault="00347A9B" w:rsidP="00347A9B">
      <w:pPr>
        <w:spacing w:line="480" w:lineRule="auto"/>
        <w:rPr>
          <w:rFonts w:ascii="Arial" w:hAnsi="Arial" w:cs="Arial"/>
          <w:sz w:val="24"/>
          <w:szCs w:val="24"/>
        </w:rPr>
      </w:pPr>
      <w:r>
        <w:rPr>
          <w:rFonts w:ascii="Arial" w:hAnsi="Arial" w:cs="Arial"/>
          <w:sz w:val="24"/>
          <w:szCs w:val="24"/>
        </w:rPr>
        <w:t>Scatter Plot: Default Rate vs. Tuition with School Type</w:t>
      </w:r>
    </w:p>
    <w:p w14:paraId="38087EAC" w14:textId="12C09C4A" w:rsidR="00347A9B" w:rsidRDefault="00347A9B" w:rsidP="00347A9B">
      <w:pPr>
        <w:spacing w:line="480" w:lineRule="auto"/>
        <w:rPr>
          <w:rFonts w:ascii="Arial" w:hAnsi="Arial" w:cs="Arial"/>
          <w:sz w:val="24"/>
          <w:szCs w:val="24"/>
        </w:rPr>
      </w:pPr>
      <w:r w:rsidRPr="005D1F54">
        <w:rPr>
          <w:noProof/>
          <w:sz w:val="24"/>
          <w:szCs w:val="24"/>
          <w:u w:val="single"/>
        </w:rPr>
        <w:drawing>
          <wp:inline distT="0" distB="0" distL="0" distR="0" wp14:anchorId="023889C5" wp14:editId="4E09F799">
            <wp:extent cx="4614862" cy="3076575"/>
            <wp:effectExtent l="0" t="0" r="0" b="0"/>
            <wp:docPr id="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6949" cy="3077966"/>
                    </a:xfrm>
                    <a:prstGeom prst="rect">
                      <a:avLst/>
                    </a:prstGeom>
                  </pic:spPr>
                </pic:pic>
              </a:graphicData>
            </a:graphic>
          </wp:inline>
        </w:drawing>
      </w:r>
    </w:p>
    <w:p w14:paraId="5281772B" w14:textId="77777777" w:rsidR="00347A9B" w:rsidRDefault="00347A9B" w:rsidP="00347A9B">
      <w:pPr>
        <w:spacing w:line="480" w:lineRule="auto"/>
        <w:rPr>
          <w:rFonts w:ascii="Arial" w:hAnsi="Arial" w:cs="Arial"/>
          <w:sz w:val="24"/>
          <w:szCs w:val="24"/>
        </w:rPr>
      </w:pPr>
    </w:p>
    <w:p w14:paraId="2703277F" w14:textId="77777777" w:rsidR="008D1E22" w:rsidRDefault="008D1E22" w:rsidP="00347A9B">
      <w:pPr>
        <w:spacing w:line="480" w:lineRule="auto"/>
        <w:rPr>
          <w:rFonts w:ascii="Arial" w:hAnsi="Arial" w:cs="Arial"/>
          <w:sz w:val="24"/>
          <w:szCs w:val="24"/>
        </w:rPr>
      </w:pPr>
    </w:p>
    <w:p w14:paraId="3321C9F5" w14:textId="77777777" w:rsidR="00347A9B" w:rsidRDefault="00347A9B" w:rsidP="00347A9B">
      <w:pPr>
        <w:spacing w:line="480" w:lineRule="auto"/>
        <w:rPr>
          <w:rFonts w:ascii="Arial" w:hAnsi="Arial" w:cs="Arial"/>
          <w:sz w:val="24"/>
          <w:szCs w:val="24"/>
        </w:rPr>
      </w:pPr>
      <w:r>
        <w:rPr>
          <w:rFonts w:ascii="Arial" w:hAnsi="Arial" w:cs="Arial"/>
          <w:sz w:val="24"/>
          <w:szCs w:val="24"/>
        </w:rPr>
        <w:t>Boxplot w/Jitter: Default Rate vs. School Type</w:t>
      </w:r>
    </w:p>
    <w:p w14:paraId="0CE2461E" w14:textId="3F0EFA9E" w:rsidR="006D21BD" w:rsidRPr="008D1E22" w:rsidRDefault="00347A9B" w:rsidP="008D1E22">
      <w:pPr>
        <w:spacing w:line="480" w:lineRule="auto"/>
        <w:rPr>
          <w:rFonts w:ascii="Arial" w:hAnsi="Arial" w:cs="Arial"/>
          <w:sz w:val="24"/>
          <w:szCs w:val="24"/>
        </w:rPr>
      </w:pPr>
      <w:r>
        <w:rPr>
          <w:noProof/>
        </w:rPr>
        <w:lastRenderedPageBreak/>
        <w:drawing>
          <wp:inline distT="0" distB="0" distL="0" distR="0" wp14:anchorId="7BC92CB7" wp14:editId="6FC57006">
            <wp:extent cx="4460666" cy="295275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2453" cy="2953933"/>
                    </a:xfrm>
                    <a:prstGeom prst="rect">
                      <a:avLst/>
                    </a:prstGeom>
                  </pic:spPr>
                </pic:pic>
              </a:graphicData>
            </a:graphic>
          </wp:inline>
        </w:drawing>
      </w:r>
      <w:r w:rsidRPr="00347A9B">
        <w:rPr>
          <w:noProof/>
          <w:sz w:val="24"/>
          <w:szCs w:val="24"/>
          <w:u w:val="single"/>
        </w:rPr>
        <w:t xml:space="preserve"> </w:t>
      </w:r>
    </w:p>
    <w:sectPr w:rsidR="006D21BD" w:rsidRPr="008D1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C53D3"/>
    <w:multiLevelType w:val="hybridMultilevel"/>
    <w:tmpl w:val="22B85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82B2E"/>
    <w:multiLevelType w:val="hybridMultilevel"/>
    <w:tmpl w:val="EF60B88E"/>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BF0926"/>
    <w:multiLevelType w:val="hybridMultilevel"/>
    <w:tmpl w:val="C396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A525D"/>
    <w:multiLevelType w:val="hybridMultilevel"/>
    <w:tmpl w:val="E6E8EF62"/>
    <w:lvl w:ilvl="0" w:tplc="84A8A9A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F38CB"/>
    <w:multiLevelType w:val="hybridMultilevel"/>
    <w:tmpl w:val="212E2696"/>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75EB0"/>
    <w:multiLevelType w:val="hybridMultilevel"/>
    <w:tmpl w:val="DB1EC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C4174"/>
    <w:multiLevelType w:val="hybridMultilevel"/>
    <w:tmpl w:val="810E7E42"/>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62738"/>
    <w:multiLevelType w:val="hybridMultilevel"/>
    <w:tmpl w:val="EF60B88E"/>
    <w:lvl w:ilvl="0" w:tplc="E5F44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CE551F"/>
    <w:multiLevelType w:val="hybridMultilevel"/>
    <w:tmpl w:val="19CAB014"/>
    <w:lvl w:ilvl="0" w:tplc="16CC0DB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1BD"/>
    <w:rsid w:val="00026410"/>
    <w:rsid w:val="00034B74"/>
    <w:rsid w:val="00046C59"/>
    <w:rsid w:val="000615CF"/>
    <w:rsid w:val="00082247"/>
    <w:rsid w:val="00084204"/>
    <w:rsid w:val="00084461"/>
    <w:rsid w:val="000B603E"/>
    <w:rsid w:val="000C438D"/>
    <w:rsid w:val="000E2C61"/>
    <w:rsid w:val="00103AE8"/>
    <w:rsid w:val="00123351"/>
    <w:rsid w:val="001268C7"/>
    <w:rsid w:val="00146971"/>
    <w:rsid w:val="001636C7"/>
    <w:rsid w:val="001746A9"/>
    <w:rsid w:val="0018392F"/>
    <w:rsid w:val="001866B1"/>
    <w:rsid w:val="00194013"/>
    <w:rsid w:val="001B340F"/>
    <w:rsid w:val="001B62B7"/>
    <w:rsid w:val="001C3318"/>
    <w:rsid w:val="001C55A9"/>
    <w:rsid w:val="001D1C22"/>
    <w:rsid w:val="001D22E7"/>
    <w:rsid w:val="00225DDD"/>
    <w:rsid w:val="002300FC"/>
    <w:rsid w:val="00256A3B"/>
    <w:rsid w:val="0027035C"/>
    <w:rsid w:val="002856A4"/>
    <w:rsid w:val="002A6292"/>
    <w:rsid w:val="002E704F"/>
    <w:rsid w:val="002E74EE"/>
    <w:rsid w:val="002F55CF"/>
    <w:rsid w:val="002F7FAF"/>
    <w:rsid w:val="00303D1A"/>
    <w:rsid w:val="00305117"/>
    <w:rsid w:val="003061D5"/>
    <w:rsid w:val="00306D67"/>
    <w:rsid w:val="00311E0B"/>
    <w:rsid w:val="003174D0"/>
    <w:rsid w:val="003201EB"/>
    <w:rsid w:val="00344DB0"/>
    <w:rsid w:val="00345E7A"/>
    <w:rsid w:val="00347A9B"/>
    <w:rsid w:val="003522FE"/>
    <w:rsid w:val="003542B2"/>
    <w:rsid w:val="00381296"/>
    <w:rsid w:val="0038384D"/>
    <w:rsid w:val="003A0FD8"/>
    <w:rsid w:val="003A3966"/>
    <w:rsid w:val="003F618A"/>
    <w:rsid w:val="004027A0"/>
    <w:rsid w:val="00410936"/>
    <w:rsid w:val="0048469C"/>
    <w:rsid w:val="00485C5A"/>
    <w:rsid w:val="00490CE9"/>
    <w:rsid w:val="004C4E63"/>
    <w:rsid w:val="004F4BD6"/>
    <w:rsid w:val="0050515F"/>
    <w:rsid w:val="00520552"/>
    <w:rsid w:val="00522DDF"/>
    <w:rsid w:val="0057585B"/>
    <w:rsid w:val="00592675"/>
    <w:rsid w:val="0059343E"/>
    <w:rsid w:val="00595C18"/>
    <w:rsid w:val="005A62E7"/>
    <w:rsid w:val="005A70A8"/>
    <w:rsid w:val="005C2823"/>
    <w:rsid w:val="005D1F54"/>
    <w:rsid w:val="005D6397"/>
    <w:rsid w:val="005E14BB"/>
    <w:rsid w:val="005E4D86"/>
    <w:rsid w:val="006247B5"/>
    <w:rsid w:val="00624D67"/>
    <w:rsid w:val="00626E2D"/>
    <w:rsid w:val="006325ED"/>
    <w:rsid w:val="00644130"/>
    <w:rsid w:val="00661912"/>
    <w:rsid w:val="006D10FC"/>
    <w:rsid w:val="006D21BD"/>
    <w:rsid w:val="00700E81"/>
    <w:rsid w:val="00743603"/>
    <w:rsid w:val="00745DB2"/>
    <w:rsid w:val="0077791A"/>
    <w:rsid w:val="007D0B95"/>
    <w:rsid w:val="0081099F"/>
    <w:rsid w:val="008419C4"/>
    <w:rsid w:val="008471A8"/>
    <w:rsid w:val="008617CC"/>
    <w:rsid w:val="00867DC2"/>
    <w:rsid w:val="00874EF0"/>
    <w:rsid w:val="00881794"/>
    <w:rsid w:val="00882BB4"/>
    <w:rsid w:val="00891F4D"/>
    <w:rsid w:val="008925F9"/>
    <w:rsid w:val="008A4027"/>
    <w:rsid w:val="008A77AE"/>
    <w:rsid w:val="008C78A9"/>
    <w:rsid w:val="008D1E22"/>
    <w:rsid w:val="008E50D1"/>
    <w:rsid w:val="00907C36"/>
    <w:rsid w:val="009176A9"/>
    <w:rsid w:val="0092128C"/>
    <w:rsid w:val="0092734F"/>
    <w:rsid w:val="009478B1"/>
    <w:rsid w:val="00955D03"/>
    <w:rsid w:val="00955F3F"/>
    <w:rsid w:val="00973FAD"/>
    <w:rsid w:val="00990D1F"/>
    <w:rsid w:val="009C60D1"/>
    <w:rsid w:val="009E1CB7"/>
    <w:rsid w:val="009E226E"/>
    <w:rsid w:val="00A042B6"/>
    <w:rsid w:val="00A046CD"/>
    <w:rsid w:val="00A12978"/>
    <w:rsid w:val="00A44108"/>
    <w:rsid w:val="00A54072"/>
    <w:rsid w:val="00A72CF5"/>
    <w:rsid w:val="00A87803"/>
    <w:rsid w:val="00AA161A"/>
    <w:rsid w:val="00AD0210"/>
    <w:rsid w:val="00AF20FB"/>
    <w:rsid w:val="00B1139A"/>
    <w:rsid w:val="00B23541"/>
    <w:rsid w:val="00B328FD"/>
    <w:rsid w:val="00B432BD"/>
    <w:rsid w:val="00BA355A"/>
    <w:rsid w:val="00BB20BB"/>
    <w:rsid w:val="00BD74FF"/>
    <w:rsid w:val="00BE1AE0"/>
    <w:rsid w:val="00BE5D53"/>
    <w:rsid w:val="00BF4DA8"/>
    <w:rsid w:val="00C010DD"/>
    <w:rsid w:val="00C0793A"/>
    <w:rsid w:val="00C102E1"/>
    <w:rsid w:val="00C10AEB"/>
    <w:rsid w:val="00C2245E"/>
    <w:rsid w:val="00C34528"/>
    <w:rsid w:val="00C603DA"/>
    <w:rsid w:val="00C9294F"/>
    <w:rsid w:val="00C96E39"/>
    <w:rsid w:val="00CA5ACB"/>
    <w:rsid w:val="00CA723E"/>
    <w:rsid w:val="00CB3F4E"/>
    <w:rsid w:val="00CB56D3"/>
    <w:rsid w:val="00CD122A"/>
    <w:rsid w:val="00D15312"/>
    <w:rsid w:val="00D17155"/>
    <w:rsid w:val="00D257A0"/>
    <w:rsid w:val="00D27D81"/>
    <w:rsid w:val="00D45C7C"/>
    <w:rsid w:val="00D54A17"/>
    <w:rsid w:val="00D606C3"/>
    <w:rsid w:val="00D72BFD"/>
    <w:rsid w:val="00D97D22"/>
    <w:rsid w:val="00DB4CF6"/>
    <w:rsid w:val="00DC086D"/>
    <w:rsid w:val="00DD6F50"/>
    <w:rsid w:val="00DE4A6F"/>
    <w:rsid w:val="00DF3525"/>
    <w:rsid w:val="00E022CF"/>
    <w:rsid w:val="00E0465D"/>
    <w:rsid w:val="00E069E2"/>
    <w:rsid w:val="00E326DE"/>
    <w:rsid w:val="00E3460A"/>
    <w:rsid w:val="00E80A06"/>
    <w:rsid w:val="00EB18DB"/>
    <w:rsid w:val="00EC0324"/>
    <w:rsid w:val="00ED2245"/>
    <w:rsid w:val="00F050C1"/>
    <w:rsid w:val="00F13012"/>
    <w:rsid w:val="00F24DA7"/>
    <w:rsid w:val="00F27B99"/>
    <w:rsid w:val="00F32ED3"/>
    <w:rsid w:val="00F34C31"/>
    <w:rsid w:val="00F36038"/>
    <w:rsid w:val="00FB5FA6"/>
    <w:rsid w:val="00FC2169"/>
    <w:rsid w:val="00FC365C"/>
    <w:rsid w:val="00FD1746"/>
    <w:rsid w:val="00FD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C5A0"/>
  <w15:chartTrackingRefBased/>
  <w15:docId w15:val="{F0FF7C27-4F0F-47AD-A26B-6791A65D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0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D86"/>
    <w:pPr>
      <w:ind w:left="720"/>
      <w:contextualSpacing/>
    </w:pPr>
  </w:style>
  <w:style w:type="character" w:customStyle="1" w:styleId="nacell">
    <w:name w:val="nacell"/>
    <w:basedOn w:val="DefaultParagraphFont"/>
    <w:rsid w:val="008617CC"/>
  </w:style>
  <w:style w:type="paragraph" w:styleId="NormalWeb">
    <w:name w:val="Normal (Web)"/>
    <w:basedOn w:val="Normal"/>
    <w:uiPriority w:val="99"/>
    <w:semiHidden/>
    <w:unhideWhenUsed/>
    <w:rsid w:val="00C2245E"/>
    <w:rPr>
      <w:rFonts w:ascii="Times New Roman" w:hAnsi="Times New Roman" w:cs="Times New Roman"/>
      <w:sz w:val="24"/>
      <w:szCs w:val="24"/>
    </w:rPr>
  </w:style>
  <w:style w:type="character" w:styleId="Hyperlink">
    <w:name w:val="Hyperlink"/>
    <w:basedOn w:val="DefaultParagraphFont"/>
    <w:uiPriority w:val="99"/>
    <w:unhideWhenUsed/>
    <w:rsid w:val="00C2245E"/>
    <w:rPr>
      <w:color w:val="0563C1" w:themeColor="hyperlink"/>
      <w:u w:val="single"/>
    </w:rPr>
  </w:style>
  <w:style w:type="character" w:customStyle="1" w:styleId="Heading1Char">
    <w:name w:val="Heading 1 Char"/>
    <w:basedOn w:val="DefaultParagraphFont"/>
    <w:link w:val="Heading1"/>
    <w:uiPriority w:val="9"/>
    <w:rsid w:val="00BB20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0B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D6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3857">
      <w:bodyDiv w:val="1"/>
      <w:marLeft w:val="0"/>
      <w:marRight w:val="0"/>
      <w:marTop w:val="0"/>
      <w:marBottom w:val="0"/>
      <w:divBdr>
        <w:top w:val="none" w:sz="0" w:space="0" w:color="auto"/>
        <w:left w:val="none" w:sz="0" w:space="0" w:color="auto"/>
        <w:bottom w:val="none" w:sz="0" w:space="0" w:color="auto"/>
        <w:right w:val="none" w:sz="0" w:space="0" w:color="auto"/>
      </w:divBdr>
    </w:div>
    <w:div w:id="882789422">
      <w:bodyDiv w:val="1"/>
      <w:marLeft w:val="0"/>
      <w:marRight w:val="0"/>
      <w:marTop w:val="0"/>
      <w:marBottom w:val="0"/>
      <w:divBdr>
        <w:top w:val="none" w:sz="0" w:space="0" w:color="auto"/>
        <w:left w:val="none" w:sz="0" w:space="0" w:color="auto"/>
        <w:bottom w:val="none" w:sz="0" w:space="0" w:color="auto"/>
        <w:right w:val="none" w:sz="0" w:space="0" w:color="auto"/>
      </w:divBdr>
      <w:divsChild>
        <w:div w:id="15274127">
          <w:marLeft w:val="0"/>
          <w:marRight w:val="0"/>
          <w:marTop w:val="0"/>
          <w:marBottom w:val="0"/>
          <w:divBdr>
            <w:top w:val="none" w:sz="0" w:space="0" w:color="auto"/>
            <w:left w:val="none" w:sz="0" w:space="0" w:color="auto"/>
            <w:bottom w:val="none" w:sz="0" w:space="0" w:color="auto"/>
            <w:right w:val="none" w:sz="0" w:space="0" w:color="auto"/>
          </w:divBdr>
        </w:div>
        <w:div w:id="114377279">
          <w:marLeft w:val="0"/>
          <w:marRight w:val="0"/>
          <w:marTop w:val="0"/>
          <w:marBottom w:val="0"/>
          <w:divBdr>
            <w:top w:val="none" w:sz="0" w:space="0" w:color="auto"/>
            <w:left w:val="none" w:sz="0" w:space="0" w:color="auto"/>
            <w:bottom w:val="none" w:sz="0" w:space="0" w:color="auto"/>
            <w:right w:val="none" w:sz="0" w:space="0" w:color="auto"/>
          </w:divBdr>
        </w:div>
        <w:div w:id="277488841">
          <w:marLeft w:val="0"/>
          <w:marRight w:val="0"/>
          <w:marTop w:val="0"/>
          <w:marBottom w:val="0"/>
          <w:divBdr>
            <w:top w:val="none" w:sz="0" w:space="0" w:color="auto"/>
            <w:left w:val="none" w:sz="0" w:space="0" w:color="auto"/>
            <w:bottom w:val="none" w:sz="0" w:space="0" w:color="auto"/>
            <w:right w:val="none" w:sz="0" w:space="0" w:color="auto"/>
          </w:divBdr>
        </w:div>
        <w:div w:id="381369589">
          <w:marLeft w:val="0"/>
          <w:marRight w:val="0"/>
          <w:marTop w:val="0"/>
          <w:marBottom w:val="0"/>
          <w:divBdr>
            <w:top w:val="none" w:sz="0" w:space="0" w:color="auto"/>
            <w:left w:val="none" w:sz="0" w:space="0" w:color="auto"/>
            <w:bottom w:val="none" w:sz="0" w:space="0" w:color="auto"/>
            <w:right w:val="none" w:sz="0" w:space="0" w:color="auto"/>
          </w:divBdr>
        </w:div>
        <w:div w:id="388265382">
          <w:marLeft w:val="0"/>
          <w:marRight w:val="0"/>
          <w:marTop w:val="0"/>
          <w:marBottom w:val="0"/>
          <w:divBdr>
            <w:top w:val="none" w:sz="0" w:space="0" w:color="auto"/>
            <w:left w:val="none" w:sz="0" w:space="0" w:color="auto"/>
            <w:bottom w:val="none" w:sz="0" w:space="0" w:color="auto"/>
            <w:right w:val="none" w:sz="0" w:space="0" w:color="auto"/>
          </w:divBdr>
        </w:div>
        <w:div w:id="436215674">
          <w:marLeft w:val="0"/>
          <w:marRight w:val="0"/>
          <w:marTop w:val="0"/>
          <w:marBottom w:val="0"/>
          <w:divBdr>
            <w:top w:val="none" w:sz="0" w:space="0" w:color="auto"/>
            <w:left w:val="none" w:sz="0" w:space="0" w:color="auto"/>
            <w:bottom w:val="none" w:sz="0" w:space="0" w:color="auto"/>
            <w:right w:val="none" w:sz="0" w:space="0" w:color="auto"/>
          </w:divBdr>
        </w:div>
        <w:div w:id="458114107">
          <w:marLeft w:val="0"/>
          <w:marRight w:val="0"/>
          <w:marTop w:val="0"/>
          <w:marBottom w:val="0"/>
          <w:divBdr>
            <w:top w:val="none" w:sz="0" w:space="0" w:color="auto"/>
            <w:left w:val="none" w:sz="0" w:space="0" w:color="auto"/>
            <w:bottom w:val="none" w:sz="0" w:space="0" w:color="auto"/>
            <w:right w:val="none" w:sz="0" w:space="0" w:color="auto"/>
          </w:divBdr>
        </w:div>
        <w:div w:id="529491999">
          <w:marLeft w:val="0"/>
          <w:marRight w:val="0"/>
          <w:marTop w:val="0"/>
          <w:marBottom w:val="0"/>
          <w:divBdr>
            <w:top w:val="none" w:sz="0" w:space="0" w:color="auto"/>
            <w:left w:val="none" w:sz="0" w:space="0" w:color="auto"/>
            <w:bottom w:val="none" w:sz="0" w:space="0" w:color="auto"/>
            <w:right w:val="none" w:sz="0" w:space="0" w:color="auto"/>
          </w:divBdr>
        </w:div>
        <w:div w:id="663170752">
          <w:marLeft w:val="0"/>
          <w:marRight w:val="0"/>
          <w:marTop w:val="0"/>
          <w:marBottom w:val="0"/>
          <w:divBdr>
            <w:top w:val="none" w:sz="0" w:space="0" w:color="auto"/>
            <w:left w:val="none" w:sz="0" w:space="0" w:color="auto"/>
            <w:bottom w:val="none" w:sz="0" w:space="0" w:color="auto"/>
            <w:right w:val="none" w:sz="0" w:space="0" w:color="auto"/>
          </w:divBdr>
        </w:div>
        <w:div w:id="810364865">
          <w:marLeft w:val="0"/>
          <w:marRight w:val="0"/>
          <w:marTop w:val="0"/>
          <w:marBottom w:val="0"/>
          <w:divBdr>
            <w:top w:val="none" w:sz="0" w:space="0" w:color="auto"/>
            <w:left w:val="none" w:sz="0" w:space="0" w:color="auto"/>
            <w:bottom w:val="none" w:sz="0" w:space="0" w:color="auto"/>
            <w:right w:val="none" w:sz="0" w:space="0" w:color="auto"/>
          </w:divBdr>
        </w:div>
        <w:div w:id="903954901">
          <w:marLeft w:val="0"/>
          <w:marRight w:val="0"/>
          <w:marTop w:val="0"/>
          <w:marBottom w:val="0"/>
          <w:divBdr>
            <w:top w:val="none" w:sz="0" w:space="0" w:color="auto"/>
            <w:left w:val="none" w:sz="0" w:space="0" w:color="auto"/>
            <w:bottom w:val="none" w:sz="0" w:space="0" w:color="auto"/>
            <w:right w:val="none" w:sz="0" w:space="0" w:color="auto"/>
          </w:divBdr>
        </w:div>
        <w:div w:id="1158574323">
          <w:marLeft w:val="0"/>
          <w:marRight w:val="0"/>
          <w:marTop w:val="0"/>
          <w:marBottom w:val="0"/>
          <w:divBdr>
            <w:top w:val="none" w:sz="0" w:space="0" w:color="auto"/>
            <w:left w:val="none" w:sz="0" w:space="0" w:color="auto"/>
            <w:bottom w:val="none" w:sz="0" w:space="0" w:color="auto"/>
            <w:right w:val="none" w:sz="0" w:space="0" w:color="auto"/>
          </w:divBdr>
        </w:div>
        <w:div w:id="1333148281">
          <w:marLeft w:val="0"/>
          <w:marRight w:val="0"/>
          <w:marTop w:val="0"/>
          <w:marBottom w:val="0"/>
          <w:divBdr>
            <w:top w:val="none" w:sz="0" w:space="0" w:color="auto"/>
            <w:left w:val="none" w:sz="0" w:space="0" w:color="auto"/>
            <w:bottom w:val="none" w:sz="0" w:space="0" w:color="auto"/>
            <w:right w:val="none" w:sz="0" w:space="0" w:color="auto"/>
          </w:divBdr>
        </w:div>
        <w:div w:id="1483350850">
          <w:marLeft w:val="0"/>
          <w:marRight w:val="0"/>
          <w:marTop w:val="0"/>
          <w:marBottom w:val="0"/>
          <w:divBdr>
            <w:top w:val="none" w:sz="0" w:space="0" w:color="auto"/>
            <w:left w:val="none" w:sz="0" w:space="0" w:color="auto"/>
            <w:bottom w:val="none" w:sz="0" w:space="0" w:color="auto"/>
            <w:right w:val="none" w:sz="0" w:space="0" w:color="auto"/>
          </w:divBdr>
        </w:div>
        <w:div w:id="1572887863">
          <w:marLeft w:val="0"/>
          <w:marRight w:val="0"/>
          <w:marTop w:val="0"/>
          <w:marBottom w:val="0"/>
          <w:divBdr>
            <w:top w:val="none" w:sz="0" w:space="0" w:color="auto"/>
            <w:left w:val="none" w:sz="0" w:space="0" w:color="auto"/>
            <w:bottom w:val="none" w:sz="0" w:space="0" w:color="auto"/>
            <w:right w:val="none" w:sz="0" w:space="0" w:color="auto"/>
          </w:divBdr>
        </w:div>
        <w:div w:id="2089039090">
          <w:marLeft w:val="0"/>
          <w:marRight w:val="0"/>
          <w:marTop w:val="0"/>
          <w:marBottom w:val="0"/>
          <w:divBdr>
            <w:top w:val="none" w:sz="0" w:space="0" w:color="auto"/>
            <w:left w:val="none" w:sz="0" w:space="0" w:color="auto"/>
            <w:bottom w:val="none" w:sz="0" w:space="0" w:color="auto"/>
            <w:right w:val="none" w:sz="0" w:space="0" w:color="auto"/>
          </w:divBdr>
        </w:div>
      </w:divsChild>
    </w:div>
    <w:div w:id="917981593">
      <w:bodyDiv w:val="1"/>
      <w:marLeft w:val="0"/>
      <w:marRight w:val="0"/>
      <w:marTop w:val="0"/>
      <w:marBottom w:val="0"/>
      <w:divBdr>
        <w:top w:val="none" w:sz="0" w:space="0" w:color="auto"/>
        <w:left w:val="none" w:sz="0" w:space="0" w:color="auto"/>
        <w:bottom w:val="none" w:sz="0" w:space="0" w:color="auto"/>
        <w:right w:val="none" w:sz="0" w:space="0" w:color="auto"/>
      </w:divBdr>
    </w:div>
    <w:div w:id="1421678000">
      <w:bodyDiv w:val="1"/>
      <w:marLeft w:val="0"/>
      <w:marRight w:val="0"/>
      <w:marTop w:val="0"/>
      <w:marBottom w:val="0"/>
      <w:divBdr>
        <w:top w:val="none" w:sz="0" w:space="0" w:color="auto"/>
        <w:left w:val="none" w:sz="0" w:space="0" w:color="auto"/>
        <w:bottom w:val="none" w:sz="0" w:space="0" w:color="auto"/>
        <w:right w:val="none" w:sz="0" w:space="0" w:color="auto"/>
      </w:divBdr>
    </w:div>
    <w:div w:id="1591548027">
      <w:bodyDiv w:val="1"/>
      <w:marLeft w:val="0"/>
      <w:marRight w:val="0"/>
      <w:marTop w:val="0"/>
      <w:marBottom w:val="0"/>
      <w:divBdr>
        <w:top w:val="none" w:sz="0" w:space="0" w:color="auto"/>
        <w:left w:val="none" w:sz="0" w:space="0" w:color="auto"/>
        <w:bottom w:val="none" w:sz="0" w:space="0" w:color="auto"/>
        <w:right w:val="none" w:sz="0" w:space="0" w:color="auto"/>
      </w:divBdr>
      <w:divsChild>
        <w:div w:id="20860819">
          <w:marLeft w:val="0"/>
          <w:marRight w:val="0"/>
          <w:marTop w:val="0"/>
          <w:marBottom w:val="0"/>
          <w:divBdr>
            <w:top w:val="none" w:sz="0" w:space="0" w:color="auto"/>
            <w:left w:val="none" w:sz="0" w:space="0" w:color="auto"/>
            <w:bottom w:val="none" w:sz="0" w:space="0" w:color="auto"/>
            <w:right w:val="none" w:sz="0" w:space="0" w:color="auto"/>
          </w:divBdr>
        </w:div>
        <w:div w:id="37093861">
          <w:marLeft w:val="0"/>
          <w:marRight w:val="0"/>
          <w:marTop w:val="0"/>
          <w:marBottom w:val="0"/>
          <w:divBdr>
            <w:top w:val="none" w:sz="0" w:space="0" w:color="auto"/>
            <w:left w:val="none" w:sz="0" w:space="0" w:color="auto"/>
            <w:bottom w:val="none" w:sz="0" w:space="0" w:color="auto"/>
            <w:right w:val="none" w:sz="0" w:space="0" w:color="auto"/>
          </w:divBdr>
        </w:div>
        <w:div w:id="52389032">
          <w:marLeft w:val="0"/>
          <w:marRight w:val="0"/>
          <w:marTop w:val="0"/>
          <w:marBottom w:val="0"/>
          <w:divBdr>
            <w:top w:val="none" w:sz="0" w:space="0" w:color="auto"/>
            <w:left w:val="none" w:sz="0" w:space="0" w:color="auto"/>
            <w:bottom w:val="none" w:sz="0" w:space="0" w:color="auto"/>
            <w:right w:val="none" w:sz="0" w:space="0" w:color="auto"/>
          </w:divBdr>
        </w:div>
        <w:div w:id="498933386">
          <w:marLeft w:val="0"/>
          <w:marRight w:val="0"/>
          <w:marTop w:val="0"/>
          <w:marBottom w:val="0"/>
          <w:divBdr>
            <w:top w:val="none" w:sz="0" w:space="0" w:color="auto"/>
            <w:left w:val="none" w:sz="0" w:space="0" w:color="auto"/>
            <w:bottom w:val="none" w:sz="0" w:space="0" w:color="auto"/>
            <w:right w:val="none" w:sz="0" w:space="0" w:color="auto"/>
          </w:divBdr>
        </w:div>
        <w:div w:id="646517706">
          <w:marLeft w:val="0"/>
          <w:marRight w:val="0"/>
          <w:marTop w:val="0"/>
          <w:marBottom w:val="0"/>
          <w:divBdr>
            <w:top w:val="none" w:sz="0" w:space="0" w:color="auto"/>
            <w:left w:val="none" w:sz="0" w:space="0" w:color="auto"/>
            <w:bottom w:val="none" w:sz="0" w:space="0" w:color="auto"/>
            <w:right w:val="none" w:sz="0" w:space="0" w:color="auto"/>
          </w:divBdr>
        </w:div>
        <w:div w:id="739986058">
          <w:marLeft w:val="0"/>
          <w:marRight w:val="0"/>
          <w:marTop w:val="0"/>
          <w:marBottom w:val="0"/>
          <w:divBdr>
            <w:top w:val="none" w:sz="0" w:space="0" w:color="auto"/>
            <w:left w:val="none" w:sz="0" w:space="0" w:color="auto"/>
            <w:bottom w:val="none" w:sz="0" w:space="0" w:color="auto"/>
            <w:right w:val="none" w:sz="0" w:space="0" w:color="auto"/>
          </w:divBdr>
        </w:div>
        <w:div w:id="779496223">
          <w:marLeft w:val="0"/>
          <w:marRight w:val="0"/>
          <w:marTop w:val="0"/>
          <w:marBottom w:val="0"/>
          <w:divBdr>
            <w:top w:val="none" w:sz="0" w:space="0" w:color="auto"/>
            <w:left w:val="none" w:sz="0" w:space="0" w:color="auto"/>
            <w:bottom w:val="none" w:sz="0" w:space="0" w:color="auto"/>
            <w:right w:val="none" w:sz="0" w:space="0" w:color="auto"/>
          </w:divBdr>
        </w:div>
        <w:div w:id="844709935">
          <w:marLeft w:val="0"/>
          <w:marRight w:val="0"/>
          <w:marTop w:val="0"/>
          <w:marBottom w:val="0"/>
          <w:divBdr>
            <w:top w:val="none" w:sz="0" w:space="0" w:color="auto"/>
            <w:left w:val="none" w:sz="0" w:space="0" w:color="auto"/>
            <w:bottom w:val="none" w:sz="0" w:space="0" w:color="auto"/>
            <w:right w:val="none" w:sz="0" w:space="0" w:color="auto"/>
          </w:divBdr>
        </w:div>
        <w:div w:id="929195789">
          <w:marLeft w:val="0"/>
          <w:marRight w:val="0"/>
          <w:marTop w:val="0"/>
          <w:marBottom w:val="0"/>
          <w:divBdr>
            <w:top w:val="none" w:sz="0" w:space="0" w:color="auto"/>
            <w:left w:val="none" w:sz="0" w:space="0" w:color="auto"/>
            <w:bottom w:val="none" w:sz="0" w:space="0" w:color="auto"/>
            <w:right w:val="none" w:sz="0" w:space="0" w:color="auto"/>
          </w:divBdr>
        </w:div>
        <w:div w:id="1136797105">
          <w:marLeft w:val="0"/>
          <w:marRight w:val="0"/>
          <w:marTop w:val="0"/>
          <w:marBottom w:val="0"/>
          <w:divBdr>
            <w:top w:val="none" w:sz="0" w:space="0" w:color="auto"/>
            <w:left w:val="none" w:sz="0" w:space="0" w:color="auto"/>
            <w:bottom w:val="none" w:sz="0" w:space="0" w:color="auto"/>
            <w:right w:val="none" w:sz="0" w:space="0" w:color="auto"/>
          </w:divBdr>
        </w:div>
        <w:div w:id="1459493308">
          <w:marLeft w:val="0"/>
          <w:marRight w:val="0"/>
          <w:marTop w:val="0"/>
          <w:marBottom w:val="0"/>
          <w:divBdr>
            <w:top w:val="none" w:sz="0" w:space="0" w:color="auto"/>
            <w:left w:val="none" w:sz="0" w:space="0" w:color="auto"/>
            <w:bottom w:val="none" w:sz="0" w:space="0" w:color="auto"/>
            <w:right w:val="none" w:sz="0" w:space="0" w:color="auto"/>
          </w:divBdr>
        </w:div>
        <w:div w:id="1471899376">
          <w:marLeft w:val="0"/>
          <w:marRight w:val="0"/>
          <w:marTop w:val="0"/>
          <w:marBottom w:val="0"/>
          <w:divBdr>
            <w:top w:val="none" w:sz="0" w:space="0" w:color="auto"/>
            <w:left w:val="none" w:sz="0" w:space="0" w:color="auto"/>
            <w:bottom w:val="none" w:sz="0" w:space="0" w:color="auto"/>
            <w:right w:val="none" w:sz="0" w:space="0" w:color="auto"/>
          </w:divBdr>
        </w:div>
        <w:div w:id="1565870675">
          <w:marLeft w:val="0"/>
          <w:marRight w:val="0"/>
          <w:marTop w:val="0"/>
          <w:marBottom w:val="0"/>
          <w:divBdr>
            <w:top w:val="none" w:sz="0" w:space="0" w:color="auto"/>
            <w:left w:val="none" w:sz="0" w:space="0" w:color="auto"/>
            <w:bottom w:val="none" w:sz="0" w:space="0" w:color="auto"/>
            <w:right w:val="none" w:sz="0" w:space="0" w:color="auto"/>
          </w:divBdr>
        </w:div>
        <w:div w:id="1624733139">
          <w:marLeft w:val="0"/>
          <w:marRight w:val="0"/>
          <w:marTop w:val="0"/>
          <w:marBottom w:val="0"/>
          <w:divBdr>
            <w:top w:val="none" w:sz="0" w:space="0" w:color="auto"/>
            <w:left w:val="none" w:sz="0" w:space="0" w:color="auto"/>
            <w:bottom w:val="none" w:sz="0" w:space="0" w:color="auto"/>
            <w:right w:val="none" w:sz="0" w:space="0" w:color="auto"/>
          </w:divBdr>
        </w:div>
        <w:div w:id="1651905139">
          <w:marLeft w:val="0"/>
          <w:marRight w:val="0"/>
          <w:marTop w:val="0"/>
          <w:marBottom w:val="0"/>
          <w:divBdr>
            <w:top w:val="none" w:sz="0" w:space="0" w:color="auto"/>
            <w:left w:val="none" w:sz="0" w:space="0" w:color="auto"/>
            <w:bottom w:val="none" w:sz="0" w:space="0" w:color="auto"/>
            <w:right w:val="none" w:sz="0" w:space="0" w:color="auto"/>
          </w:divBdr>
        </w:div>
      </w:divsChild>
    </w:div>
    <w:div w:id="1666279752">
      <w:bodyDiv w:val="1"/>
      <w:marLeft w:val="0"/>
      <w:marRight w:val="0"/>
      <w:marTop w:val="0"/>
      <w:marBottom w:val="0"/>
      <w:divBdr>
        <w:top w:val="none" w:sz="0" w:space="0" w:color="auto"/>
        <w:left w:val="none" w:sz="0" w:space="0" w:color="auto"/>
        <w:bottom w:val="none" w:sz="0" w:space="0" w:color="auto"/>
        <w:right w:val="none" w:sz="0" w:space="0" w:color="auto"/>
      </w:divBdr>
      <w:divsChild>
        <w:div w:id="25453968">
          <w:marLeft w:val="0"/>
          <w:marRight w:val="0"/>
          <w:marTop w:val="0"/>
          <w:marBottom w:val="0"/>
          <w:divBdr>
            <w:top w:val="none" w:sz="0" w:space="0" w:color="auto"/>
            <w:left w:val="none" w:sz="0" w:space="0" w:color="auto"/>
            <w:bottom w:val="none" w:sz="0" w:space="0" w:color="auto"/>
            <w:right w:val="none" w:sz="0" w:space="0" w:color="auto"/>
          </w:divBdr>
          <w:divsChild>
            <w:div w:id="877930465">
              <w:marLeft w:val="0"/>
              <w:marRight w:val="0"/>
              <w:marTop w:val="0"/>
              <w:marBottom w:val="0"/>
              <w:divBdr>
                <w:top w:val="none" w:sz="0" w:space="0" w:color="auto"/>
                <w:left w:val="none" w:sz="0" w:space="0" w:color="auto"/>
                <w:bottom w:val="none" w:sz="0" w:space="0" w:color="auto"/>
                <w:right w:val="none" w:sz="0" w:space="0" w:color="auto"/>
              </w:divBdr>
              <w:divsChild>
                <w:div w:id="76102163">
                  <w:marLeft w:val="0"/>
                  <w:marRight w:val="0"/>
                  <w:marTop w:val="0"/>
                  <w:marBottom w:val="0"/>
                  <w:divBdr>
                    <w:top w:val="none" w:sz="0" w:space="0" w:color="auto"/>
                    <w:left w:val="none" w:sz="0" w:space="0" w:color="auto"/>
                    <w:bottom w:val="none" w:sz="0" w:space="0" w:color="auto"/>
                    <w:right w:val="none" w:sz="0" w:space="0" w:color="auto"/>
                  </w:divBdr>
                </w:div>
                <w:div w:id="116728572">
                  <w:marLeft w:val="0"/>
                  <w:marRight w:val="0"/>
                  <w:marTop w:val="0"/>
                  <w:marBottom w:val="0"/>
                  <w:divBdr>
                    <w:top w:val="none" w:sz="0" w:space="0" w:color="auto"/>
                    <w:left w:val="none" w:sz="0" w:space="0" w:color="auto"/>
                    <w:bottom w:val="none" w:sz="0" w:space="0" w:color="auto"/>
                    <w:right w:val="none" w:sz="0" w:space="0" w:color="auto"/>
                  </w:divBdr>
                </w:div>
                <w:div w:id="561602130">
                  <w:marLeft w:val="0"/>
                  <w:marRight w:val="0"/>
                  <w:marTop w:val="0"/>
                  <w:marBottom w:val="0"/>
                  <w:divBdr>
                    <w:top w:val="none" w:sz="0" w:space="0" w:color="auto"/>
                    <w:left w:val="none" w:sz="0" w:space="0" w:color="auto"/>
                    <w:bottom w:val="none" w:sz="0" w:space="0" w:color="auto"/>
                    <w:right w:val="none" w:sz="0" w:space="0" w:color="auto"/>
                  </w:divBdr>
                </w:div>
                <w:div w:id="563880903">
                  <w:marLeft w:val="0"/>
                  <w:marRight w:val="0"/>
                  <w:marTop w:val="0"/>
                  <w:marBottom w:val="0"/>
                  <w:divBdr>
                    <w:top w:val="none" w:sz="0" w:space="0" w:color="auto"/>
                    <w:left w:val="none" w:sz="0" w:space="0" w:color="auto"/>
                    <w:bottom w:val="none" w:sz="0" w:space="0" w:color="auto"/>
                    <w:right w:val="none" w:sz="0" w:space="0" w:color="auto"/>
                  </w:divBdr>
                </w:div>
                <w:div w:id="716900810">
                  <w:marLeft w:val="0"/>
                  <w:marRight w:val="0"/>
                  <w:marTop w:val="0"/>
                  <w:marBottom w:val="0"/>
                  <w:divBdr>
                    <w:top w:val="none" w:sz="0" w:space="0" w:color="auto"/>
                    <w:left w:val="none" w:sz="0" w:space="0" w:color="auto"/>
                    <w:bottom w:val="none" w:sz="0" w:space="0" w:color="auto"/>
                    <w:right w:val="none" w:sz="0" w:space="0" w:color="auto"/>
                  </w:divBdr>
                </w:div>
                <w:div w:id="21077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1649">
          <w:marLeft w:val="0"/>
          <w:marRight w:val="0"/>
          <w:marTop w:val="0"/>
          <w:marBottom w:val="0"/>
          <w:divBdr>
            <w:top w:val="none" w:sz="0" w:space="0" w:color="auto"/>
            <w:left w:val="none" w:sz="0" w:space="0" w:color="auto"/>
            <w:bottom w:val="none" w:sz="0" w:space="0" w:color="auto"/>
            <w:right w:val="none" w:sz="0" w:space="0" w:color="auto"/>
          </w:divBdr>
        </w:div>
        <w:div w:id="246309801">
          <w:marLeft w:val="0"/>
          <w:marRight w:val="0"/>
          <w:marTop w:val="0"/>
          <w:marBottom w:val="0"/>
          <w:divBdr>
            <w:top w:val="none" w:sz="0" w:space="0" w:color="auto"/>
            <w:left w:val="none" w:sz="0" w:space="0" w:color="auto"/>
            <w:bottom w:val="none" w:sz="0" w:space="0" w:color="auto"/>
            <w:right w:val="none" w:sz="0" w:space="0" w:color="auto"/>
          </w:divBdr>
        </w:div>
        <w:div w:id="380518347">
          <w:marLeft w:val="0"/>
          <w:marRight w:val="0"/>
          <w:marTop w:val="0"/>
          <w:marBottom w:val="0"/>
          <w:divBdr>
            <w:top w:val="none" w:sz="0" w:space="0" w:color="auto"/>
            <w:left w:val="none" w:sz="0" w:space="0" w:color="auto"/>
            <w:bottom w:val="none" w:sz="0" w:space="0" w:color="auto"/>
            <w:right w:val="none" w:sz="0" w:space="0" w:color="auto"/>
          </w:divBdr>
        </w:div>
        <w:div w:id="588661792">
          <w:marLeft w:val="0"/>
          <w:marRight w:val="0"/>
          <w:marTop w:val="0"/>
          <w:marBottom w:val="0"/>
          <w:divBdr>
            <w:top w:val="none" w:sz="0" w:space="0" w:color="auto"/>
            <w:left w:val="none" w:sz="0" w:space="0" w:color="auto"/>
            <w:bottom w:val="none" w:sz="0" w:space="0" w:color="auto"/>
            <w:right w:val="none" w:sz="0" w:space="0" w:color="auto"/>
          </w:divBdr>
        </w:div>
        <w:div w:id="600453494">
          <w:marLeft w:val="0"/>
          <w:marRight w:val="0"/>
          <w:marTop w:val="0"/>
          <w:marBottom w:val="0"/>
          <w:divBdr>
            <w:top w:val="none" w:sz="0" w:space="0" w:color="auto"/>
            <w:left w:val="none" w:sz="0" w:space="0" w:color="auto"/>
            <w:bottom w:val="none" w:sz="0" w:space="0" w:color="auto"/>
            <w:right w:val="none" w:sz="0" w:space="0" w:color="auto"/>
          </w:divBdr>
        </w:div>
        <w:div w:id="660623617">
          <w:marLeft w:val="0"/>
          <w:marRight w:val="0"/>
          <w:marTop w:val="0"/>
          <w:marBottom w:val="0"/>
          <w:divBdr>
            <w:top w:val="none" w:sz="0" w:space="0" w:color="auto"/>
            <w:left w:val="none" w:sz="0" w:space="0" w:color="auto"/>
            <w:bottom w:val="none" w:sz="0" w:space="0" w:color="auto"/>
            <w:right w:val="none" w:sz="0" w:space="0" w:color="auto"/>
          </w:divBdr>
        </w:div>
        <w:div w:id="721052482">
          <w:marLeft w:val="0"/>
          <w:marRight w:val="0"/>
          <w:marTop w:val="0"/>
          <w:marBottom w:val="0"/>
          <w:divBdr>
            <w:top w:val="none" w:sz="0" w:space="0" w:color="auto"/>
            <w:left w:val="none" w:sz="0" w:space="0" w:color="auto"/>
            <w:bottom w:val="none" w:sz="0" w:space="0" w:color="auto"/>
            <w:right w:val="none" w:sz="0" w:space="0" w:color="auto"/>
          </w:divBdr>
        </w:div>
        <w:div w:id="952635347">
          <w:marLeft w:val="0"/>
          <w:marRight w:val="0"/>
          <w:marTop w:val="0"/>
          <w:marBottom w:val="0"/>
          <w:divBdr>
            <w:top w:val="none" w:sz="0" w:space="0" w:color="auto"/>
            <w:left w:val="none" w:sz="0" w:space="0" w:color="auto"/>
            <w:bottom w:val="none" w:sz="0" w:space="0" w:color="auto"/>
            <w:right w:val="none" w:sz="0" w:space="0" w:color="auto"/>
          </w:divBdr>
        </w:div>
        <w:div w:id="1022436880">
          <w:marLeft w:val="0"/>
          <w:marRight w:val="0"/>
          <w:marTop w:val="0"/>
          <w:marBottom w:val="0"/>
          <w:divBdr>
            <w:top w:val="none" w:sz="0" w:space="0" w:color="auto"/>
            <w:left w:val="none" w:sz="0" w:space="0" w:color="auto"/>
            <w:bottom w:val="none" w:sz="0" w:space="0" w:color="auto"/>
            <w:right w:val="none" w:sz="0" w:space="0" w:color="auto"/>
          </w:divBdr>
        </w:div>
        <w:div w:id="1126973695">
          <w:marLeft w:val="0"/>
          <w:marRight w:val="0"/>
          <w:marTop w:val="0"/>
          <w:marBottom w:val="0"/>
          <w:divBdr>
            <w:top w:val="none" w:sz="0" w:space="0" w:color="auto"/>
            <w:left w:val="none" w:sz="0" w:space="0" w:color="auto"/>
            <w:bottom w:val="none" w:sz="0" w:space="0" w:color="auto"/>
            <w:right w:val="none" w:sz="0" w:space="0" w:color="auto"/>
          </w:divBdr>
        </w:div>
        <w:div w:id="1246381691">
          <w:marLeft w:val="0"/>
          <w:marRight w:val="0"/>
          <w:marTop w:val="0"/>
          <w:marBottom w:val="0"/>
          <w:divBdr>
            <w:top w:val="none" w:sz="0" w:space="0" w:color="auto"/>
            <w:left w:val="none" w:sz="0" w:space="0" w:color="auto"/>
            <w:bottom w:val="none" w:sz="0" w:space="0" w:color="auto"/>
            <w:right w:val="none" w:sz="0" w:space="0" w:color="auto"/>
          </w:divBdr>
        </w:div>
        <w:div w:id="1583562147">
          <w:marLeft w:val="0"/>
          <w:marRight w:val="0"/>
          <w:marTop w:val="0"/>
          <w:marBottom w:val="0"/>
          <w:divBdr>
            <w:top w:val="none" w:sz="0" w:space="0" w:color="auto"/>
            <w:left w:val="none" w:sz="0" w:space="0" w:color="auto"/>
            <w:bottom w:val="none" w:sz="0" w:space="0" w:color="auto"/>
            <w:right w:val="none" w:sz="0" w:space="0" w:color="auto"/>
          </w:divBdr>
        </w:div>
        <w:div w:id="1718357630">
          <w:marLeft w:val="0"/>
          <w:marRight w:val="0"/>
          <w:marTop w:val="0"/>
          <w:marBottom w:val="0"/>
          <w:divBdr>
            <w:top w:val="none" w:sz="0" w:space="0" w:color="auto"/>
            <w:left w:val="none" w:sz="0" w:space="0" w:color="auto"/>
            <w:bottom w:val="none" w:sz="0" w:space="0" w:color="auto"/>
            <w:right w:val="none" w:sz="0" w:space="0" w:color="auto"/>
          </w:divBdr>
        </w:div>
        <w:div w:id="1938101210">
          <w:marLeft w:val="0"/>
          <w:marRight w:val="0"/>
          <w:marTop w:val="0"/>
          <w:marBottom w:val="0"/>
          <w:divBdr>
            <w:top w:val="none" w:sz="0" w:space="0" w:color="auto"/>
            <w:left w:val="none" w:sz="0" w:space="0" w:color="auto"/>
            <w:bottom w:val="none" w:sz="0" w:space="0" w:color="auto"/>
            <w:right w:val="none" w:sz="0" w:space="0" w:color="auto"/>
          </w:divBdr>
        </w:div>
        <w:div w:id="1995407197">
          <w:marLeft w:val="0"/>
          <w:marRight w:val="0"/>
          <w:marTop w:val="0"/>
          <w:marBottom w:val="0"/>
          <w:divBdr>
            <w:top w:val="none" w:sz="0" w:space="0" w:color="auto"/>
            <w:left w:val="none" w:sz="0" w:space="0" w:color="auto"/>
            <w:bottom w:val="none" w:sz="0" w:space="0" w:color="auto"/>
            <w:right w:val="none" w:sz="0" w:space="0" w:color="auto"/>
          </w:divBdr>
        </w:div>
        <w:div w:id="2119833837">
          <w:marLeft w:val="0"/>
          <w:marRight w:val="0"/>
          <w:marTop w:val="0"/>
          <w:marBottom w:val="0"/>
          <w:divBdr>
            <w:top w:val="none" w:sz="0" w:space="0" w:color="auto"/>
            <w:left w:val="none" w:sz="0" w:space="0" w:color="auto"/>
            <w:bottom w:val="none" w:sz="0" w:space="0" w:color="auto"/>
            <w:right w:val="none" w:sz="0" w:space="0" w:color="auto"/>
          </w:divBdr>
        </w:div>
      </w:divsChild>
    </w:div>
    <w:div w:id="1681662306">
      <w:bodyDiv w:val="1"/>
      <w:marLeft w:val="0"/>
      <w:marRight w:val="0"/>
      <w:marTop w:val="0"/>
      <w:marBottom w:val="0"/>
      <w:divBdr>
        <w:top w:val="none" w:sz="0" w:space="0" w:color="auto"/>
        <w:left w:val="none" w:sz="0" w:space="0" w:color="auto"/>
        <w:bottom w:val="none" w:sz="0" w:space="0" w:color="auto"/>
        <w:right w:val="none" w:sz="0" w:space="0" w:color="auto"/>
      </w:divBdr>
    </w:div>
    <w:div w:id="1872182794">
      <w:bodyDiv w:val="1"/>
      <w:marLeft w:val="0"/>
      <w:marRight w:val="0"/>
      <w:marTop w:val="0"/>
      <w:marBottom w:val="0"/>
      <w:divBdr>
        <w:top w:val="none" w:sz="0" w:space="0" w:color="auto"/>
        <w:left w:val="none" w:sz="0" w:space="0" w:color="auto"/>
        <w:bottom w:val="none" w:sz="0" w:space="0" w:color="auto"/>
        <w:right w:val="none" w:sz="0" w:space="0" w:color="auto"/>
      </w:divBdr>
      <w:divsChild>
        <w:div w:id="135487344">
          <w:marLeft w:val="0"/>
          <w:marRight w:val="0"/>
          <w:marTop w:val="0"/>
          <w:marBottom w:val="0"/>
          <w:divBdr>
            <w:top w:val="none" w:sz="0" w:space="0" w:color="auto"/>
            <w:left w:val="none" w:sz="0" w:space="0" w:color="auto"/>
            <w:bottom w:val="none" w:sz="0" w:space="0" w:color="auto"/>
            <w:right w:val="none" w:sz="0" w:space="0" w:color="auto"/>
          </w:divBdr>
        </w:div>
        <w:div w:id="296032679">
          <w:marLeft w:val="0"/>
          <w:marRight w:val="0"/>
          <w:marTop w:val="0"/>
          <w:marBottom w:val="0"/>
          <w:divBdr>
            <w:top w:val="none" w:sz="0" w:space="0" w:color="auto"/>
            <w:left w:val="none" w:sz="0" w:space="0" w:color="auto"/>
            <w:bottom w:val="none" w:sz="0" w:space="0" w:color="auto"/>
            <w:right w:val="none" w:sz="0" w:space="0" w:color="auto"/>
          </w:divBdr>
        </w:div>
        <w:div w:id="482476607">
          <w:marLeft w:val="0"/>
          <w:marRight w:val="0"/>
          <w:marTop w:val="0"/>
          <w:marBottom w:val="0"/>
          <w:divBdr>
            <w:top w:val="none" w:sz="0" w:space="0" w:color="auto"/>
            <w:left w:val="none" w:sz="0" w:space="0" w:color="auto"/>
            <w:bottom w:val="none" w:sz="0" w:space="0" w:color="auto"/>
            <w:right w:val="none" w:sz="0" w:space="0" w:color="auto"/>
          </w:divBdr>
        </w:div>
        <w:div w:id="577986687">
          <w:marLeft w:val="0"/>
          <w:marRight w:val="0"/>
          <w:marTop w:val="0"/>
          <w:marBottom w:val="0"/>
          <w:divBdr>
            <w:top w:val="none" w:sz="0" w:space="0" w:color="auto"/>
            <w:left w:val="none" w:sz="0" w:space="0" w:color="auto"/>
            <w:bottom w:val="none" w:sz="0" w:space="0" w:color="auto"/>
            <w:right w:val="none" w:sz="0" w:space="0" w:color="auto"/>
          </w:divBdr>
        </w:div>
        <w:div w:id="708647993">
          <w:marLeft w:val="0"/>
          <w:marRight w:val="0"/>
          <w:marTop w:val="0"/>
          <w:marBottom w:val="0"/>
          <w:divBdr>
            <w:top w:val="none" w:sz="0" w:space="0" w:color="auto"/>
            <w:left w:val="none" w:sz="0" w:space="0" w:color="auto"/>
            <w:bottom w:val="none" w:sz="0" w:space="0" w:color="auto"/>
            <w:right w:val="none" w:sz="0" w:space="0" w:color="auto"/>
          </w:divBdr>
        </w:div>
        <w:div w:id="791478506">
          <w:marLeft w:val="0"/>
          <w:marRight w:val="0"/>
          <w:marTop w:val="0"/>
          <w:marBottom w:val="0"/>
          <w:divBdr>
            <w:top w:val="none" w:sz="0" w:space="0" w:color="auto"/>
            <w:left w:val="none" w:sz="0" w:space="0" w:color="auto"/>
            <w:bottom w:val="none" w:sz="0" w:space="0" w:color="auto"/>
            <w:right w:val="none" w:sz="0" w:space="0" w:color="auto"/>
          </w:divBdr>
        </w:div>
        <w:div w:id="997922619">
          <w:marLeft w:val="0"/>
          <w:marRight w:val="0"/>
          <w:marTop w:val="0"/>
          <w:marBottom w:val="0"/>
          <w:divBdr>
            <w:top w:val="none" w:sz="0" w:space="0" w:color="auto"/>
            <w:left w:val="none" w:sz="0" w:space="0" w:color="auto"/>
            <w:bottom w:val="none" w:sz="0" w:space="0" w:color="auto"/>
            <w:right w:val="none" w:sz="0" w:space="0" w:color="auto"/>
          </w:divBdr>
        </w:div>
        <w:div w:id="998390836">
          <w:marLeft w:val="0"/>
          <w:marRight w:val="0"/>
          <w:marTop w:val="0"/>
          <w:marBottom w:val="0"/>
          <w:divBdr>
            <w:top w:val="none" w:sz="0" w:space="0" w:color="auto"/>
            <w:left w:val="none" w:sz="0" w:space="0" w:color="auto"/>
            <w:bottom w:val="none" w:sz="0" w:space="0" w:color="auto"/>
            <w:right w:val="none" w:sz="0" w:space="0" w:color="auto"/>
          </w:divBdr>
        </w:div>
        <w:div w:id="1042168171">
          <w:marLeft w:val="0"/>
          <w:marRight w:val="0"/>
          <w:marTop w:val="0"/>
          <w:marBottom w:val="0"/>
          <w:divBdr>
            <w:top w:val="none" w:sz="0" w:space="0" w:color="auto"/>
            <w:left w:val="none" w:sz="0" w:space="0" w:color="auto"/>
            <w:bottom w:val="none" w:sz="0" w:space="0" w:color="auto"/>
            <w:right w:val="none" w:sz="0" w:space="0" w:color="auto"/>
          </w:divBdr>
        </w:div>
        <w:div w:id="1060249378">
          <w:marLeft w:val="0"/>
          <w:marRight w:val="0"/>
          <w:marTop w:val="0"/>
          <w:marBottom w:val="0"/>
          <w:divBdr>
            <w:top w:val="none" w:sz="0" w:space="0" w:color="auto"/>
            <w:left w:val="none" w:sz="0" w:space="0" w:color="auto"/>
            <w:bottom w:val="none" w:sz="0" w:space="0" w:color="auto"/>
            <w:right w:val="none" w:sz="0" w:space="0" w:color="auto"/>
          </w:divBdr>
        </w:div>
        <w:div w:id="1169171675">
          <w:marLeft w:val="0"/>
          <w:marRight w:val="0"/>
          <w:marTop w:val="0"/>
          <w:marBottom w:val="0"/>
          <w:divBdr>
            <w:top w:val="none" w:sz="0" w:space="0" w:color="auto"/>
            <w:left w:val="none" w:sz="0" w:space="0" w:color="auto"/>
            <w:bottom w:val="none" w:sz="0" w:space="0" w:color="auto"/>
            <w:right w:val="none" w:sz="0" w:space="0" w:color="auto"/>
          </w:divBdr>
        </w:div>
        <w:div w:id="1285968134">
          <w:marLeft w:val="0"/>
          <w:marRight w:val="0"/>
          <w:marTop w:val="0"/>
          <w:marBottom w:val="0"/>
          <w:divBdr>
            <w:top w:val="none" w:sz="0" w:space="0" w:color="auto"/>
            <w:left w:val="none" w:sz="0" w:space="0" w:color="auto"/>
            <w:bottom w:val="none" w:sz="0" w:space="0" w:color="auto"/>
            <w:right w:val="none" w:sz="0" w:space="0" w:color="auto"/>
          </w:divBdr>
        </w:div>
        <w:div w:id="1776516475">
          <w:marLeft w:val="0"/>
          <w:marRight w:val="0"/>
          <w:marTop w:val="0"/>
          <w:marBottom w:val="0"/>
          <w:divBdr>
            <w:top w:val="none" w:sz="0" w:space="0" w:color="auto"/>
            <w:left w:val="none" w:sz="0" w:space="0" w:color="auto"/>
            <w:bottom w:val="none" w:sz="0" w:space="0" w:color="auto"/>
            <w:right w:val="none" w:sz="0" w:space="0" w:color="auto"/>
          </w:divBdr>
        </w:div>
        <w:div w:id="1854949573">
          <w:marLeft w:val="0"/>
          <w:marRight w:val="0"/>
          <w:marTop w:val="0"/>
          <w:marBottom w:val="0"/>
          <w:divBdr>
            <w:top w:val="none" w:sz="0" w:space="0" w:color="auto"/>
            <w:left w:val="none" w:sz="0" w:space="0" w:color="auto"/>
            <w:bottom w:val="none" w:sz="0" w:space="0" w:color="auto"/>
            <w:right w:val="none" w:sz="0" w:space="0" w:color="auto"/>
          </w:divBdr>
        </w:div>
        <w:div w:id="1857846071">
          <w:marLeft w:val="0"/>
          <w:marRight w:val="0"/>
          <w:marTop w:val="0"/>
          <w:marBottom w:val="0"/>
          <w:divBdr>
            <w:top w:val="none" w:sz="0" w:space="0" w:color="auto"/>
            <w:left w:val="none" w:sz="0" w:space="0" w:color="auto"/>
            <w:bottom w:val="none" w:sz="0" w:space="0" w:color="auto"/>
            <w:right w:val="none" w:sz="0" w:space="0" w:color="auto"/>
          </w:divBdr>
          <w:divsChild>
            <w:div w:id="421218075">
              <w:marLeft w:val="0"/>
              <w:marRight w:val="0"/>
              <w:marTop w:val="0"/>
              <w:marBottom w:val="0"/>
              <w:divBdr>
                <w:top w:val="none" w:sz="0" w:space="0" w:color="auto"/>
                <w:left w:val="none" w:sz="0" w:space="0" w:color="auto"/>
                <w:bottom w:val="none" w:sz="0" w:space="0" w:color="auto"/>
                <w:right w:val="none" w:sz="0" w:space="0" w:color="auto"/>
              </w:divBdr>
              <w:divsChild>
                <w:div w:id="433404628">
                  <w:marLeft w:val="0"/>
                  <w:marRight w:val="0"/>
                  <w:marTop w:val="0"/>
                  <w:marBottom w:val="0"/>
                  <w:divBdr>
                    <w:top w:val="none" w:sz="0" w:space="0" w:color="auto"/>
                    <w:left w:val="none" w:sz="0" w:space="0" w:color="auto"/>
                    <w:bottom w:val="none" w:sz="0" w:space="0" w:color="auto"/>
                    <w:right w:val="none" w:sz="0" w:space="0" w:color="auto"/>
                  </w:divBdr>
                </w:div>
                <w:div w:id="693575858">
                  <w:marLeft w:val="0"/>
                  <w:marRight w:val="0"/>
                  <w:marTop w:val="0"/>
                  <w:marBottom w:val="0"/>
                  <w:divBdr>
                    <w:top w:val="none" w:sz="0" w:space="0" w:color="auto"/>
                    <w:left w:val="none" w:sz="0" w:space="0" w:color="auto"/>
                    <w:bottom w:val="none" w:sz="0" w:space="0" w:color="auto"/>
                    <w:right w:val="none" w:sz="0" w:space="0" w:color="auto"/>
                  </w:divBdr>
                </w:div>
                <w:div w:id="1174807429">
                  <w:marLeft w:val="0"/>
                  <w:marRight w:val="0"/>
                  <w:marTop w:val="0"/>
                  <w:marBottom w:val="0"/>
                  <w:divBdr>
                    <w:top w:val="none" w:sz="0" w:space="0" w:color="auto"/>
                    <w:left w:val="none" w:sz="0" w:space="0" w:color="auto"/>
                    <w:bottom w:val="none" w:sz="0" w:space="0" w:color="auto"/>
                    <w:right w:val="none" w:sz="0" w:space="0" w:color="auto"/>
                  </w:divBdr>
                </w:div>
                <w:div w:id="1462458878">
                  <w:marLeft w:val="0"/>
                  <w:marRight w:val="0"/>
                  <w:marTop w:val="0"/>
                  <w:marBottom w:val="0"/>
                  <w:divBdr>
                    <w:top w:val="none" w:sz="0" w:space="0" w:color="auto"/>
                    <w:left w:val="none" w:sz="0" w:space="0" w:color="auto"/>
                    <w:bottom w:val="none" w:sz="0" w:space="0" w:color="auto"/>
                    <w:right w:val="none" w:sz="0" w:space="0" w:color="auto"/>
                  </w:divBdr>
                </w:div>
                <w:div w:id="1767073315">
                  <w:marLeft w:val="0"/>
                  <w:marRight w:val="0"/>
                  <w:marTop w:val="0"/>
                  <w:marBottom w:val="0"/>
                  <w:divBdr>
                    <w:top w:val="none" w:sz="0" w:space="0" w:color="auto"/>
                    <w:left w:val="none" w:sz="0" w:space="0" w:color="auto"/>
                    <w:bottom w:val="none" w:sz="0" w:space="0" w:color="auto"/>
                    <w:right w:val="none" w:sz="0" w:space="0" w:color="auto"/>
                  </w:divBdr>
                </w:div>
                <w:div w:id="21014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483">
          <w:marLeft w:val="0"/>
          <w:marRight w:val="0"/>
          <w:marTop w:val="0"/>
          <w:marBottom w:val="0"/>
          <w:divBdr>
            <w:top w:val="none" w:sz="0" w:space="0" w:color="auto"/>
            <w:left w:val="none" w:sz="0" w:space="0" w:color="auto"/>
            <w:bottom w:val="none" w:sz="0" w:space="0" w:color="auto"/>
            <w:right w:val="none" w:sz="0" w:space="0" w:color="auto"/>
          </w:divBdr>
        </w:div>
        <w:div w:id="211937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tommiss@mchsi.com</dc:creator>
  <cp:keywords/>
  <dc:description/>
  <cp:lastModifiedBy>Ben Huntington</cp:lastModifiedBy>
  <cp:revision>11</cp:revision>
  <dcterms:created xsi:type="dcterms:W3CDTF">2017-11-04T06:40:00Z</dcterms:created>
  <dcterms:modified xsi:type="dcterms:W3CDTF">2017-11-04T07:46:00Z</dcterms:modified>
</cp:coreProperties>
</file>