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6126522"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BA562B" w:rsidRPr="007B1B14">
        <w:rPr>
          <w:rFonts w:ascii="Gill Sans MT" w:hAnsi="Gill Sans MT"/>
          <w:sz w:val="24"/>
        </w:rPr>
        <w:t>Cl TCN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prioritised in TCN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2D612D">
        <w:rPr>
          <w:rFonts w:ascii="Gill Sans MT" w:hAnsi="Gill Sans MT"/>
          <w:sz w:val="24"/>
        </w:rPr>
        <w:t xml:space="preserve">measure past </w:t>
      </w:r>
      <w:r w:rsidR="005C3870">
        <w:rPr>
          <w:rFonts w:ascii="Gill Sans MT" w:hAnsi="Gill Sans MT"/>
          <w:sz w:val="24"/>
        </w:rPr>
        <w:t>landform stability</w:t>
      </w:r>
      <w:r w:rsidR="00416104">
        <w:rPr>
          <w:rFonts w:ascii="Gill Sans MT" w:hAnsi="Gill Sans MT"/>
          <w:sz w:val="24"/>
        </w:rPr>
        <w:t xml:space="preserve"> and to </w:t>
      </w:r>
      <w:r w:rsidR="0022506B" w:rsidRPr="00AE5177">
        <w:rPr>
          <w:rFonts w:ascii="Gill Sans MT" w:hAnsi="Gill Sans MT"/>
          <w:sz w:val="24"/>
        </w:rPr>
        <w:t>prioritise individual boulders for analysis.</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proofErr w:type="spellStart"/>
      <w:r w:rsidR="008749F2">
        <w:rPr>
          <w:rFonts w:ascii="Gill Sans MT" w:hAnsi="Gill Sans MT"/>
          <w:sz w:val="24"/>
        </w:rPr>
        <w:t>Nishiizumi</w:t>
      </w:r>
      <w:proofErr w:type="spellEnd"/>
      <w:r w:rsidR="008749F2">
        <w:rPr>
          <w:rFonts w:ascii="Gill Sans MT" w:hAnsi="Gill Sans MT"/>
          <w:sz w:val="24"/>
        </w:rPr>
        <w:t xml:space="preserve">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5905E7E4"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491E2551"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w:t>
      </w:r>
      <w:proofErr w:type="spellStart"/>
      <w:r w:rsidR="009760F0">
        <w:rPr>
          <w:rFonts w:ascii="Gill Sans MT" w:hAnsi="Gill Sans MT"/>
          <w:sz w:val="24"/>
        </w:rPr>
        <w:t>Bierma</w:t>
      </w:r>
      <w:r w:rsidR="003D50EF">
        <w:rPr>
          <w:rFonts w:ascii="Gill Sans MT" w:hAnsi="Gill Sans MT"/>
          <w:sz w:val="24"/>
        </w:rPr>
        <w:t>n</w:t>
      </w:r>
      <w:proofErr w:type="spellEnd"/>
      <w:r w:rsidR="003D50EF">
        <w:rPr>
          <w:rFonts w:ascii="Gill Sans MT" w:hAnsi="Gill Sans MT"/>
          <w:sz w:val="24"/>
        </w:rPr>
        <w:t>,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491F53A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80D3306"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3978CC18" w:rsidR="006C333E" w:rsidRDefault="00842FC2" w:rsidP="009E5108">
      <w:pPr>
        <w:rPr>
          <w:rFonts w:ascii="Gill Sans MT" w:hAnsi="Gill Sans MT" w:cs="Arial"/>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w:t>
      </w:r>
      <w:proofErr w:type="gramStart"/>
      <w:r w:rsidR="006A07C7" w:rsidRPr="006A07C7">
        <w:rPr>
          <w:rFonts w:ascii="Gill Sans MT" w:hAnsi="Gill Sans MT" w:cs="Arial"/>
          <w:sz w:val="24"/>
        </w:rPr>
        <w:t>95%)</w:t>
      </w:r>
      <w:proofErr w:type="gramEnd"/>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07AFEBD8"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w:t>
      </w:r>
      <w:r w:rsidR="00D2118E">
        <w:rPr>
          <w:rFonts w:ascii="Gill Sans MT" w:hAnsi="Gill Sans MT" w:cs="Arial"/>
          <w:sz w:val="24"/>
        </w:rPr>
        <w:t>ated boulder exposure age has a</w:t>
      </w:r>
      <w:r w:rsidR="00FA205D">
        <w:rPr>
          <w:rFonts w:ascii="Gill Sans MT" w:hAnsi="Gill Sans MT" w:cs="Arial"/>
          <w:sz w:val="24"/>
        </w:rPr>
        <w:t>n</w:t>
      </w:r>
      <w:r w:rsidR="00F522D0">
        <w:rPr>
          <w:rFonts w:ascii="Gill Sans MT" w:hAnsi="Gill Sans MT" w:cs="Arial"/>
          <w:sz w:val="24"/>
        </w:rPr>
        <w:t xml:space="preserve">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0909C4BE"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B9783E">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p>
    <w:p w14:paraId="6957B53F" w14:textId="37782642" w:rsidR="00D1799C" w:rsidRDefault="00B9783E" w:rsidP="006A6613">
      <w:pPr>
        <w:pStyle w:val="ListParagraph"/>
        <w:numPr>
          <w:ilvl w:val="0"/>
          <w:numId w:val="10"/>
        </w:numPr>
        <w:rPr>
          <w:rFonts w:ascii="Gill Sans MT" w:hAnsi="Gill Sans MT" w:cs="Arial"/>
          <w:sz w:val="24"/>
        </w:rPr>
      </w:pPr>
      <w:r>
        <w:rPr>
          <w:rFonts w:ascii="Gill Sans MT" w:hAnsi="Gill Sans MT" w:cs="Arial"/>
          <w:sz w:val="24"/>
        </w:rPr>
        <w:t>For each</w:t>
      </w:r>
      <w:r w:rsidR="00D1799C">
        <w:rPr>
          <w:rFonts w:ascii="Gill Sans MT" w:hAnsi="Gill Sans MT" w:cs="Arial"/>
          <w:sz w:val="24"/>
        </w:rPr>
        <w:t xml:space="preserve"> simulated data</w:t>
      </w:r>
      <w:r>
        <w:rPr>
          <w:rFonts w:ascii="Gill Sans MT" w:hAnsi="Gill Sans MT" w:cs="Arial"/>
          <w:sz w:val="24"/>
        </w:rPr>
        <w:t>set</w:t>
      </w:r>
      <w:r w:rsidR="00D1799C">
        <w:rPr>
          <w:rFonts w:ascii="Gill Sans MT" w:hAnsi="Gill Sans MT" w:cs="Arial"/>
          <w:sz w:val="24"/>
        </w:rPr>
        <w:t>, we utilise</w:t>
      </w:r>
      <w:r w:rsidR="005222D2">
        <w:rPr>
          <w:rFonts w:ascii="Gill Sans MT" w:hAnsi="Gill Sans MT" w:cs="Arial"/>
          <w:sz w:val="24"/>
        </w:rPr>
        <w:t>d</w:t>
      </w:r>
      <w:r w:rsidR="00D1799C">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n associated landform age</w:t>
      </w:r>
      <w:r w:rsidR="00062AD3">
        <w:rPr>
          <w:rFonts w:ascii="Gill Sans MT" w:hAnsi="Gill Sans MT" w:cs="Arial"/>
          <w:sz w:val="24"/>
        </w:rPr>
        <w:t>, using the same m</w:t>
      </w:r>
      <w:r w:rsidR="007621D7">
        <w:rPr>
          <w:rFonts w:ascii="Gill Sans MT" w:hAnsi="Gill Sans MT" w:cs="Arial"/>
          <w:sz w:val="24"/>
        </w:rPr>
        <w:t xml:space="preserve">odel parameters for consistency. </w:t>
      </w:r>
    </w:p>
    <w:p w14:paraId="320341B7" w14:textId="493F05CE"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9A520D">
        <w:rPr>
          <w:rFonts w:ascii="Gill Sans MT" w:hAnsi="Gill Sans MT" w:cs="Arial"/>
          <w:sz w:val="24"/>
        </w:rPr>
        <w:t xml:space="preserve">individual </w:t>
      </w:r>
      <w:r w:rsidR="006A6613">
        <w:rPr>
          <w:rFonts w:ascii="Gill Sans MT" w:hAnsi="Gill Sans MT" w:cs="Arial"/>
          <w:sz w:val="24"/>
        </w:rPr>
        <w:t>simulated ages</w:t>
      </w:r>
      <w:r w:rsidR="00E2242D">
        <w:rPr>
          <w:rFonts w:ascii="Gill Sans MT" w:hAnsi="Gill Sans MT" w:cs="Arial"/>
          <w:sz w:val="24"/>
        </w:rPr>
        <w:t xml:space="preserve"> (</w:t>
      </w:r>
      <w:r w:rsidR="00E2242D" w:rsidRPr="00E2242D">
        <w:rPr>
          <w:rFonts w:ascii="Gill Sans MT" w:hAnsi="Gill Sans MT" w:cs="Arial"/>
          <w:i/>
          <w:sz w:val="24"/>
        </w:rPr>
        <w:t>n</w:t>
      </w:r>
      <w:r w:rsidR="009107A8">
        <w:rPr>
          <w:rFonts w:ascii="Gill Sans MT" w:hAnsi="Gill Sans MT" w:cs="Arial"/>
          <w:sz w:val="24"/>
        </w:rPr>
        <w:t xml:space="preserve"> = 6</w:t>
      </w:r>
      <w:r w:rsidR="00BD3799">
        <w:rPr>
          <w:rFonts w:ascii="Gill Sans MT" w:hAnsi="Gill Sans MT" w:cs="Arial"/>
          <w:sz w:val="24"/>
        </w:rPr>
        <w:t>35</w:t>
      </w:r>
      <w:r w:rsidR="007A1703">
        <w:rPr>
          <w:rFonts w:ascii="Gill Sans MT" w:hAnsi="Gill Sans MT" w:cs="Arial"/>
          <w:sz w:val="24"/>
        </w:rPr>
        <w:t xml:space="preserve"> </w:t>
      </w:r>
      <m:oMath>
        <m:r>
          <w:rPr>
            <w:rFonts w:ascii="Cambria Math" w:hAnsi="Cambria Math" w:cs="Arial"/>
            <w:sz w:val="24"/>
          </w:rPr>
          <m:t>×</m:t>
        </m:r>
      </m:oMath>
      <w:r w:rsidR="007A1703">
        <w:rPr>
          <w:rFonts w:ascii="Gill Sans MT" w:hAnsi="Gill Sans MT" w:cs="Arial"/>
          <w:sz w:val="24"/>
        </w:rPr>
        <w:t xml:space="preserve"> </w:t>
      </w:r>
      <w:r w:rsidR="00E2242D">
        <w:rPr>
          <w:rFonts w:ascii="Gill Sans MT" w:hAnsi="Gill Sans MT" w:cs="Arial"/>
          <w:sz w:val="24"/>
        </w:rPr>
        <w:t>10</w:t>
      </w:r>
      <w:r w:rsidR="009107A8">
        <w:rPr>
          <w:rFonts w:ascii="Gill Sans MT" w:hAnsi="Gill Sans MT" w:cs="Arial"/>
          <w:sz w:val="24"/>
          <w:vertAlign w:val="superscript"/>
        </w:rPr>
        <w:t>3</w:t>
      </w:r>
      <w:r w:rsidR="00E2242D">
        <w:rPr>
          <w:rFonts w:ascii="Gill Sans MT" w:hAnsi="Gill Sans MT" w:cs="Arial"/>
          <w:sz w:val="24"/>
        </w:rPr>
        <w:t>)</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w:t>
      </w:r>
      <w:r w:rsidR="006171E2">
        <w:rPr>
          <w:rFonts w:ascii="Gill Sans MT" w:hAnsi="Gill Sans MT" w:cs="Arial"/>
          <w:sz w:val="24"/>
        </w:rPr>
        <w:t xml:space="preserve">new </w:t>
      </w:r>
      <w:r w:rsidR="006A6613">
        <w:rPr>
          <w:rFonts w:ascii="Gill Sans MT" w:hAnsi="Gill Sans MT" w:cs="Arial"/>
          <w:sz w:val="24"/>
        </w:rPr>
        <w:t xml:space="preserve">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8D8100A"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25FD7F56"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t>
      </w:r>
      <w:r w:rsidR="001A119F">
        <w:rPr>
          <w:rFonts w:ascii="Gill Sans MT" w:hAnsi="Gill Sans MT"/>
          <w:sz w:val="24"/>
        </w:rPr>
        <w:t>weathering cannot be excluded</w:t>
      </w:r>
      <w:r w:rsidR="00DA1FA5">
        <w:rPr>
          <w:rFonts w:ascii="Gill Sans MT" w:hAnsi="Gill Sans MT"/>
          <w:sz w:val="24"/>
        </w:rPr>
        <w:t xml:space="preserve"> as a contributory factor</w:t>
      </w:r>
      <w:r w:rsidR="009A3D0F">
        <w:rPr>
          <w:rFonts w:ascii="Gill Sans MT" w:hAnsi="Gill Sans MT"/>
          <w:sz w:val="24"/>
        </w:rPr>
        <w:t xml:space="preserve">, subsequent </w:t>
      </w:r>
      <w:r w:rsidR="00950991">
        <w:rPr>
          <w:rFonts w:ascii="Gill Sans MT" w:hAnsi="Gill Sans MT"/>
          <w:sz w:val="24"/>
        </w:rPr>
        <w:t xml:space="preserve">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3342A7B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proofErr w:type="gramStart"/>
      <w:r w:rsidR="00EE3893">
        <w:rPr>
          <w:rFonts w:ascii="Gill Sans MT" w:hAnsi="Gill Sans MT"/>
          <w:sz w:val="24"/>
        </w:rPr>
        <w:t>are</w:t>
      </w:r>
      <w:proofErr w:type="gramEnd"/>
      <w:r w:rsidR="00EE3893">
        <w:rPr>
          <w:rFonts w:ascii="Gill Sans MT" w:hAnsi="Gill Sans MT"/>
          <w:sz w:val="24"/>
        </w:rPr>
        <w:t xml:space="preserve"> reported in Table 3</w:t>
      </w:r>
      <w:r w:rsidR="009B0865">
        <w:rPr>
          <w:rFonts w:ascii="Gill Sans MT" w:hAnsi="Gill Sans MT"/>
          <w:sz w:val="24"/>
        </w:rPr>
        <w:t xml:space="preserve"> (Dortch et al. 2020)</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5533E195"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w:t>
      </w:r>
      <w:proofErr w:type="spellStart"/>
      <w:r w:rsidR="009C3614">
        <w:rPr>
          <w:rFonts w:ascii="Gill Sans MT" w:hAnsi="Gill Sans MT"/>
          <w:sz w:val="24"/>
        </w:rPr>
        <w:t>Soum</w:t>
      </w:r>
      <w:proofErr w:type="spellEnd"/>
      <w:r w:rsidR="009C3614">
        <w:rPr>
          <w:rFonts w:ascii="Gill Sans MT" w:hAnsi="Gill Sans MT"/>
          <w:sz w:val="24"/>
        </w:rPr>
        <w:t xml:space="preserve"> </w:t>
      </w:r>
      <w:proofErr w:type="spellStart"/>
      <w:r w:rsidR="009C3614">
        <w:rPr>
          <w:rFonts w:ascii="Gill Sans MT" w:hAnsi="Gill Sans MT"/>
          <w:sz w:val="24"/>
        </w:rPr>
        <w:t>d’Ech</w:t>
      </w:r>
      <w:proofErr w:type="spellEnd"/>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F552F1">
        <w:rPr>
          <w:rFonts w:ascii="Gill Sans MT" w:hAnsi="Gill Sans MT"/>
          <w:sz w:val="24"/>
        </w:rPr>
        <w:t>26.2 ±  0.8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C67CD7" w:rsidRPr="00C67CD7">
        <w:rPr>
          <w:rFonts w:ascii="Gill Sans MT" w:hAnsi="Gill Sans MT"/>
          <w:sz w:val="24"/>
        </w:rPr>
        <w: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with uncertainties propagated t</w:t>
      </w:r>
      <w:r w:rsidR="00D95940">
        <w:rPr>
          <w:rFonts w:ascii="Gill Sans MT" w:hAnsi="Gill Sans MT"/>
          <w:sz w:val="24"/>
        </w:rPr>
        <w:t xml:space="preserve">hrough summation in quadrature, 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CA04F10"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w:t>
      </w:r>
      <w:proofErr w:type="spellStart"/>
      <w:r w:rsidR="00012120">
        <w:rPr>
          <w:rFonts w:ascii="Gill Sans MT" w:hAnsi="Gill Sans MT"/>
          <w:sz w:val="24"/>
        </w:rPr>
        <w:t>Reille</w:t>
      </w:r>
      <w:proofErr w:type="spellEnd"/>
      <w:r w:rsidR="00012120">
        <w:rPr>
          <w:rFonts w:ascii="Gill Sans MT" w:hAnsi="Gill Sans MT"/>
          <w:sz w:val="24"/>
        </w:rPr>
        <w:t xml:space="preserve"> and Lowe, 1993; </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w:t>
      </w:r>
      <w:proofErr w:type="spellStart"/>
      <w:r w:rsidR="007A29DB">
        <w:rPr>
          <w:rFonts w:ascii="Gill Sans MT" w:hAnsi="Gill Sans MT"/>
          <w:sz w:val="24"/>
        </w:rPr>
        <w:t>glaciolacustrine</w:t>
      </w:r>
      <w:proofErr w:type="spellEnd"/>
      <w:r w:rsidR="007A29DB">
        <w:rPr>
          <w:rFonts w:ascii="Gill Sans MT" w:hAnsi="Gill Sans MT"/>
          <w:sz w:val="24"/>
        </w:rPr>
        <w:t xml:space="preserv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proofErr w:type="spellStart"/>
      <w:r w:rsidR="007A29DB" w:rsidRPr="007A29DB">
        <w:rPr>
          <w:rFonts w:ascii="Gill Sans MT" w:hAnsi="Gill Sans MT"/>
          <w:sz w:val="24"/>
        </w:rPr>
        <w:t>glaciolacustrine</w:t>
      </w:r>
      <w:proofErr w:type="spellEnd"/>
      <w:r w:rsidR="007A29DB" w:rsidRPr="007A29DB">
        <w:rPr>
          <w:rFonts w:ascii="Gill Sans MT" w:hAnsi="Gill Sans MT"/>
          <w:sz w:val="24"/>
        </w:rPr>
        <w:t xml:space="preserv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0E3220">
        <w:rPr>
          <w:rFonts w:ascii="Gill Sans MT" w:hAnsi="Gill Sans MT"/>
          <w:sz w:val="24"/>
        </w:rPr>
        <w:t xml:space="preserve">These </w:t>
      </w:r>
      <w:r w:rsidR="000E3220" w:rsidRPr="00477E3B">
        <w:rPr>
          <w:rFonts w:ascii="Gill Sans MT" w:hAnsi="Gill Sans MT"/>
          <w:sz w:val="24"/>
          <w:vertAlign w:val="superscript"/>
        </w:rPr>
        <w:t>14</w:t>
      </w:r>
      <w:r w:rsidR="000E3220">
        <w:rPr>
          <w:rFonts w:ascii="Gill Sans MT" w:hAnsi="Gill Sans MT"/>
          <w:sz w:val="24"/>
        </w:rPr>
        <w:t xml:space="preserve">C ages were calculated </w:t>
      </w:r>
      <w:r w:rsidR="009D4D84">
        <w:rPr>
          <w:rFonts w:ascii="Gill Sans MT" w:hAnsi="Gill Sans MT"/>
          <w:sz w:val="24"/>
        </w:rPr>
        <w:t xml:space="preserve">using IntCal </w:t>
      </w:r>
      <w:r w:rsidR="000E3220">
        <w:rPr>
          <w:rFonts w:ascii="Gill Sans MT" w:hAnsi="Gill Sans MT"/>
          <w:sz w:val="24"/>
        </w:rPr>
        <w:t xml:space="preserve">13 (Reimer et al., 2013) and </w:t>
      </w:r>
      <w:proofErr w:type="spellStart"/>
      <w:r w:rsidR="000E3220">
        <w:rPr>
          <w:rFonts w:ascii="Gill Sans MT" w:hAnsi="Gill Sans MT"/>
          <w:sz w:val="24"/>
        </w:rPr>
        <w:t>OxCal</w:t>
      </w:r>
      <w:proofErr w:type="spellEnd"/>
      <w:r w:rsidR="000E3220">
        <w:rPr>
          <w:rFonts w:ascii="Gill Sans MT" w:hAnsi="Gill Sans MT"/>
          <w:sz w:val="24"/>
        </w:rPr>
        <w:t xml:space="preserve"> 4.3 (</w:t>
      </w:r>
      <w:proofErr w:type="spellStart"/>
      <w:r w:rsidR="000E3220" w:rsidRPr="000E3220">
        <w:rPr>
          <w:rFonts w:ascii="Gill Sans MT" w:hAnsi="Gill Sans MT"/>
          <w:sz w:val="24"/>
        </w:rPr>
        <w:t>Bronk</w:t>
      </w:r>
      <w:proofErr w:type="spellEnd"/>
      <w:r w:rsidR="000E3220" w:rsidRPr="000E3220">
        <w:rPr>
          <w:rFonts w:ascii="Gill Sans MT" w:hAnsi="Gill Sans MT"/>
          <w:sz w:val="24"/>
        </w:rPr>
        <w:t xml:space="preserve"> Ramsey</w:t>
      </w:r>
      <w:r w:rsidR="000E3220">
        <w:rPr>
          <w:rFonts w:ascii="Gill Sans MT" w:hAnsi="Gill Sans MT"/>
          <w:sz w:val="24"/>
        </w:rPr>
        <w:t xml:space="preserve">, 2009). </w:t>
      </w:r>
      <w:r w:rsidR="00A4732E">
        <w:rPr>
          <w:rFonts w:ascii="Gill Sans MT" w:hAnsi="Gill Sans MT"/>
          <w:sz w:val="24"/>
        </w:rPr>
        <w:t xml:space="preserve">Based on these data, the younger ages from </w:t>
      </w:r>
      <w:proofErr w:type="spellStart"/>
      <w:r w:rsidR="00A4732E">
        <w:rPr>
          <w:rFonts w:ascii="Gill Sans MT" w:hAnsi="Gill Sans MT"/>
          <w:sz w:val="24"/>
        </w:rPr>
        <w:t>Soum</w:t>
      </w:r>
      <w:proofErr w:type="spellEnd"/>
      <w:r w:rsidR="00A4732E">
        <w:rPr>
          <w:rFonts w:ascii="Gill Sans MT" w:hAnsi="Gill Sans MT"/>
          <w:sz w:val="24"/>
        </w:rPr>
        <w:t xml:space="preserve">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high elevation</w:t>
      </w:r>
      <w:r w:rsidR="004F14BB">
        <w:rPr>
          <w:rFonts w:ascii="Gill Sans MT" w:hAnsi="Gill Sans MT"/>
          <w:sz w:val="24"/>
        </w:rPr>
        <w:t xml:space="preserve"> </w:t>
      </w:r>
      <w:proofErr w:type="spellStart"/>
      <w:r w:rsidR="004F14BB">
        <w:rPr>
          <w:rFonts w:ascii="Gill Sans MT" w:hAnsi="Gill Sans MT"/>
          <w:sz w:val="24"/>
        </w:rPr>
        <w:t>Soum</w:t>
      </w:r>
      <w:proofErr w:type="spellEnd"/>
      <w:r w:rsidR="004F14BB">
        <w:rPr>
          <w:rFonts w:ascii="Gill Sans MT" w:hAnsi="Gill Sans MT"/>
          <w:sz w:val="24"/>
        </w:rPr>
        <w:t xml:space="preserve"> </w:t>
      </w:r>
      <w:proofErr w:type="spellStart"/>
      <w:r w:rsidR="004F14BB">
        <w:rPr>
          <w:rFonts w:ascii="Gill Sans MT" w:hAnsi="Gill Sans MT"/>
          <w:sz w:val="24"/>
        </w:rPr>
        <w:t>d’Ech</w:t>
      </w:r>
      <w:proofErr w:type="spellEnd"/>
      <w:r w:rsidR="004F14BB">
        <w:rPr>
          <w:rFonts w:ascii="Gill Sans MT" w:hAnsi="Gill Sans MT"/>
          <w:sz w:val="24"/>
        </w:rPr>
        <w:t xml:space="preserve"> site </w:t>
      </w:r>
      <w:r w:rsidR="00206AE9">
        <w:rPr>
          <w:rFonts w:ascii="Gill Sans MT" w:hAnsi="Gill Sans MT"/>
          <w:sz w:val="24"/>
        </w:rPr>
        <w:t xml:space="preserve">(~750 m </w:t>
      </w:r>
      <w:proofErr w:type="spellStart"/>
      <w:r w:rsidR="004F14BB">
        <w:rPr>
          <w:rFonts w:ascii="Gill Sans MT" w:hAnsi="Gill Sans MT"/>
          <w:sz w:val="24"/>
        </w:rPr>
        <w:t>a.s.l</w:t>
      </w:r>
      <w:proofErr w:type="spellEnd"/>
      <w:r w:rsidR="004F14BB">
        <w:rPr>
          <w:rFonts w:ascii="Gill Sans MT" w:hAnsi="Gill Sans MT"/>
          <w:sz w:val="24"/>
        </w:rPr>
        <w:t xml:space="preserv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and glacier absence by ~18.8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733ECB1E" w14:textId="23F999F9"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 xml:space="preserve">) and </w:t>
      </w:r>
      <w:r w:rsidR="00822BD5">
        <w:rPr>
          <w:rFonts w:ascii="Gill Sans MT" w:hAnsi="Gill Sans MT"/>
          <w:sz w:val="24"/>
        </w:rPr>
        <w:t>overlap within measurement uncertainties with the</w:t>
      </w:r>
      <w:r w:rsidR="009E448F">
        <w:rPr>
          <w:rFonts w:ascii="Gill Sans MT" w:hAnsi="Gill Sans MT"/>
          <w:sz w:val="24"/>
        </w:rPr>
        <w:t xml:space="preserve"> SH R-derived landform age</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2D7C06">
        <w:rPr>
          <w:rFonts w:ascii="Gill Sans MT" w:hAnsi="Gill Sans MT"/>
          <w:sz w:val="24"/>
        </w:rPr>
        <w:t>12.4</w:t>
      </w:r>
      <w:r w:rsidR="007F4BE2">
        <w:rPr>
          <w:rFonts w:ascii="Gill Sans MT" w:hAnsi="Gill Sans MT"/>
          <w:sz w:val="24"/>
        </w:rPr>
        <w:t xml:space="preserve"> ± 0.3</w:t>
      </w:r>
      <w:r w:rsidR="00A869E9" w:rsidRPr="0088760C">
        <w:rPr>
          <w:rFonts w:ascii="Gill Sans MT" w:hAnsi="Gill Sans MT"/>
          <w:sz w:val="24"/>
        </w:rPr>
        <w:t xml:space="preserve"> ka</w:t>
      </w:r>
      <w:r w:rsidR="009E448F">
        <w:rPr>
          <w:rFonts w:ascii="Gill Sans MT" w:hAnsi="Gill Sans MT"/>
          <w:sz w:val="24"/>
        </w:rPr>
        <w:t>)</w:t>
      </w:r>
      <w:r w:rsidR="00822BD5">
        <w:rPr>
          <w:rFonts w:ascii="Gill Sans MT" w:hAnsi="Gill Sans MT"/>
          <w:sz w:val="24"/>
        </w:rPr>
        <w:t xml:space="preserve">.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57B62968" w14:textId="6ACAFFB1"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proofErr w:type="spellStart"/>
      <w:r w:rsidR="008151D6">
        <w:rPr>
          <w:rFonts w:ascii="Gill Sans MT" w:hAnsi="Gill Sans MT"/>
          <w:sz w:val="24"/>
          <w:szCs w:val="24"/>
        </w:rPr>
        <w:t>Soum</w:t>
      </w:r>
      <w:proofErr w:type="spellEnd"/>
      <w:r w:rsidR="008151D6">
        <w:rPr>
          <w:rFonts w:ascii="Gill Sans MT" w:hAnsi="Gill Sans MT"/>
          <w:sz w:val="24"/>
          <w:szCs w:val="24"/>
        </w:rPr>
        <w:t xml:space="preserve">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w:t>
      </w:r>
      <w:proofErr w:type="spellStart"/>
      <w:r w:rsidR="00B6384B">
        <w:rPr>
          <w:rFonts w:ascii="Gill Sans MT" w:hAnsi="Gill Sans MT"/>
          <w:sz w:val="24"/>
        </w:rPr>
        <w:t>Pleta</w:t>
      </w:r>
      <w:proofErr w:type="spellEnd"/>
      <w:r w:rsidR="00B6384B">
        <w:rPr>
          <w:rFonts w:ascii="Gill Sans MT" w:hAnsi="Gill Sans MT"/>
          <w:sz w:val="24"/>
        </w:rPr>
        <w:t xml:space="preserve"> </w:t>
      </w:r>
      <w:proofErr w:type="spellStart"/>
      <w:r w:rsidR="00B6384B">
        <w:rPr>
          <w:rFonts w:ascii="Gill Sans MT" w:hAnsi="Gill Sans MT"/>
          <w:sz w:val="24"/>
        </w:rPr>
        <w:t>Naua</w:t>
      </w:r>
      <w:proofErr w:type="spellEnd"/>
      <w:r w:rsidR="00B6384B">
        <w:rPr>
          <w:rFonts w:ascii="Gill Sans MT" w:hAnsi="Gill Sans MT"/>
          <w:sz w:val="24"/>
        </w:rPr>
        <w:t xml:space="preserve">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B6384B">
        <w:rPr>
          <w:rFonts w:ascii="Gill Sans MT" w:hAnsi="Gill Sans MT"/>
          <w:sz w:val="24"/>
        </w:rPr>
        <w:t xml:space="preserve"> = 0.55 ka)</w:t>
      </w:r>
      <w:r w:rsidR="00001FA3">
        <w:rPr>
          <w:rFonts w:ascii="Gill Sans MT" w:hAnsi="Gill Sans MT"/>
          <w:sz w:val="24"/>
        </w:rPr>
        <w:t xml:space="preserve">. </w:t>
      </w:r>
    </w:p>
    <w:p w14:paraId="4E9AAE02" w14:textId="5C0C2B2F"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 xml:space="preserve">the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7E66D6">
        <w:rPr>
          <w:rFonts w:ascii="Gill Sans MT" w:hAnsi="Gill Sans MT"/>
          <w:sz w:val="24"/>
          <w:highlight w:val="yellow"/>
        </w:rPr>
        <w:t>98</w:t>
      </w:r>
      <w:r w:rsidR="008E6ADF" w:rsidRPr="008E6ADF">
        <w:rPr>
          <w:rFonts w:ascii="Gill Sans MT" w:hAnsi="Gill Sans MT"/>
          <w:sz w:val="24"/>
          <w:highlight w:val="yellow"/>
        </w:rPr>
        <w:t xml:space="preserve"> ± 4%)</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Pr>
          <w:rFonts w:ascii="Gill Sans MT" w:hAnsi="Gill Sans MT"/>
          <w:sz w:val="24"/>
          <w:highlight w:val="yellow"/>
        </w:rPr>
        <w:t>56</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7E66D6">
        <w:rPr>
          <w:rFonts w:ascii="Gill Sans MT" w:hAnsi="Gill Sans MT"/>
          <w:sz w:val="24"/>
          <w:highlight w:val="yellow"/>
        </w:rPr>
        <w:t>49</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B060FF">
        <w:rPr>
          <w:rFonts w:ascii="Gill Sans MT" w:hAnsi="Gill Sans MT"/>
          <w:sz w:val="24"/>
        </w:rPr>
        <w:t xml:space="preserve"> (</w:t>
      </w:r>
      <w:r w:rsidR="00B060FF">
        <w:rPr>
          <w:rFonts w:ascii="Gill Sans MT" w:hAnsi="Gill Sans MT"/>
          <w:sz w:val="24"/>
          <w:highlight w:val="yellow"/>
        </w:rPr>
        <w:t>98</w:t>
      </w:r>
      <w:r w:rsidR="00EB1758">
        <w:rPr>
          <w:rFonts w:ascii="Gill Sans MT" w:hAnsi="Gill Sans MT"/>
          <w:sz w:val="24"/>
          <w:highlight w:val="yellow"/>
        </w:rPr>
        <w:t xml:space="preserve"> ± 4%</w:t>
      </w:r>
      <w:r w:rsidR="00B060FF">
        <w:rPr>
          <w:rFonts w:ascii="Gill Sans MT" w:hAnsi="Gill Sans MT"/>
          <w:sz w:val="24"/>
        </w:rPr>
        <w:t>)</w:t>
      </w:r>
      <w:r w:rsidR="00593F1B">
        <w:rPr>
          <w:rFonts w:ascii="Gill Sans MT" w:hAnsi="Gill Sans MT"/>
          <w:sz w:val="24"/>
        </w:rPr>
        <w:t xml:space="preserve">, 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93F1B">
        <w:rPr>
          <w:rFonts w:ascii="Gill Sans MT" w:hAnsi="Gill Sans MT"/>
          <w:sz w:val="24"/>
          <w:highlight w:val="yellow"/>
        </w:rPr>
        <w:t>12</w:t>
      </w:r>
      <w:r w:rsidR="00593F1B" w:rsidRPr="008E6ADF">
        <w:rPr>
          <w:rFonts w:ascii="Gill Sans MT" w:hAnsi="Gill Sans MT"/>
          <w:sz w:val="24"/>
          <w:highlight w:val="yellow"/>
        </w:rPr>
        <w:t xml:space="preserve"> ± 4%)</w:t>
      </w:r>
      <w:r w:rsidR="00593F1B">
        <w:rPr>
          <w:rFonts w:ascii="Gill Sans MT" w:hAnsi="Gill Sans MT"/>
          <w:sz w:val="24"/>
        </w:rPr>
        <w:t>.</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2B6E5B78" w14:textId="20E9DD7A" w:rsidR="00455EF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Monte Carlo simulated global and local </w:t>
      </w:r>
      <w:proofErr w:type="spellStart"/>
      <w:r w:rsidR="007722E8">
        <w:rPr>
          <w:rFonts w:ascii="Gill Sans MT" w:hAnsi="Gill Sans MT"/>
          <w:sz w:val="24"/>
        </w:rPr>
        <w:t>Morans</w:t>
      </w:r>
      <w:proofErr w:type="spellEnd"/>
      <w:r w:rsidR="007722E8">
        <w:rPr>
          <w:rFonts w:ascii="Gill Sans MT" w:hAnsi="Gill Sans MT"/>
          <w:sz w:val="24"/>
        </w:rPr>
        <w:t xml:space="preserve"> </w:t>
      </w:r>
      <w:r w:rsidR="007722E8" w:rsidRPr="007722E8">
        <w:rPr>
          <w:rFonts w:ascii="Gill Sans MT" w:hAnsi="Gill Sans MT"/>
          <w:i/>
          <w:sz w:val="24"/>
        </w:rPr>
        <w:t>I</w:t>
      </w:r>
      <w:r w:rsidR="007722E8">
        <w:rPr>
          <w:rFonts w:ascii="Gill Sans MT" w:hAnsi="Gill Sans MT"/>
          <w:sz w:val="24"/>
        </w:rPr>
        <w:t xml:space="preserve"> spatial </w:t>
      </w:r>
      <w:r w:rsidR="001C5BF4">
        <w:rPr>
          <w:rFonts w:ascii="Gill Sans MT" w:hAnsi="Gill Sans MT"/>
          <w:sz w:val="24"/>
        </w:rPr>
        <w:t xml:space="preserve">autocorrelation </w:t>
      </w:r>
      <w:r>
        <w:rPr>
          <w:rFonts w:ascii="Gill Sans MT" w:hAnsi="Gill Sans MT"/>
          <w:sz w:val="24"/>
        </w:rPr>
        <w:t xml:space="preserve">are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741C5">
        <w:rPr>
          <w:rFonts w:ascii="Gill Sans MT" w:hAnsi="Gill Sans MT"/>
          <w:i/>
          <w:sz w:val="24"/>
        </w:rPr>
        <w:t>inter</w:t>
      </w:r>
      <w:r w:rsidR="006D0587">
        <w:rPr>
          <w:rFonts w:ascii="Gill Sans MT" w:hAnsi="Gill Sans MT"/>
          <w:sz w:val="24"/>
        </w:rPr>
        <w:t xml:space="preserve">-landform variation, with </w:t>
      </w:r>
      <w:r w:rsidR="007B6CE0">
        <w:rPr>
          <w:rFonts w:ascii="Gill Sans MT" w:hAnsi="Gill Sans MT"/>
          <w:sz w:val="24"/>
        </w:rPr>
        <w:t xml:space="preserve">the frequency of </w:t>
      </w:r>
      <w:r w:rsidR="00F1659A">
        <w:rPr>
          <w:rFonts w:ascii="Gill Sans MT" w:hAnsi="Gill Sans MT"/>
          <w:sz w:val="24"/>
        </w:rPr>
        <w:t xml:space="preserve">statistically significant </w:t>
      </w:r>
      <w:r w:rsidR="006A0599">
        <w:rPr>
          <w:rFonts w:ascii="Gill Sans MT" w:hAnsi="Gill Sans MT"/>
          <w:sz w:val="24"/>
        </w:rPr>
        <w:t xml:space="preserve">spatial clustering </w:t>
      </w:r>
      <w:r w:rsidR="007B6CE0">
        <w:rPr>
          <w:rFonts w:ascii="Gill Sans MT" w:hAnsi="Gill Sans MT"/>
          <w:sz w:val="24"/>
        </w:rPr>
        <w:t>(</w:t>
      </w:r>
      <w:r w:rsidR="00F1659A" w:rsidRPr="00F1659A">
        <w:rPr>
          <w:rFonts w:ascii="Gill Sans MT" w:hAnsi="Gill Sans MT"/>
          <w:i/>
          <w:sz w:val="24"/>
        </w:rPr>
        <w:t>p</w:t>
      </w:r>
      <w:r w:rsidR="00F1659A">
        <w:rPr>
          <w:rFonts w:ascii="Gill Sans MT" w:hAnsi="Gill Sans MT"/>
          <w:sz w:val="24"/>
        </w:rPr>
        <w:t xml:space="preserve"> &lt; 0.05, </w:t>
      </w:r>
      <w:r w:rsidR="007B6CE0">
        <w:rPr>
          <w:rFonts w:ascii="Gill Sans MT" w:hAnsi="Gill Sans MT"/>
          <w:sz w:val="24"/>
        </w:rPr>
        <w:t>% of 10</w:t>
      </w:r>
      <w:r w:rsidR="007B6CE0" w:rsidRPr="007B6CE0">
        <w:rPr>
          <w:rFonts w:ascii="Gill Sans MT" w:hAnsi="Gill Sans MT"/>
          <w:sz w:val="24"/>
          <w:vertAlign w:val="superscript"/>
        </w:rPr>
        <w:t>4</w:t>
      </w:r>
      <w:r w:rsidR="007B6CE0">
        <w:rPr>
          <w:rFonts w:ascii="Gill Sans MT" w:hAnsi="Gill Sans MT"/>
          <w:sz w:val="24"/>
        </w:rPr>
        <w:t xml:space="preserve"> model runs) </w:t>
      </w:r>
      <w:r w:rsidR="006A0599">
        <w:rPr>
          <w:rFonts w:ascii="Gill Sans MT" w:hAnsi="Gill Sans MT"/>
          <w:sz w:val="24"/>
        </w:rPr>
        <w:t xml:space="preserve">ranging from </w:t>
      </w:r>
      <w:r w:rsidR="007B6CE0">
        <w:rPr>
          <w:rFonts w:ascii="Gill Sans MT" w:hAnsi="Gill Sans MT"/>
          <w:sz w:val="24"/>
        </w:rPr>
        <w:t>just ~</w:t>
      </w:r>
      <w:r w:rsidR="007B6CE0">
        <w:rPr>
          <w:rFonts w:ascii="Gill Sans MT" w:hAnsi="Gill Sans MT"/>
          <w:sz w:val="24"/>
          <w:highlight w:val="yellow"/>
        </w:rPr>
        <w:t>1%</w:t>
      </w:r>
      <w:r w:rsidR="007B6CE0">
        <w:rPr>
          <w:rFonts w:ascii="Gill Sans MT" w:hAnsi="Gill Sans MT"/>
          <w:sz w:val="24"/>
        </w:rPr>
        <w:t xml:space="preserve"> on the Outer </w:t>
      </w:r>
      <w:proofErr w:type="spellStart"/>
      <w:r w:rsidR="007B6CE0">
        <w:rPr>
          <w:rFonts w:ascii="Gill Sans MT" w:hAnsi="Gill Sans MT"/>
          <w:sz w:val="24"/>
        </w:rPr>
        <w:t>Pleta</w:t>
      </w:r>
      <w:proofErr w:type="spellEnd"/>
      <w:r w:rsidR="007B6CE0">
        <w:rPr>
          <w:rFonts w:ascii="Gill Sans MT" w:hAnsi="Gill Sans MT"/>
          <w:sz w:val="24"/>
        </w:rPr>
        <w:t xml:space="preserve"> </w:t>
      </w:r>
      <w:proofErr w:type="spellStart"/>
      <w:r w:rsidR="007B6CE0">
        <w:rPr>
          <w:rFonts w:ascii="Gill Sans MT" w:hAnsi="Gill Sans MT"/>
          <w:sz w:val="24"/>
        </w:rPr>
        <w:t>Naua</w:t>
      </w:r>
      <w:proofErr w:type="spellEnd"/>
      <w:r w:rsidR="00524EF0">
        <w:rPr>
          <w:rFonts w:ascii="Gill Sans MT" w:hAnsi="Gill Sans MT"/>
          <w:sz w:val="24"/>
        </w:rPr>
        <w:t xml:space="preserve"> moraine</w:t>
      </w:r>
      <w:r w:rsidR="00BD0073">
        <w:rPr>
          <w:rFonts w:ascii="Gill Sans MT" w:hAnsi="Gill Sans MT"/>
          <w:sz w:val="24"/>
        </w:rPr>
        <w:t xml:space="preserve"> to </w:t>
      </w:r>
      <w:r w:rsidR="00BD0073" w:rsidRPr="00524EF0">
        <w:rPr>
          <w:rFonts w:ascii="Gill Sans MT" w:hAnsi="Gill Sans MT"/>
          <w:sz w:val="24"/>
          <w:highlight w:val="yellow"/>
        </w:rPr>
        <w:t>~92%</w:t>
      </w:r>
      <w:r w:rsidR="00BD0073">
        <w:rPr>
          <w:rFonts w:ascii="Gill Sans MT" w:hAnsi="Gill Sans MT"/>
          <w:sz w:val="24"/>
        </w:rPr>
        <w:t xml:space="preserve"> </w:t>
      </w:r>
      <w:r w:rsidR="00524EF0">
        <w:rPr>
          <w:rFonts w:ascii="Gill Sans MT" w:hAnsi="Gill Sans MT"/>
          <w:sz w:val="24"/>
        </w:rPr>
        <w:t xml:space="preserve">on the </w:t>
      </w:r>
      <w:r w:rsidR="00BD0073" w:rsidRPr="002D429F">
        <w:rPr>
          <w:rFonts w:ascii="Gill Sans MT" w:hAnsi="Gill Sans MT"/>
          <w:sz w:val="24"/>
          <w:szCs w:val="24"/>
        </w:rPr>
        <w:t>Arànser</w:t>
      </w:r>
      <w:r w:rsidR="00524EF0">
        <w:rPr>
          <w:rFonts w:ascii="Gill Sans MT" w:hAnsi="Gill Sans MT"/>
          <w:sz w:val="24"/>
          <w:szCs w:val="24"/>
        </w:rPr>
        <w:t xml:space="preserve"> left moraine. </w:t>
      </w:r>
      <w:r w:rsidR="00B25605">
        <w:rPr>
          <w:rFonts w:ascii="Gill Sans MT" w:hAnsi="Gill Sans MT"/>
          <w:sz w:val="24"/>
          <w:szCs w:val="24"/>
        </w:rPr>
        <w:t xml:space="preserve">Spatial clustering of “good” and/or “bad” boulders is consistently </w:t>
      </w:r>
      <w:r w:rsidR="00187444">
        <w:rPr>
          <w:rFonts w:ascii="Gill Sans MT" w:hAnsi="Gill Sans MT"/>
          <w:sz w:val="24"/>
          <w:szCs w:val="24"/>
        </w:rPr>
        <w:t>observed</w:t>
      </w:r>
      <w:r w:rsidR="00B25605">
        <w:rPr>
          <w:rFonts w:ascii="Gill Sans MT" w:hAnsi="Gill Sans MT"/>
          <w:sz w:val="24"/>
          <w:szCs w:val="24"/>
        </w:rPr>
        <w:t xml:space="preserve"> for moraines deposited </w:t>
      </w:r>
      <w:r w:rsidR="00187444">
        <w:rPr>
          <w:rFonts w:ascii="Gill Sans MT" w:hAnsi="Gill Sans MT"/>
          <w:sz w:val="24"/>
          <w:szCs w:val="24"/>
        </w:rPr>
        <w:t xml:space="preserve">at the </w:t>
      </w:r>
      <w:proofErr w:type="spellStart"/>
      <w:r w:rsidR="00B25605">
        <w:rPr>
          <w:rFonts w:ascii="Gill Sans MT" w:hAnsi="Gill Sans MT"/>
          <w:sz w:val="24"/>
          <w:szCs w:val="24"/>
        </w:rPr>
        <w:t>gLGM</w:t>
      </w:r>
      <w:proofErr w:type="spellEnd"/>
      <w:r w:rsidR="00B25605">
        <w:rPr>
          <w:rFonts w:ascii="Gill Sans MT" w:hAnsi="Gill Sans MT"/>
          <w:sz w:val="24"/>
          <w:szCs w:val="24"/>
        </w:rPr>
        <w:t xml:space="preserve"> </w:t>
      </w:r>
      <w:r w:rsidR="00653764" w:rsidRPr="00A77E5B">
        <w:rPr>
          <w:rFonts w:ascii="Gill Sans MT" w:hAnsi="Gill Sans MT"/>
          <w:sz w:val="24"/>
          <w:szCs w:val="24"/>
          <w:highlight w:val="yellow"/>
        </w:rPr>
        <w:t>(</w:t>
      </w:r>
      <w:r w:rsidR="00187444" w:rsidRPr="00A77E5B">
        <w:rPr>
          <w:rFonts w:ascii="Calibri" w:hAnsi="Calibri"/>
          <w:sz w:val="24"/>
          <w:szCs w:val="24"/>
          <w:highlight w:val="yellow"/>
        </w:rPr>
        <w:t>≥</w:t>
      </w:r>
      <w:r w:rsidR="00653764" w:rsidRPr="00A77E5B">
        <w:rPr>
          <w:rFonts w:ascii="Gill Sans MT" w:hAnsi="Gill Sans MT"/>
          <w:sz w:val="24"/>
          <w:szCs w:val="24"/>
          <w:highlight w:val="yellow"/>
        </w:rPr>
        <w:t xml:space="preserve"> 70%)</w:t>
      </w:r>
      <w:r w:rsidR="00653764">
        <w:rPr>
          <w:rFonts w:ascii="Gill Sans MT" w:hAnsi="Gill Sans MT"/>
          <w:sz w:val="24"/>
          <w:szCs w:val="24"/>
        </w:rPr>
        <w:t xml:space="preserve"> and </w:t>
      </w:r>
      <w:r w:rsidR="00187444">
        <w:rPr>
          <w:rFonts w:ascii="Gill Sans MT" w:hAnsi="Gill Sans MT"/>
          <w:sz w:val="24"/>
          <w:szCs w:val="24"/>
        </w:rPr>
        <w:t xml:space="preserve">is </w:t>
      </w:r>
      <w:r w:rsidR="00653764">
        <w:rPr>
          <w:rFonts w:ascii="Gill Sans MT" w:hAnsi="Gill Sans MT"/>
          <w:sz w:val="24"/>
          <w:szCs w:val="24"/>
        </w:rPr>
        <w:t xml:space="preserve">comparatively absent for </w:t>
      </w:r>
      <w:r w:rsidR="00187444">
        <w:rPr>
          <w:rFonts w:ascii="Gill Sans MT" w:hAnsi="Gill Sans MT"/>
          <w:sz w:val="24"/>
          <w:szCs w:val="24"/>
        </w:rPr>
        <w:t>stratigraphically younger</w:t>
      </w:r>
      <w:r w:rsidR="00653764">
        <w:rPr>
          <w:rFonts w:ascii="Gill Sans MT" w:hAnsi="Gill Sans MT"/>
          <w:sz w:val="24"/>
          <w:szCs w:val="24"/>
        </w:rPr>
        <w:t xml:space="preserve"> moraines (</w:t>
      </w:r>
      <w:r w:rsidR="00187444">
        <w:rPr>
          <w:rFonts w:ascii="Calibri" w:hAnsi="Calibri"/>
          <w:sz w:val="24"/>
          <w:szCs w:val="24"/>
        </w:rPr>
        <w:t>≤</w:t>
      </w:r>
      <w:r w:rsidR="00653764">
        <w:rPr>
          <w:rFonts w:ascii="Gill Sans MT" w:hAnsi="Gill Sans MT"/>
          <w:sz w:val="24"/>
          <w:szCs w:val="24"/>
        </w:rPr>
        <w:t xml:space="preserve"> </w:t>
      </w:r>
      <w:r w:rsidR="00653764" w:rsidRPr="006E755D">
        <w:rPr>
          <w:rFonts w:ascii="Gill Sans MT" w:hAnsi="Gill Sans MT"/>
          <w:sz w:val="24"/>
          <w:szCs w:val="24"/>
          <w:highlight w:val="yellow"/>
        </w:rPr>
        <w:t>12%).</w:t>
      </w:r>
      <w:r w:rsidR="00653764">
        <w:rPr>
          <w:rFonts w:ascii="Gill Sans MT" w:hAnsi="Gill Sans MT"/>
          <w:sz w:val="24"/>
          <w:szCs w:val="24"/>
        </w:rPr>
        <w:t xml:space="preserve"> </w:t>
      </w:r>
      <w:r w:rsidR="00455EFC">
        <w:rPr>
          <w:rFonts w:ascii="Gill Sans MT" w:hAnsi="Gill Sans MT"/>
          <w:sz w:val="24"/>
        </w:rPr>
        <w:t>These data</w:t>
      </w:r>
      <w:r w:rsidR="00EC717A">
        <w:rPr>
          <w:rFonts w:ascii="Gill Sans MT" w:hAnsi="Gill Sans MT"/>
          <w:sz w:val="24"/>
        </w:rPr>
        <w:t>, in light of the temporal trends discussed above,</w:t>
      </w:r>
      <w:r w:rsidR="00455EFC">
        <w:rPr>
          <w:rFonts w:ascii="Gill Sans MT" w:hAnsi="Gill Sans MT"/>
          <w:sz w:val="24"/>
        </w:rPr>
        <w:t xml:space="preserve"> </w:t>
      </w:r>
      <w:r w:rsidR="003E0912">
        <w:rPr>
          <w:rFonts w:ascii="Gill Sans MT" w:hAnsi="Gill Sans MT"/>
          <w:sz w:val="24"/>
        </w:rPr>
        <w:t>indicate</w:t>
      </w:r>
      <w:r w:rsidR="00455EFC">
        <w:rPr>
          <w:rFonts w:ascii="Gill Sans MT" w:hAnsi="Gill Sans MT"/>
          <w:sz w:val="24"/>
        </w:rPr>
        <w:t xml:space="preserve"> that </w:t>
      </w:r>
      <w:r w:rsidR="00EC717A">
        <w:rPr>
          <w:rFonts w:ascii="Gill Sans MT" w:hAnsi="Gill Sans MT"/>
          <w:sz w:val="24"/>
        </w:rPr>
        <w:t>landform characteristics</w:t>
      </w:r>
      <w:r w:rsidR="00455EFC">
        <w:rPr>
          <w:rFonts w:ascii="Gill Sans MT" w:hAnsi="Gill Sans MT"/>
          <w:sz w:val="24"/>
        </w:rPr>
        <w:t xml:space="preserve"> </w:t>
      </w:r>
      <w:r w:rsidR="00EC717A">
        <w:rPr>
          <w:rFonts w:ascii="Gill Sans MT" w:hAnsi="Gill Sans MT"/>
          <w:sz w:val="24"/>
        </w:rPr>
        <w:t>influence both the frequency and the spatial distribution of “good”</w:t>
      </w:r>
      <w:r w:rsidR="00EF2F76">
        <w:rPr>
          <w:rFonts w:ascii="Gill Sans MT" w:hAnsi="Gill Sans MT"/>
          <w:sz w:val="24"/>
        </w:rPr>
        <w:t xml:space="preserve"> boulder</w:t>
      </w:r>
      <w:r w:rsidR="00EC717A">
        <w:rPr>
          <w:rFonts w:ascii="Gill Sans MT" w:hAnsi="Gill Sans MT"/>
          <w:sz w:val="24"/>
        </w:rPr>
        <w:t xml:space="preserve"> clusters</w:t>
      </w:r>
      <w:r w:rsidR="00455EFC">
        <w:rPr>
          <w:rFonts w:ascii="Gill Sans MT" w:hAnsi="Gill Sans MT"/>
          <w:sz w:val="24"/>
        </w:rPr>
        <w:t xml:space="preserve"> (</w:t>
      </w:r>
      <w:proofErr w:type="spellStart"/>
      <w:r w:rsidR="00455EFC" w:rsidRPr="00C503D6">
        <w:rPr>
          <w:rFonts w:ascii="Gill Sans MT" w:hAnsi="Gill Sans MT"/>
          <w:sz w:val="24"/>
        </w:rPr>
        <w:t>Zreda</w:t>
      </w:r>
      <w:proofErr w:type="spellEnd"/>
      <w:r w:rsidR="00455EFC" w:rsidRPr="00C503D6">
        <w:rPr>
          <w:rFonts w:ascii="Gill Sans MT" w:hAnsi="Gill Sans MT"/>
          <w:sz w:val="24"/>
        </w:rPr>
        <w:t xml:space="preserve"> et al., 1994; Putkonen and O’Neal, 2006</w:t>
      </w:r>
      <w:r w:rsidR="00455EFC">
        <w:rPr>
          <w:rFonts w:ascii="Gill Sans MT" w:hAnsi="Gill Sans MT"/>
          <w:sz w:val="24"/>
        </w:rPr>
        <w:t>; Ivy-Ochs et al., 2007; Pall</w:t>
      </w:r>
      <w:r w:rsidR="00455EFC" w:rsidRPr="00A869E9">
        <w:rPr>
          <w:rFonts w:ascii="Gill Sans MT" w:hAnsi="Gill Sans MT"/>
          <w:sz w:val="24"/>
        </w:rPr>
        <w:t>à</w:t>
      </w:r>
      <w:r w:rsidR="00455EFC">
        <w:rPr>
          <w:rFonts w:ascii="Gill Sans MT" w:hAnsi="Gill Sans MT"/>
          <w:sz w:val="24"/>
        </w:rPr>
        <w:t xml:space="preserve">s et al., 2010). </w:t>
      </w:r>
    </w:p>
    <w:p w14:paraId="3322A914" w14:textId="39FE25AE" w:rsidR="00511878" w:rsidRDefault="00C94CE4" w:rsidP="005F32F6">
      <w:pPr>
        <w:rPr>
          <w:rFonts w:ascii="Gill Sans MT" w:hAnsi="Gill Sans MT"/>
          <w:sz w:val="24"/>
        </w:rPr>
      </w:pPr>
      <w:r>
        <w:rPr>
          <w:rFonts w:ascii="Gill Sans MT" w:hAnsi="Gill Sans MT"/>
          <w:sz w:val="24"/>
        </w:rPr>
        <w:t xml:space="preserve">At the </w:t>
      </w:r>
      <w:r w:rsidRPr="00C94CE4">
        <w:rPr>
          <w:rFonts w:ascii="Gill Sans MT" w:hAnsi="Gill Sans MT"/>
          <w:i/>
          <w:sz w:val="24"/>
        </w:rPr>
        <w:t>intra</w:t>
      </w:r>
      <w:r>
        <w:rPr>
          <w:rFonts w:ascii="Gill Sans MT" w:hAnsi="Gill Sans MT"/>
          <w:sz w:val="24"/>
        </w:rPr>
        <w:t xml:space="preserve">-landform scale, </w:t>
      </w:r>
      <w:r w:rsidR="00874F64">
        <w:rPr>
          <w:rFonts w:ascii="Gill Sans MT" w:hAnsi="Gill Sans MT"/>
          <w:sz w:val="24"/>
        </w:rPr>
        <w:t xml:space="preserve">the locations of </w:t>
      </w:r>
      <w:r>
        <w:rPr>
          <w:rFonts w:ascii="Gill Sans MT" w:hAnsi="Gill Sans MT"/>
          <w:sz w:val="24"/>
        </w:rPr>
        <w:t>“good”</w:t>
      </w:r>
      <w:r w:rsidR="00EF7C40">
        <w:rPr>
          <w:rFonts w:ascii="Gill Sans MT" w:hAnsi="Gill Sans MT"/>
          <w:sz w:val="24"/>
        </w:rPr>
        <w:t xml:space="preserve"> and</w:t>
      </w:r>
      <w:r>
        <w:rPr>
          <w:rFonts w:ascii="Gill Sans MT" w:hAnsi="Gill Sans MT"/>
          <w:sz w:val="24"/>
        </w:rPr>
        <w:t xml:space="preserve"> “bad”</w:t>
      </w:r>
      <w:r w:rsidR="00750C54">
        <w:rPr>
          <w:rFonts w:ascii="Gill Sans MT" w:hAnsi="Gill Sans MT"/>
          <w:sz w:val="24"/>
        </w:rPr>
        <w:t xml:space="preserve"> </w:t>
      </w:r>
      <w:r w:rsidR="00874F64">
        <w:rPr>
          <w:rFonts w:ascii="Gill Sans MT" w:hAnsi="Gill Sans MT"/>
          <w:sz w:val="24"/>
        </w:rPr>
        <w:t>boulder clusters</w:t>
      </w:r>
      <w:r w:rsidR="00750C54">
        <w:rPr>
          <w:rFonts w:ascii="Gill Sans MT" w:hAnsi="Gill Sans MT"/>
          <w:sz w:val="24"/>
        </w:rPr>
        <w:t xml:space="preserve"> are shown in Figures 7 and 8</w:t>
      </w:r>
      <w:r w:rsidR="00EF7C40">
        <w:rPr>
          <w:rFonts w:ascii="Gill Sans MT" w:hAnsi="Gill Sans MT"/>
          <w:sz w:val="24"/>
        </w:rPr>
        <w:t xml:space="preserve"> for </w:t>
      </w:r>
      <w:r w:rsidR="00093C5F">
        <w:rPr>
          <w:rFonts w:ascii="Gill Sans MT" w:hAnsi="Gill Sans MT"/>
          <w:sz w:val="24"/>
        </w:rPr>
        <w:t xml:space="preserve">the </w:t>
      </w:r>
      <w:r w:rsidR="006E755D">
        <w:rPr>
          <w:rFonts w:ascii="Gill Sans MT" w:hAnsi="Gill Sans MT"/>
          <w:sz w:val="24"/>
        </w:rPr>
        <w:t xml:space="preserve">Arànser and </w:t>
      </w:r>
      <w:proofErr w:type="spellStart"/>
      <w:r w:rsidR="006E755D">
        <w:rPr>
          <w:rFonts w:ascii="Gill Sans MT" w:hAnsi="Gill Sans MT"/>
          <w:sz w:val="24"/>
        </w:rPr>
        <w:t>Soum</w:t>
      </w:r>
      <w:proofErr w:type="spellEnd"/>
      <w:r w:rsidR="006E755D">
        <w:rPr>
          <w:rFonts w:ascii="Gill Sans MT" w:hAnsi="Gill Sans MT"/>
          <w:sz w:val="24"/>
        </w:rPr>
        <w:t xml:space="preserve"> </w:t>
      </w:r>
      <w:proofErr w:type="spellStart"/>
      <w:r w:rsidR="006E755D">
        <w:rPr>
          <w:rFonts w:ascii="Gill Sans MT" w:hAnsi="Gill Sans MT"/>
          <w:sz w:val="24"/>
        </w:rPr>
        <w:t>d’Ech</w:t>
      </w:r>
      <w:proofErr w:type="spellEnd"/>
      <w:r w:rsidR="006E755D">
        <w:rPr>
          <w:rFonts w:ascii="Gill Sans MT" w:hAnsi="Gill Sans MT"/>
          <w:sz w:val="24"/>
        </w:rPr>
        <w:t xml:space="preserve"> moraines</w:t>
      </w:r>
      <w:r w:rsidR="00C64D0D">
        <w:rPr>
          <w:rFonts w:ascii="Gill Sans MT" w:hAnsi="Gill Sans MT"/>
          <w:sz w:val="24"/>
        </w:rPr>
        <w:t xml:space="preserve">. Equivalent plots for </w:t>
      </w:r>
      <w:r w:rsidR="009B4B5F">
        <w:rPr>
          <w:rFonts w:ascii="Gill Sans MT" w:hAnsi="Gill Sans MT"/>
          <w:sz w:val="24"/>
        </w:rPr>
        <w:t xml:space="preserve">the </w:t>
      </w:r>
      <w:r w:rsidR="00C64D0D">
        <w:rPr>
          <w:rFonts w:ascii="Gill Sans MT" w:hAnsi="Gill Sans MT"/>
          <w:sz w:val="24"/>
        </w:rPr>
        <w:t xml:space="preserve">Tallada and Outer </w:t>
      </w:r>
      <w:proofErr w:type="spellStart"/>
      <w:r w:rsidR="00C64D0D">
        <w:rPr>
          <w:rFonts w:ascii="Gill Sans MT" w:hAnsi="Gill Sans MT"/>
          <w:sz w:val="24"/>
        </w:rPr>
        <w:t>Pleta</w:t>
      </w:r>
      <w:proofErr w:type="spellEnd"/>
      <w:r w:rsidR="00C64D0D">
        <w:rPr>
          <w:rFonts w:ascii="Gill Sans MT" w:hAnsi="Gill Sans MT"/>
          <w:sz w:val="24"/>
        </w:rPr>
        <w:t xml:space="preserve"> </w:t>
      </w:r>
      <w:proofErr w:type="spellStart"/>
      <w:r w:rsidR="00C64D0D">
        <w:rPr>
          <w:rFonts w:ascii="Gill Sans MT" w:hAnsi="Gill Sans MT"/>
          <w:sz w:val="24"/>
        </w:rPr>
        <w:t>Naua</w:t>
      </w:r>
      <w:proofErr w:type="spellEnd"/>
      <w:r w:rsidR="00C64D0D">
        <w:rPr>
          <w:rFonts w:ascii="Gill Sans MT" w:hAnsi="Gill Sans MT"/>
          <w:sz w:val="24"/>
        </w:rPr>
        <w:t xml:space="preserve"> moraines</w:t>
      </w:r>
      <w:r w:rsidR="009B4B5F">
        <w:rPr>
          <w:rFonts w:ascii="Gill Sans MT" w:hAnsi="Gill Sans MT"/>
          <w:sz w:val="24"/>
        </w:rPr>
        <w:t>, where the spatial distribution of “good” and/or “bad” boulders is effectively random (</w:t>
      </w:r>
      <w:r w:rsidR="009B4B5F" w:rsidRPr="009B4B5F">
        <w:rPr>
          <w:rFonts w:ascii="Gill Sans MT" w:hAnsi="Gill Sans MT"/>
          <w:i/>
          <w:sz w:val="24"/>
        </w:rPr>
        <w:t>p</w:t>
      </w:r>
      <w:r w:rsidR="009B4B5F">
        <w:rPr>
          <w:rFonts w:ascii="Gill Sans MT" w:hAnsi="Gill Sans MT"/>
          <w:sz w:val="24"/>
        </w:rPr>
        <w:t xml:space="preserve"> &lt; 0.05 </w:t>
      </w:r>
      <w:r w:rsidR="009B4B5F" w:rsidRPr="009B4B5F">
        <w:rPr>
          <w:rFonts w:ascii="Gill Sans MT" w:hAnsi="Gill Sans MT"/>
          <w:sz w:val="24"/>
        </w:rPr>
        <w:t>for</w:t>
      </w:r>
      <w:r w:rsidR="009B4B5F">
        <w:rPr>
          <w:rFonts w:ascii="Gill Sans MT" w:hAnsi="Gill Sans MT"/>
          <w:sz w:val="24"/>
        </w:rPr>
        <w:t xml:space="preserve"> </w:t>
      </w:r>
      <w:r w:rsidR="009B4B5F">
        <w:rPr>
          <w:rFonts w:ascii="Calibri" w:hAnsi="Calibri"/>
          <w:sz w:val="24"/>
          <w:szCs w:val="24"/>
        </w:rPr>
        <w:t>≤</w:t>
      </w:r>
      <w:r w:rsidR="009B4B5F">
        <w:rPr>
          <w:rFonts w:ascii="Gill Sans MT" w:hAnsi="Gill Sans MT"/>
          <w:sz w:val="24"/>
          <w:szCs w:val="24"/>
        </w:rPr>
        <w:t xml:space="preserve"> </w:t>
      </w:r>
      <w:r w:rsidR="009B4B5F">
        <w:rPr>
          <w:rFonts w:ascii="Gill Sans MT" w:hAnsi="Gill Sans MT"/>
          <w:sz w:val="24"/>
          <w:szCs w:val="24"/>
          <w:highlight w:val="yellow"/>
        </w:rPr>
        <w:t>12%</w:t>
      </w:r>
      <w:r w:rsidR="009B4B5F">
        <w:rPr>
          <w:rFonts w:ascii="Gill Sans MT" w:hAnsi="Gill Sans MT"/>
          <w:sz w:val="24"/>
          <w:szCs w:val="24"/>
        </w:rPr>
        <w:t xml:space="preserve"> of model runs)</w:t>
      </w:r>
      <w:r w:rsidR="009B4B5F">
        <w:rPr>
          <w:rFonts w:ascii="Gill Sans MT" w:hAnsi="Gill Sans MT"/>
          <w:sz w:val="24"/>
        </w:rPr>
        <w:t>,</w:t>
      </w:r>
      <w:r w:rsidR="00C64D0D">
        <w:rPr>
          <w:rFonts w:ascii="Gill Sans MT" w:hAnsi="Gill Sans MT"/>
          <w:sz w:val="24"/>
        </w:rPr>
        <w:t xml:space="preserve"> </w:t>
      </w:r>
      <w:r w:rsidR="00C64D0D">
        <w:rPr>
          <w:rFonts w:ascii="Gill Sans MT" w:hAnsi="Gill Sans MT"/>
          <w:sz w:val="24"/>
          <w:szCs w:val="24"/>
        </w:rPr>
        <w:t xml:space="preserve">are provided in the Supplementary Information for completeness. </w:t>
      </w:r>
      <w:r w:rsidR="00C447B7">
        <w:rPr>
          <w:rFonts w:ascii="Gill Sans MT" w:hAnsi="Gill Sans MT"/>
          <w:sz w:val="24"/>
          <w:szCs w:val="24"/>
        </w:rPr>
        <w:t xml:space="preserve">Importantly, there is no </w:t>
      </w:r>
      <w:r w:rsidR="00FC4D30">
        <w:rPr>
          <w:rFonts w:ascii="Gill Sans MT" w:hAnsi="Gill Sans MT"/>
          <w:sz w:val="24"/>
          <w:szCs w:val="24"/>
        </w:rPr>
        <w:t>clear</w:t>
      </w:r>
      <w:r w:rsidR="00C447B7">
        <w:rPr>
          <w:rFonts w:ascii="Gill Sans MT" w:hAnsi="Gill Sans MT"/>
          <w:sz w:val="24"/>
          <w:szCs w:val="24"/>
        </w:rPr>
        <w:t xml:space="preserve"> spatial pattern, as “good” </w:t>
      </w:r>
      <w:r w:rsidR="005F32F6">
        <w:rPr>
          <w:rFonts w:ascii="Gill Sans MT" w:hAnsi="Gill Sans MT"/>
          <w:sz w:val="24"/>
        </w:rPr>
        <w:t xml:space="preserve">and “bad” clusters occur on moraine crests, ice-proximal and -distal slopes. There are minor exceptions to this rule, where statistically significant boulder clusters have plausible geomorphological explanations. </w:t>
      </w:r>
      <w:r w:rsidR="00C447B7">
        <w:rPr>
          <w:rFonts w:ascii="Gill Sans MT" w:hAnsi="Gill Sans MT"/>
          <w:sz w:val="24"/>
        </w:rPr>
        <w:t>On the</w:t>
      </w:r>
      <w:r w:rsidR="005F32F6">
        <w:rPr>
          <w:rFonts w:ascii="Gill Sans MT" w:hAnsi="Gill Sans MT"/>
          <w:sz w:val="24"/>
        </w:rPr>
        <w:t xml:space="preserve"> Arànser</w:t>
      </w:r>
      <w:r w:rsidR="00C447B7">
        <w:rPr>
          <w:rFonts w:ascii="Gill Sans MT" w:hAnsi="Gill Sans MT"/>
          <w:sz w:val="24"/>
        </w:rPr>
        <w:t xml:space="preserve"> left moraine</w:t>
      </w:r>
      <w:r w:rsidR="005F32F6">
        <w:rPr>
          <w:rFonts w:ascii="Gill Sans MT" w:hAnsi="Gill Sans MT"/>
          <w:sz w:val="24"/>
        </w:rPr>
        <w:t xml:space="preserve">, a cluster of </w:t>
      </w:r>
      <w:r w:rsidR="00C447B7">
        <w:rPr>
          <w:rFonts w:ascii="Gill Sans MT" w:hAnsi="Gill Sans MT"/>
          <w:sz w:val="24"/>
        </w:rPr>
        <w:t xml:space="preserve">“bad” </w:t>
      </w:r>
      <w:r w:rsidR="00254263">
        <w:rPr>
          <w:rFonts w:ascii="Gill Sans MT" w:hAnsi="Gill Sans MT"/>
          <w:sz w:val="24"/>
        </w:rPr>
        <w:t>comparatively unweathered</w:t>
      </w:r>
      <w:r w:rsidR="00DF43B4">
        <w:rPr>
          <w:rFonts w:ascii="Gill Sans MT" w:hAnsi="Gill Sans MT"/>
          <w:sz w:val="24"/>
        </w:rPr>
        <w:t xml:space="preserve"> </w:t>
      </w:r>
      <w:r w:rsidR="00C447B7">
        <w:rPr>
          <w:rFonts w:ascii="Gill Sans MT" w:hAnsi="Gill Sans MT"/>
          <w:sz w:val="24"/>
        </w:rPr>
        <w:t xml:space="preserve">boulders occurs </w:t>
      </w:r>
      <w:r w:rsidR="005F32F6">
        <w:rPr>
          <w:rFonts w:ascii="Gill Sans MT" w:hAnsi="Gill Sans MT"/>
          <w:sz w:val="24"/>
        </w:rPr>
        <w:t xml:space="preserve">near the front of the moraine, which </w:t>
      </w:r>
      <w:r w:rsidR="00C447B7">
        <w:rPr>
          <w:rFonts w:ascii="Gill Sans MT" w:hAnsi="Gill Sans MT"/>
          <w:sz w:val="24"/>
        </w:rPr>
        <w:t>may</w:t>
      </w:r>
      <w:r w:rsidR="005F32F6">
        <w:rPr>
          <w:rFonts w:ascii="Gill Sans MT" w:hAnsi="Gill Sans MT"/>
          <w:sz w:val="24"/>
        </w:rPr>
        <w:t xml:space="preserve"> </w:t>
      </w:r>
      <w:r w:rsidR="00C447B7">
        <w:rPr>
          <w:rFonts w:ascii="Gill Sans MT" w:hAnsi="Gill Sans MT"/>
          <w:sz w:val="24"/>
        </w:rPr>
        <w:t>reflect</w:t>
      </w:r>
      <w:r w:rsidR="005F32F6">
        <w:rPr>
          <w:rFonts w:ascii="Gill Sans MT" w:hAnsi="Gill Sans MT"/>
          <w:sz w:val="24"/>
        </w:rPr>
        <w:t xml:space="preserve"> f</w:t>
      </w:r>
      <w:r w:rsidR="00254263">
        <w:rPr>
          <w:rFonts w:ascii="Gill Sans MT" w:hAnsi="Gill Sans MT"/>
          <w:sz w:val="24"/>
        </w:rPr>
        <w:t xml:space="preserve">luvial incision of the terminus, </w:t>
      </w:r>
      <w:r w:rsidR="005F32F6">
        <w:rPr>
          <w:rFonts w:ascii="Gill Sans MT" w:hAnsi="Gill Sans MT"/>
          <w:sz w:val="24"/>
        </w:rPr>
        <w:t>degra</w:t>
      </w:r>
      <w:r w:rsidR="00254263">
        <w:rPr>
          <w:rFonts w:ascii="Gill Sans MT" w:hAnsi="Gill Sans MT"/>
          <w:sz w:val="24"/>
        </w:rPr>
        <w:t>dation of the lateral flanks and</w:t>
      </w:r>
      <w:r w:rsidR="00EB7557">
        <w:rPr>
          <w:rFonts w:ascii="Gill Sans MT" w:hAnsi="Gill Sans MT"/>
          <w:sz w:val="24"/>
        </w:rPr>
        <w:t xml:space="preserve"> exhumation of moraine boulders; a pattern which matches the spatial clustering of </w:t>
      </w:r>
      <w:r w:rsidR="00EB7557" w:rsidRPr="00EB7557">
        <w:rPr>
          <w:rFonts w:ascii="Gill Sans MT" w:hAnsi="Gill Sans MT"/>
          <w:sz w:val="24"/>
          <w:vertAlign w:val="superscript"/>
        </w:rPr>
        <w:t>36</w:t>
      </w:r>
      <w:r w:rsidR="00EB7557">
        <w:rPr>
          <w:rFonts w:ascii="Gill Sans MT" w:hAnsi="Gill Sans MT"/>
          <w:sz w:val="24"/>
        </w:rPr>
        <w:t xml:space="preserve">Cl ages on a comparable </w:t>
      </w:r>
      <w:proofErr w:type="spellStart"/>
      <w:r w:rsidR="00EB7557">
        <w:rPr>
          <w:rFonts w:ascii="Gill Sans MT" w:hAnsi="Gill Sans MT"/>
          <w:sz w:val="24"/>
        </w:rPr>
        <w:t>gLGM</w:t>
      </w:r>
      <w:proofErr w:type="spellEnd"/>
      <w:r w:rsidR="00EB7557">
        <w:rPr>
          <w:rFonts w:ascii="Gill Sans MT" w:hAnsi="Gill Sans MT"/>
          <w:sz w:val="24"/>
        </w:rPr>
        <w:t xml:space="preserve"> moraine deposited in </w:t>
      </w:r>
      <w:r w:rsidR="00645D9D">
        <w:rPr>
          <w:rFonts w:ascii="Gill Sans MT" w:hAnsi="Gill Sans MT"/>
          <w:sz w:val="24"/>
        </w:rPr>
        <w:t>the nearby</w:t>
      </w:r>
      <w:r w:rsidR="005F32F6">
        <w:rPr>
          <w:rFonts w:ascii="Gill Sans MT" w:hAnsi="Gill Sans MT"/>
          <w:sz w:val="24"/>
        </w:rPr>
        <w:t xml:space="preserve"> Duran valley (</w:t>
      </w:r>
      <w:r w:rsidR="00A02EAB" w:rsidRPr="00A02EAB">
        <w:rPr>
          <w:rFonts w:ascii="Gill Sans MT" w:hAnsi="Gill Sans MT"/>
          <w:i/>
          <w:sz w:val="24"/>
        </w:rPr>
        <w:t>see</w:t>
      </w:r>
      <w:r w:rsidR="00A02EAB">
        <w:rPr>
          <w:rFonts w:ascii="Gill Sans MT" w:hAnsi="Gill Sans MT"/>
          <w:sz w:val="24"/>
        </w:rPr>
        <w:t xml:space="preserve"> Fig. 11 in </w:t>
      </w:r>
      <w:r w:rsidR="005F32F6">
        <w:rPr>
          <w:rFonts w:ascii="Gill Sans MT" w:hAnsi="Gill Sans MT"/>
          <w:sz w:val="24"/>
        </w:rPr>
        <w:t xml:space="preserve">Palacios et al., 2015b). An additional </w:t>
      </w:r>
      <w:r w:rsidR="00C447B7">
        <w:rPr>
          <w:rFonts w:ascii="Gill Sans MT" w:hAnsi="Gill Sans MT"/>
          <w:sz w:val="24"/>
        </w:rPr>
        <w:t>“bad”</w:t>
      </w:r>
      <w:r w:rsidR="005F32F6">
        <w:rPr>
          <w:rFonts w:ascii="Gill Sans MT" w:hAnsi="Gill Sans MT"/>
          <w:sz w:val="24"/>
        </w:rPr>
        <w:t xml:space="preserve"> cluster occurs where a minor stream has cross-cut and incised the </w:t>
      </w:r>
      <w:r w:rsidR="00817056">
        <w:rPr>
          <w:rFonts w:ascii="Gill Sans MT" w:hAnsi="Gill Sans MT"/>
          <w:sz w:val="24"/>
        </w:rPr>
        <w:t xml:space="preserve">moraine crest (Fig. 6). Given the proximity of this incised area to the terminus of the </w:t>
      </w:r>
      <w:proofErr w:type="spellStart"/>
      <w:r w:rsidR="00817056">
        <w:rPr>
          <w:rFonts w:ascii="Gill Sans MT" w:hAnsi="Gill Sans MT"/>
          <w:sz w:val="24"/>
        </w:rPr>
        <w:t>Setut</w:t>
      </w:r>
      <w:proofErr w:type="spellEnd"/>
      <w:r w:rsidR="00817056">
        <w:rPr>
          <w:rFonts w:ascii="Gill Sans MT" w:hAnsi="Gill Sans MT"/>
          <w:sz w:val="24"/>
        </w:rPr>
        <w:t xml:space="preserve"> glacier (</w:t>
      </w:r>
      <w:r w:rsidR="00817056" w:rsidRPr="00817056">
        <w:rPr>
          <w:rFonts w:ascii="Gill Sans MT" w:hAnsi="Gill Sans MT"/>
          <w:i/>
          <w:sz w:val="24"/>
        </w:rPr>
        <w:t>see</w:t>
      </w:r>
      <w:r w:rsidR="00817056">
        <w:rPr>
          <w:rFonts w:ascii="Gill Sans MT" w:hAnsi="Gill Sans MT"/>
          <w:sz w:val="24"/>
        </w:rPr>
        <w:t xml:space="preserve"> Fig. 3A), a meltwater origin seems likely. </w:t>
      </w:r>
      <w:r w:rsidR="00B64511">
        <w:rPr>
          <w:rFonts w:ascii="Gill Sans MT" w:hAnsi="Gill Sans MT"/>
          <w:sz w:val="24"/>
        </w:rPr>
        <w:t>With these exceptions, the location</w:t>
      </w:r>
      <w:r w:rsidR="008120F9">
        <w:rPr>
          <w:rFonts w:ascii="Gill Sans MT" w:hAnsi="Gill Sans MT"/>
          <w:sz w:val="24"/>
        </w:rPr>
        <w:t>s</w:t>
      </w:r>
      <w:r w:rsidR="00B64511">
        <w:rPr>
          <w:rFonts w:ascii="Gill Sans MT" w:hAnsi="Gill Sans MT"/>
          <w:sz w:val="24"/>
        </w:rPr>
        <w:t xml:space="preserve"> of statistically significant boulder clusters </w:t>
      </w:r>
      <w:r w:rsidR="004F757D">
        <w:rPr>
          <w:rFonts w:ascii="Gill Sans MT" w:hAnsi="Gill Sans MT"/>
          <w:sz w:val="24"/>
        </w:rPr>
        <w:t>conform</w:t>
      </w:r>
      <w:r w:rsidR="00186291">
        <w:rPr>
          <w:rFonts w:ascii="Gill Sans MT" w:hAnsi="Gill Sans MT"/>
          <w:sz w:val="24"/>
        </w:rPr>
        <w:t>s</w:t>
      </w:r>
      <w:r w:rsidR="004F757D">
        <w:rPr>
          <w:rFonts w:ascii="Gill Sans MT" w:hAnsi="Gill Sans MT"/>
          <w:sz w:val="24"/>
        </w:rPr>
        <w:t xml:space="preserve"> to neither</w:t>
      </w:r>
      <w:r w:rsidR="004F5E58">
        <w:rPr>
          <w:rFonts w:ascii="Gill Sans MT" w:hAnsi="Gill Sans MT"/>
          <w:sz w:val="24"/>
        </w:rPr>
        <w:t xml:space="preserve"> a </w:t>
      </w:r>
      <w:r w:rsidR="004F5E58" w:rsidRPr="004F5E58">
        <w:rPr>
          <w:rFonts w:ascii="Gill Sans MT" w:hAnsi="Gill Sans MT"/>
          <w:sz w:val="24"/>
        </w:rPr>
        <w:t>crest or</w:t>
      </w:r>
      <w:r w:rsidR="004F5E58">
        <w:rPr>
          <w:rFonts w:ascii="Gill Sans MT" w:hAnsi="Gill Sans MT"/>
          <w:sz w:val="24"/>
        </w:rPr>
        <w:t xml:space="preserve"> slope stability model (Hallet and Putkonen, 1994).</w:t>
      </w:r>
    </w:p>
    <w:p w14:paraId="15BE1BBC" w14:textId="7C042CAC" w:rsidR="0086494A" w:rsidRDefault="00511878" w:rsidP="005F32F6">
      <w:pPr>
        <w:rPr>
          <w:rFonts w:ascii="Gill Sans MT" w:hAnsi="Gill Sans MT"/>
          <w:sz w:val="24"/>
        </w:rPr>
      </w:pPr>
      <w:r>
        <w:rPr>
          <w:rFonts w:ascii="Gill Sans MT" w:hAnsi="Gill Sans MT"/>
          <w:sz w:val="24"/>
        </w:rPr>
        <w:t>Based on this analysis</w:t>
      </w:r>
      <w:r w:rsidR="002C48BE">
        <w:rPr>
          <w:rFonts w:ascii="Gill Sans MT" w:hAnsi="Gill Sans MT"/>
          <w:sz w:val="24"/>
        </w:rPr>
        <w:t xml:space="preserve">, the proportion of “good” boulders </w:t>
      </w:r>
      <w:r w:rsidR="00D20E51">
        <w:rPr>
          <w:rFonts w:ascii="Gill Sans MT" w:hAnsi="Gill Sans MT"/>
          <w:sz w:val="24"/>
        </w:rPr>
        <w:t>is comparable for moraine crests, ice-proximal and -distal slopes (</w:t>
      </w:r>
      <w:r w:rsidR="00D20E51" w:rsidRPr="00D20E51">
        <w:rPr>
          <w:rFonts w:ascii="Gill Sans MT" w:hAnsi="Gill Sans MT"/>
          <w:i/>
          <w:sz w:val="24"/>
        </w:rPr>
        <w:t>see</w:t>
      </w:r>
      <w:r w:rsidR="00115153">
        <w:rPr>
          <w:rFonts w:ascii="Gill Sans MT" w:hAnsi="Gill Sans MT"/>
          <w:sz w:val="24"/>
        </w:rPr>
        <w:t xml:space="preserve"> Fig. 9) and </w:t>
      </w:r>
      <w:r w:rsidR="001A02A4">
        <w:rPr>
          <w:rFonts w:ascii="Gill Sans MT" w:hAnsi="Gill Sans MT"/>
          <w:sz w:val="24"/>
        </w:rPr>
        <w:t>there</w:t>
      </w:r>
      <w:r w:rsidR="00195135">
        <w:rPr>
          <w:rFonts w:ascii="Gill Sans MT" w:hAnsi="Gill Sans MT"/>
          <w:sz w:val="24"/>
        </w:rPr>
        <w:t xml:space="preserve"> are</w:t>
      </w:r>
      <w:r w:rsidR="001A02A4">
        <w:rPr>
          <w:rFonts w:ascii="Gill Sans MT" w:hAnsi="Gill Sans MT"/>
          <w:sz w:val="24"/>
        </w:rPr>
        <w:t xml:space="preserve"> </w:t>
      </w:r>
      <w:r w:rsidR="00115153">
        <w:rPr>
          <w:rFonts w:ascii="Gill Sans MT" w:hAnsi="Gill Sans MT"/>
          <w:sz w:val="24"/>
        </w:rPr>
        <w:t xml:space="preserve">no consistent trends </w:t>
      </w:r>
      <w:r w:rsidR="001A02A4">
        <w:rPr>
          <w:rFonts w:ascii="Gill Sans MT" w:hAnsi="Gill Sans MT"/>
          <w:sz w:val="24"/>
        </w:rPr>
        <w:t xml:space="preserve">at the </w:t>
      </w:r>
      <w:r w:rsidR="001A02A4" w:rsidRPr="001A02A4">
        <w:rPr>
          <w:rFonts w:ascii="Gill Sans MT" w:hAnsi="Gill Sans MT"/>
          <w:i/>
          <w:sz w:val="24"/>
        </w:rPr>
        <w:t>inter</w:t>
      </w:r>
      <w:r w:rsidR="001A02A4">
        <w:rPr>
          <w:rFonts w:ascii="Gill Sans MT" w:hAnsi="Gill Sans MT"/>
          <w:sz w:val="24"/>
        </w:rPr>
        <w:t>-landform scale</w:t>
      </w:r>
      <w:r w:rsidR="00583A23">
        <w:rPr>
          <w:rFonts w:ascii="Gill Sans MT" w:hAnsi="Gill Sans MT"/>
          <w:sz w:val="24"/>
        </w:rPr>
        <w:t xml:space="preserve"> i.e. no boulder group (C, IS, OS) </w:t>
      </w:r>
      <w:r w:rsidR="008712A6">
        <w:rPr>
          <w:rFonts w:ascii="Gill Sans MT" w:hAnsi="Gill Sans MT"/>
          <w:sz w:val="24"/>
        </w:rPr>
        <w:t>performs</w:t>
      </w:r>
      <w:r w:rsidR="00583A23">
        <w:rPr>
          <w:rFonts w:ascii="Gill Sans MT" w:hAnsi="Gill Sans MT"/>
          <w:sz w:val="24"/>
        </w:rPr>
        <w:t xml:space="preserve"> consistently better across all landforms.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Pr="00CA3B00"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w:t>
      </w:r>
      <w:proofErr w:type="gramStart"/>
      <w:r w:rsidR="00BC407D">
        <w:rPr>
          <w:rFonts w:ascii="Gill Sans MT" w:hAnsi="Gill Sans MT"/>
          <w:sz w:val="24"/>
        </w:rPr>
        <w:t>,</w:t>
      </w:r>
      <w:proofErr w:type="gramEnd"/>
      <w:r w:rsidR="00BC407D">
        <w:rPr>
          <w:rFonts w:ascii="Gill Sans MT" w:hAnsi="Gill Sans MT"/>
          <w:sz w:val="24"/>
        </w:rPr>
        <w:t xml:space="preserve">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proofErr w:type="gramStart"/>
      <w:r w:rsidR="000A602F">
        <w:rPr>
          <w:rFonts w:ascii="Gill Sans MT" w:hAnsi="Gill Sans MT"/>
          <w:sz w:val="24"/>
        </w:rPr>
        <w:t>moraine</w:t>
      </w:r>
      <w:proofErr w:type="gramEnd"/>
      <w:r w:rsidR="000A602F">
        <w:rPr>
          <w:rFonts w:ascii="Gill Sans MT" w:hAnsi="Gill Sans MT"/>
          <w:sz w:val="24"/>
        </w:rPr>
        <w:t xml:space="preserv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 xml:space="preserve">While statistically significant spatial clustering is evident for the Arànser and </w:t>
      </w:r>
      <w:proofErr w:type="spellStart"/>
      <w:r w:rsidR="00660451">
        <w:rPr>
          <w:rFonts w:ascii="Gill Sans MT" w:hAnsi="Gill Sans MT"/>
          <w:sz w:val="24"/>
        </w:rPr>
        <w:t>Soum</w:t>
      </w:r>
      <w:proofErr w:type="spellEnd"/>
      <w:r w:rsidR="00660451">
        <w:rPr>
          <w:rFonts w:ascii="Gill Sans MT" w:hAnsi="Gill Sans MT"/>
          <w:sz w:val="24"/>
        </w:rPr>
        <w:t xml:space="preserve"> </w:t>
      </w:r>
      <w:proofErr w:type="spellStart"/>
      <w:r w:rsidR="00660451">
        <w:rPr>
          <w:rFonts w:ascii="Gill Sans MT" w:hAnsi="Gill Sans MT"/>
          <w:sz w:val="24"/>
        </w:rPr>
        <w:t>d’Ech</w:t>
      </w:r>
      <w:proofErr w:type="spellEnd"/>
      <w:r w:rsidR="00660451">
        <w:rPr>
          <w:rFonts w:ascii="Gill Sans MT" w:hAnsi="Gill Sans MT"/>
          <w:sz w:val="24"/>
        </w:rPr>
        <w:t xml:space="preserve">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bookmarkStart w:id="0" w:name="_GoBack"/>
      <w:bookmarkEnd w:id="0"/>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w:t>
      </w:r>
      <w:proofErr w:type="spellStart"/>
      <w:r>
        <w:rPr>
          <w:rFonts w:ascii="Gill Sans MT" w:hAnsi="Gill Sans MT"/>
          <w:sz w:val="24"/>
          <w:szCs w:val="24"/>
        </w:rPr>
        <w:t>Zreda</w:t>
      </w:r>
      <w:proofErr w:type="spellEnd"/>
      <w:r>
        <w:rPr>
          <w:rFonts w:ascii="Gill Sans MT" w:hAnsi="Gill Sans MT"/>
          <w:sz w:val="24"/>
          <w:szCs w:val="24"/>
        </w:rPr>
        <w:t xml:space="preserve">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xml:space="preserve">, as age distributions for matrix-rich moraines are strongly negatively skewed, implying prolonged and continuous boulder exhumation after deposition. The most significant exhumation signal is evident at </w:t>
      </w:r>
      <w:proofErr w:type="spellStart"/>
      <w:r w:rsidRPr="008864DE">
        <w:rPr>
          <w:rFonts w:ascii="Gill Sans MT" w:hAnsi="Gill Sans MT"/>
          <w:sz w:val="24"/>
          <w:szCs w:val="24"/>
        </w:rPr>
        <w:t>Aranser</w:t>
      </w:r>
      <w:proofErr w:type="spellEnd"/>
      <w:r w:rsidRPr="008864DE">
        <w:rPr>
          <w:rFonts w:ascii="Gill Sans MT" w:hAnsi="Gill Sans MT"/>
          <w:sz w:val="24"/>
          <w:szCs w:val="24"/>
        </w:rPr>
        <w:t xml:space="preserve">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w:t>
      </w:r>
      <w:proofErr w:type="spellStart"/>
      <w:r w:rsidRPr="008864DE">
        <w:rPr>
          <w:rFonts w:ascii="Gill Sans MT" w:hAnsi="Gill Sans MT"/>
          <w:sz w:val="24"/>
          <w:szCs w:val="24"/>
        </w:rPr>
        <w:t>Pleta</w:t>
      </w:r>
      <w:proofErr w:type="spellEnd"/>
      <w:r w:rsidRPr="008864DE">
        <w:rPr>
          <w:rFonts w:ascii="Gill Sans MT" w:hAnsi="Gill Sans MT"/>
          <w:sz w:val="24"/>
          <w:szCs w:val="24"/>
        </w:rPr>
        <w:t xml:space="preserve"> </w:t>
      </w:r>
      <w:proofErr w:type="spellStart"/>
      <w:r w:rsidRPr="008864DE">
        <w:rPr>
          <w:rFonts w:ascii="Gill Sans MT" w:hAnsi="Gill Sans MT"/>
          <w:sz w:val="24"/>
          <w:szCs w:val="24"/>
        </w:rPr>
        <w:t>Naua</w:t>
      </w:r>
      <w:proofErr w:type="spellEnd"/>
      <w:r w:rsidRPr="008864DE">
        <w:rPr>
          <w:rFonts w:ascii="Gill Sans MT" w:hAnsi="Gill Sans MT"/>
          <w:sz w:val="24"/>
          <w:szCs w:val="24"/>
        </w:rPr>
        <w:t xml:space="preserve">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w:t>
      </w:r>
      <w:proofErr w:type="spellStart"/>
      <w:r>
        <w:rPr>
          <w:rFonts w:ascii="Gill Sans MT" w:hAnsi="Gill Sans MT"/>
          <w:sz w:val="24"/>
        </w:rPr>
        <w:t>Aranser</w:t>
      </w:r>
      <w:proofErr w:type="spellEnd"/>
      <w:r>
        <w:rPr>
          <w:rFonts w:ascii="Gill Sans MT" w:hAnsi="Gill Sans MT"/>
          <w:sz w:val="24"/>
        </w:rPr>
        <w:t xml:space="preserve">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w:t>
      </w:r>
      <w:proofErr w:type="spellStart"/>
      <w:r>
        <w:rPr>
          <w:rFonts w:ascii="Gill Sans MT" w:hAnsi="Gill Sans MT"/>
          <w:sz w:val="24"/>
        </w:rPr>
        <w:t>universaslly</w:t>
      </w:r>
      <w:proofErr w:type="spellEnd"/>
      <w:r>
        <w:rPr>
          <w:rFonts w:ascii="Gill Sans MT" w:hAnsi="Gill Sans MT"/>
          <w:sz w:val="24"/>
        </w:rPr>
        <w:t xml:space="preserve"> - focus on matrix poor might lead to rock avalanche sampling (climatic signal?) or even rock glaciers which have </w:t>
      </w:r>
      <w:proofErr w:type="spellStart"/>
      <w:r>
        <w:rPr>
          <w:rFonts w:ascii="Gill Sans MT" w:hAnsi="Gill Sans MT"/>
          <w:sz w:val="24"/>
        </w:rPr>
        <w:t>there own</w:t>
      </w:r>
      <w:proofErr w:type="spellEnd"/>
      <w:r>
        <w:rPr>
          <w:rFonts w:ascii="Gill Sans MT" w:hAnsi="Gill Sans MT"/>
          <w:sz w:val="24"/>
        </w:rPr>
        <w:t xml:space="preserve"> issues (Crump, </w:t>
      </w:r>
      <w:proofErr w:type="spellStart"/>
      <w:r>
        <w:rPr>
          <w:rFonts w:ascii="Gill Sans MT" w:hAnsi="Gill Sans MT"/>
          <w:sz w:val="24"/>
        </w:rPr>
        <w:t>Akcar</w:t>
      </w:r>
      <w:proofErr w:type="spellEnd"/>
      <w:r>
        <w:rPr>
          <w:rFonts w:ascii="Gill Sans MT" w:hAnsi="Gill Sans MT"/>
          <w:sz w:val="24"/>
        </w:rPr>
        <w:t xml:space="preserve">). Alternatively, sampling matrix rich landform does not guarantee a mixed results bag, for example see results from </w:t>
      </w:r>
      <w:proofErr w:type="spellStart"/>
      <w:r>
        <w:rPr>
          <w:rFonts w:ascii="Gill Sans MT" w:hAnsi="Gill Sans MT"/>
          <w:sz w:val="24"/>
        </w:rPr>
        <w:t>Licciardi</w:t>
      </w:r>
      <w:proofErr w:type="spellEnd"/>
      <w:r>
        <w:rPr>
          <w:rFonts w:ascii="Gill Sans MT" w:hAnsi="Gill Sans MT"/>
          <w:sz w:val="24"/>
        </w:rPr>
        <w:t xml:space="preserve"> on matrix rich, partially forest, </w:t>
      </w:r>
      <w:proofErr w:type="gramStart"/>
      <w:r>
        <w:rPr>
          <w:rFonts w:ascii="Gill Sans MT" w:hAnsi="Gill Sans MT"/>
          <w:sz w:val="24"/>
        </w:rPr>
        <w:t>laterals</w:t>
      </w:r>
      <w:proofErr w:type="gramEnd"/>
      <w:r>
        <w:rPr>
          <w:rFonts w:ascii="Gill Sans MT" w:hAnsi="Gill Sans MT"/>
          <w:sz w:val="24"/>
        </w:rPr>
        <w:t xml:space="preserve">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Finally, SH testing may be the way forward (</w:t>
      </w:r>
      <w:proofErr w:type="spellStart"/>
      <w:r>
        <w:rPr>
          <w:rFonts w:ascii="Gill Sans MT" w:hAnsi="Gill Sans MT"/>
          <w:sz w:val="24"/>
        </w:rPr>
        <w:t>Tylmann</w:t>
      </w:r>
      <w:proofErr w:type="spellEnd"/>
      <w:r>
        <w:rPr>
          <w:rFonts w:ascii="Gill Sans MT" w:hAnsi="Gill Sans MT"/>
          <w:sz w:val="24"/>
        </w:rPr>
        <w:t xml:space="preserve">), needs exploring further but importantly it’s not a panacea - it will not </w:t>
      </w:r>
      <w:proofErr w:type="spellStart"/>
      <w:r>
        <w:rPr>
          <w:rFonts w:ascii="Gill Sans MT" w:hAnsi="Gill Sans MT"/>
          <w:sz w:val="24"/>
        </w:rPr>
        <w:t>gaurentee</w:t>
      </w:r>
      <w:proofErr w:type="spellEnd"/>
      <w:r>
        <w:rPr>
          <w:rFonts w:ascii="Gill Sans MT" w:hAnsi="Gill Sans MT"/>
          <w:sz w:val="24"/>
        </w:rPr>
        <w:t xml:space="preserv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Pr="005B4198"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w:t>
      </w:r>
      <w:proofErr w:type="spellStart"/>
      <w:r>
        <w:rPr>
          <w:rFonts w:ascii="Gill Sans MT" w:hAnsi="Gill Sans MT"/>
          <w:sz w:val="24"/>
        </w:rPr>
        <w:t>analayse</w:t>
      </w:r>
      <w:proofErr w:type="spellEnd"/>
      <w:r>
        <w:rPr>
          <w:rFonts w:ascii="Gill Sans MT" w:hAnsi="Gill Sans MT"/>
          <w:sz w:val="24"/>
        </w:rPr>
        <w:t xml:space="preserve"> the skew to select a population for dating. We hope that </w:t>
      </w:r>
      <w:proofErr w:type="gramStart"/>
      <w:r>
        <w:rPr>
          <w:rFonts w:ascii="Gill Sans MT" w:hAnsi="Gill Sans MT"/>
          <w:sz w:val="24"/>
        </w:rPr>
        <w:t>this will</w:t>
      </w:r>
      <w:proofErr w:type="gramEnd"/>
      <w:r>
        <w:rPr>
          <w:rFonts w:ascii="Gill Sans MT" w:hAnsi="Gill Sans MT"/>
          <w:sz w:val="24"/>
        </w:rPr>
        <w:t xml:space="preserve"> </w:t>
      </w:r>
      <w:proofErr w:type="spellStart"/>
      <w:r>
        <w:rPr>
          <w:rFonts w:ascii="Gill Sans MT" w:hAnsi="Gill Sans MT"/>
          <w:sz w:val="24"/>
        </w:rPr>
        <w:t>imporove</w:t>
      </w:r>
      <w:proofErr w:type="spellEnd"/>
      <w:r>
        <w:rPr>
          <w:rFonts w:ascii="Gill Sans MT" w:hAnsi="Gill Sans MT"/>
          <w:sz w:val="24"/>
        </w:rPr>
        <w:t xml:space="preserve"> clustering.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proofErr w:type="gramStart"/>
      <w:r>
        <w:rPr>
          <w:rFonts w:ascii="Gill Sans MT" w:hAnsi="Gill Sans MT"/>
          <w:sz w:val="24"/>
        </w:rPr>
        <w:t>care</w:t>
      </w:r>
      <w:proofErr w:type="gramEnd"/>
      <w:r>
        <w:rPr>
          <w:rFonts w:ascii="Gill Sans MT" w:hAnsi="Gill Sans MT"/>
          <w:sz w:val="24"/>
        </w:rPr>
        <w:t xml:space="preserv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8804" w:type="dxa"/>
        <w:tblInd w:w="93" w:type="dxa"/>
        <w:tblLayout w:type="fixed"/>
        <w:tblLook w:val="04A0" w:firstRow="1" w:lastRow="0" w:firstColumn="1" w:lastColumn="0" w:noHBand="0" w:noVBand="1"/>
      </w:tblPr>
      <w:tblGrid>
        <w:gridCol w:w="1858"/>
        <w:gridCol w:w="992"/>
        <w:gridCol w:w="1276"/>
        <w:gridCol w:w="1134"/>
        <w:gridCol w:w="1701"/>
        <w:gridCol w:w="992"/>
        <w:gridCol w:w="851"/>
      </w:tblGrid>
      <w:tr w:rsidR="006E55F6" w:rsidRPr="000276B0" w14:paraId="2C77086C" w14:textId="77777777" w:rsidTr="004E40BF">
        <w:trPr>
          <w:trHeight w:val="301"/>
        </w:trPr>
        <w:tc>
          <w:tcPr>
            <w:tcW w:w="8804" w:type="dxa"/>
            <w:gridSpan w:val="7"/>
            <w:tcBorders>
              <w:left w:val="nil"/>
              <w:bottom w:val="single" w:sz="4" w:space="0" w:color="auto"/>
              <w:right w:val="nil"/>
            </w:tcBorders>
          </w:tcPr>
          <w:p w14:paraId="6C059020" w14:textId="033DD91C" w:rsidR="006E55F6" w:rsidRPr="000276B0" w:rsidRDefault="006E55F6"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1B46BF" w:rsidRPr="000276B0" w14:paraId="77CEB20A" w14:textId="77777777" w:rsidTr="00A67F14">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992" w:type="dxa"/>
            <w:tcBorders>
              <w:top w:val="single" w:sz="4" w:space="0" w:color="auto"/>
              <w:left w:val="nil"/>
              <w:bottom w:val="single" w:sz="4" w:space="0" w:color="auto"/>
              <w:right w:val="nil"/>
            </w:tcBorders>
            <w:vAlign w:val="center"/>
          </w:tcPr>
          <w:p w14:paraId="201CDEF2" w14:textId="2DD8E8D8" w:rsidR="006E55F6" w:rsidRDefault="006E55F6" w:rsidP="006E5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Group</w:t>
            </w:r>
          </w:p>
        </w:tc>
        <w:tc>
          <w:tcPr>
            <w:tcW w:w="1276" w:type="dxa"/>
            <w:tcBorders>
              <w:top w:val="single" w:sz="4" w:space="0" w:color="auto"/>
              <w:left w:val="nil"/>
              <w:bottom w:val="single" w:sz="4" w:space="0" w:color="auto"/>
              <w:right w:val="nil"/>
            </w:tcBorders>
            <w:vAlign w:val="center"/>
          </w:tcPr>
          <w:p w14:paraId="4FA14522" w14:textId="687411EB" w:rsidR="001B46BF" w:rsidRDefault="001B46BF"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roofErr w:type="spellEnd"/>
          </w:p>
        </w:tc>
        <w:tc>
          <w:tcPr>
            <w:tcW w:w="1134" w:type="dxa"/>
            <w:tcBorders>
              <w:top w:val="single" w:sz="4" w:space="0" w:color="auto"/>
              <w:left w:val="nil"/>
              <w:bottom w:val="single" w:sz="4" w:space="0" w:color="auto"/>
              <w:right w:val="nil"/>
            </w:tcBorders>
            <w:vAlign w:val="center"/>
          </w:tcPr>
          <w:p w14:paraId="0EA1B8F7" w14:textId="0D534C42" w:rsidR="001B46BF" w:rsidRDefault="001B46B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Model </w:t>
            </w:r>
            <w:proofErr w:type="spellStart"/>
            <w:r>
              <w:rPr>
                <w:rFonts w:ascii="Gill Sans MT" w:eastAsia="Times New Roman" w:hAnsi="Gill Sans MT" w:cs="Times New Roman"/>
                <w:color w:val="000000"/>
                <w:lang w:eastAsia="en-GB"/>
              </w:rPr>
              <w:t>fit</w:t>
            </w:r>
            <w:r w:rsidRPr="000723A3">
              <w:rPr>
                <w:rFonts w:ascii="Gill Sans MT" w:eastAsia="Times New Roman" w:hAnsi="Gill Sans MT" w:cs="Times New Roman"/>
                <w:color w:val="000000"/>
                <w:vertAlign w:val="superscript"/>
                <w:lang w:eastAsia="en-GB"/>
              </w:rPr>
              <w:t>b</w:t>
            </w:r>
            <w:proofErr w:type="spellEnd"/>
          </w:p>
        </w:tc>
        <w:tc>
          <w:tcPr>
            <w:tcW w:w="1701" w:type="dxa"/>
            <w:tcBorders>
              <w:top w:val="single" w:sz="4" w:space="0" w:color="auto"/>
              <w:left w:val="nil"/>
              <w:bottom w:val="single" w:sz="4" w:space="0" w:color="auto"/>
              <w:right w:val="nil"/>
            </w:tcBorders>
            <w:shd w:val="clear" w:color="auto" w:fill="auto"/>
            <w:noWrap/>
            <w:vAlign w:val="center"/>
            <w:hideMark/>
          </w:tcPr>
          <w:p w14:paraId="0AC02C28" w14:textId="29F68592" w:rsidR="001B46BF" w:rsidRPr="000276B0" w:rsidRDefault="001B46B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Pr>
                <w:rFonts w:ascii="Gill Sans MT" w:eastAsia="Times New Roman" w:hAnsi="Gill Sans MT" w:cs="Times New Roman"/>
                <w:color w:val="000000"/>
                <w:vertAlign w:val="superscript"/>
                <w:lang w:eastAsia="en-GB"/>
              </w:rPr>
              <w:t>c</w:t>
            </w:r>
          </w:p>
        </w:tc>
        <w:tc>
          <w:tcPr>
            <w:tcW w:w="992" w:type="dxa"/>
            <w:tcBorders>
              <w:top w:val="single" w:sz="4" w:space="0" w:color="auto"/>
              <w:left w:val="nil"/>
              <w:bottom w:val="single" w:sz="4" w:space="0" w:color="auto"/>
              <w:right w:val="nil"/>
            </w:tcBorders>
            <w:shd w:val="clear" w:color="auto" w:fill="auto"/>
            <w:noWrap/>
            <w:vAlign w:val="center"/>
            <w:hideMark/>
          </w:tcPr>
          <w:p w14:paraId="096AB940"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Pr>
                <w:rFonts w:ascii="Gill Sans MT" w:eastAsia="Times New Roman" w:hAnsi="Gill Sans MT" w:cs="Times New Roman"/>
                <w:color w:val="000000"/>
                <w:vertAlign w:val="superscript"/>
                <w:lang w:eastAsia="en-GB"/>
              </w:rPr>
              <w:t>d</w:t>
            </w:r>
            <w:proofErr w:type="spellEnd"/>
          </w:p>
        </w:tc>
        <w:tc>
          <w:tcPr>
            <w:tcW w:w="851" w:type="dxa"/>
            <w:tcBorders>
              <w:top w:val="single" w:sz="4" w:space="0" w:color="auto"/>
              <w:left w:val="nil"/>
              <w:bottom w:val="single" w:sz="4" w:space="0" w:color="auto"/>
              <w:right w:val="nil"/>
            </w:tcBorders>
            <w:shd w:val="clear" w:color="auto" w:fill="auto"/>
            <w:noWrap/>
            <w:vAlign w:val="center"/>
            <w:hideMark/>
          </w:tcPr>
          <w:p w14:paraId="5E5180FF"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1B46BF" w:rsidRPr="000276B0" w14:paraId="33D6B694" w14:textId="77777777" w:rsidTr="0065631D">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6210FB"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992" w:type="dxa"/>
            <w:tcBorders>
              <w:top w:val="single" w:sz="4" w:space="0" w:color="auto"/>
              <w:left w:val="nil"/>
              <w:bottom w:val="nil"/>
              <w:right w:val="nil"/>
            </w:tcBorders>
            <w:vAlign w:val="center"/>
          </w:tcPr>
          <w:p w14:paraId="0FED5DAF" w14:textId="7933974F" w:rsidR="008E4971" w:rsidRPr="000276B0" w:rsidRDefault="008E4971" w:rsidP="008E4971">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276" w:type="dxa"/>
            <w:tcBorders>
              <w:top w:val="single" w:sz="4" w:space="0" w:color="auto"/>
              <w:left w:val="nil"/>
              <w:bottom w:val="nil"/>
              <w:right w:val="nil"/>
            </w:tcBorders>
            <w:vAlign w:val="center"/>
          </w:tcPr>
          <w:p w14:paraId="2ED83526" w14:textId="47E0458E"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0.3731</w:t>
            </w:r>
          </w:p>
        </w:tc>
        <w:tc>
          <w:tcPr>
            <w:tcW w:w="1134" w:type="dxa"/>
            <w:tcBorders>
              <w:top w:val="single" w:sz="4" w:space="0" w:color="auto"/>
              <w:left w:val="nil"/>
              <w:bottom w:val="nil"/>
              <w:right w:val="nil"/>
            </w:tcBorders>
            <w:vAlign w:val="center"/>
          </w:tcPr>
          <w:p w14:paraId="202FB8D3" w14:textId="78E61C4A"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0.9985</w:t>
            </w:r>
          </w:p>
        </w:tc>
        <w:tc>
          <w:tcPr>
            <w:tcW w:w="1701" w:type="dxa"/>
            <w:tcBorders>
              <w:top w:val="single" w:sz="4" w:space="0" w:color="auto"/>
              <w:left w:val="nil"/>
              <w:bottom w:val="nil"/>
              <w:right w:val="nil"/>
            </w:tcBorders>
            <w:shd w:val="clear" w:color="auto" w:fill="auto"/>
            <w:noWrap/>
            <w:vAlign w:val="center"/>
            <w:hideMark/>
          </w:tcPr>
          <w:p w14:paraId="59926409" w14:textId="10C109CA"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3.24 ± 0.68</w:t>
            </w:r>
            <w:r w:rsidRPr="003D0973">
              <w:rPr>
                <w:rFonts w:ascii="Gill Sans MT" w:eastAsia="Times New Roman" w:hAnsi="Gill Sans MT" w:cs="Times New Roman"/>
                <w:color w:val="000000"/>
                <w:vertAlign w:val="superscript"/>
                <w:lang w:eastAsia="en-GB"/>
              </w:rPr>
              <w:t>e</w:t>
            </w:r>
          </w:p>
        </w:tc>
        <w:tc>
          <w:tcPr>
            <w:tcW w:w="992" w:type="dxa"/>
            <w:tcBorders>
              <w:top w:val="single" w:sz="4" w:space="0" w:color="auto"/>
              <w:left w:val="nil"/>
              <w:bottom w:val="nil"/>
              <w:right w:val="nil"/>
            </w:tcBorders>
            <w:shd w:val="clear" w:color="auto" w:fill="auto"/>
            <w:noWrap/>
            <w:vAlign w:val="center"/>
            <w:hideMark/>
          </w:tcPr>
          <w:p w14:paraId="6014895B"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51" w:type="dxa"/>
            <w:tcBorders>
              <w:top w:val="single" w:sz="4" w:space="0" w:color="auto"/>
              <w:left w:val="nil"/>
              <w:bottom w:val="nil"/>
              <w:right w:val="nil"/>
            </w:tcBorders>
            <w:shd w:val="clear" w:color="auto" w:fill="auto"/>
            <w:noWrap/>
            <w:vAlign w:val="center"/>
            <w:hideMark/>
          </w:tcPr>
          <w:p w14:paraId="0EE64AF8"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1B46BF" w:rsidRPr="000276B0" w14:paraId="15F2B782" w14:textId="77777777" w:rsidTr="0065631D">
        <w:trPr>
          <w:trHeight w:val="360"/>
        </w:trPr>
        <w:tc>
          <w:tcPr>
            <w:tcW w:w="1858" w:type="dxa"/>
            <w:tcBorders>
              <w:top w:val="nil"/>
              <w:left w:val="nil"/>
              <w:bottom w:val="nil"/>
              <w:right w:val="nil"/>
            </w:tcBorders>
            <w:shd w:val="clear" w:color="auto" w:fill="auto"/>
            <w:noWrap/>
            <w:vAlign w:val="center"/>
            <w:hideMark/>
          </w:tcPr>
          <w:p w14:paraId="4F27253B" w14:textId="2B6B5128"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992" w:type="dxa"/>
            <w:tcBorders>
              <w:top w:val="nil"/>
              <w:left w:val="nil"/>
              <w:bottom w:val="nil"/>
              <w:right w:val="nil"/>
            </w:tcBorders>
            <w:vAlign w:val="center"/>
          </w:tcPr>
          <w:p w14:paraId="2BCC1DA1" w14:textId="2979EE73" w:rsidR="001B46BF" w:rsidRPr="000276B0" w:rsidRDefault="008E4971"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276" w:type="dxa"/>
            <w:tcBorders>
              <w:top w:val="nil"/>
              <w:left w:val="nil"/>
              <w:bottom w:val="nil"/>
              <w:right w:val="nil"/>
            </w:tcBorders>
            <w:vAlign w:val="center"/>
          </w:tcPr>
          <w:p w14:paraId="236C675B" w14:textId="01D9229F"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0.1289</w:t>
            </w:r>
          </w:p>
        </w:tc>
        <w:tc>
          <w:tcPr>
            <w:tcW w:w="1134" w:type="dxa"/>
            <w:tcBorders>
              <w:top w:val="nil"/>
              <w:left w:val="nil"/>
              <w:bottom w:val="nil"/>
              <w:right w:val="nil"/>
            </w:tcBorders>
            <w:vAlign w:val="center"/>
          </w:tcPr>
          <w:p w14:paraId="5099711E" w14:textId="377BCCCB"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0.9972</w:t>
            </w:r>
          </w:p>
        </w:tc>
        <w:tc>
          <w:tcPr>
            <w:tcW w:w="1701" w:type="dxa"/>
            <w:tcBorders>
              <w:top w:val="nil"/>
              <w:left w:val="nil"/>
              <w:bottom w:val="nil"/>
              <w:right w:val="nil"/>
            </w:tcBorders>
            <w:shd w:val="clear" w:color="auto" w:fill="auto"/>
            <w:noWrap/>
            <w:vAlign w:val="center"/>
            <w:hideMark/>
          </w:tcPr>
          <w:p w14:paraId="67272A65" w14:textId="13294F29"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12.40 ± 0.32</w:t>
            </w:r>
            <w:r w:rsidRPr="003D0973">
              <w:rPr>
                <w:rFonts w:ascii="Gill Sans MT" w:eastAsia="Times New Roman" w:hAnsi="Gill Sans MT" w:cs="Times New Roman"/>
                <w:color w:val="000000"/>
                <w:vertAlign w:val="superscript"/>
                <w:lang w:eastAsia="en-GB"/>
              </w:rPr>
              <w:t>e</w:t>
            </w:r>
          </w:p>
        </w:tc>
        <w:tc>
          <w:tcPr>
            <w:tcW w:w="992" w:type="dxa"/>
            <w:tcBorders>
              <w:top w:val="nil"/>
              <w:left w:val="nil"/>
              <w:bottom w:val="nil"/>
              <w:right w:val="nil"/>
            </w:tcBorders>
            <w:shd w:val="clear" w:color="auto" w:fill="auto"/>
            <w:noWrap/>
            <w:vAlign w:val="center"/>
            <w:hideMark/>
          </w:tcPr>
          <w:p w14:paraId="64924AF7" w14:textId="49D76B54"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 ka</w:t>
            </w:r>
          </w:p>
        </w:tc>
        <w:tc>
          <w:tcPr>
            <w:tcW w:w="851" w:type="dxa"/>
            <w:tcBorders>
              <w:top w:val="nil"/>
              <w:left w:val="nil"/>
              <w:bottom w:val="nil"/>
              <w:right w:val="nil"/>
            </w:tcBorders>
            <w:shd w:val="clear" w:color="auto" w:fill="auto"/>
            <w:noWrap/>
            <w:vAlign w:val="center"/>
            <w:hideMark/>
          </w:tcPr>
          <w:p w14:paraId="5B52E39C" w14:textId="08B08463"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-0.24</w:t>
            </w:r>
          </w:p>
        </w:tc>
      </w:tr>
      <w:tr w:rsidR="001B46BF" w:rsidRPr="000276B0" w14:paraId="32089F82" w14:textId="77777777" w:rsidTr="0065631D">
        <w:trPr>
          <w:trHeight w:val="360"/>
        </w:trPr>
        <w:tc>
          <w:tcPr>
            <w:tcW w:w="1858" w:type="dxa"/>
            <w:vMerge w:val="restart"/>
            <w:tcBorders>
              <w:top w:val="nil"/>
              <w:left w:val="nil"/>
              <w:right w:val="nil"/>
            </w:tcBorders>
            <w:shd w:val="clear" w:color="auto" w:fill="auto"/>
            <w:noWrap/>
            <w:vAlign w:val="center"/>
            <w:hideMark/>
          </w:tcPr>
          <w:p w14:paraId="1B76B5EB" w14:textId="4ABFE135"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p>
        </w:tc>
        <w:tc>
          <w:tcPr>
            <w:tcW w:w="992" w:type="dxa"/>
            <w:tcBorders>
              <w:top w:val="nil"/>
              <w:left w:val="nil"/>
              <w:bottom w:val="nil"/>
              <w:right w:val="nil"/>
            </w:tcBorders>
            <w:vAlign w:val="center"/>
          </w:tcPr>
          <w:p w14:paraId="342DBAFC" w14:textId="4C0A9409"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Left</w:t>
            </w:r>
          </w:p>
        </w:tc>
        <w:tc>
          <w:tcPr>
            <w:tcW w:w="1276" w:type="dxa"/>
            <w:tcBorders>
              <w:top w:val="nil"/>
              <w:left w:val="nil"/>
              <w:bottom w:val="nil"/>
              <w:right w:val="nil"/>
            </w:tcBorders>
            <w:vAlign w:val="center"/>
          </w:tcPr>
          <w:p w14:paraId="1210C33B" w14:textId="7FE15686" w:rsidR="001B46BF" w:rsidRDefault="001B46BF" w:rsidP="0065631D">
            <w:pPr>
              <w:spacing w:after="0" w:line="240" w:lineRule="auto"/>
              <w:jc w:val="center"/>
              <w:rPr>
                <w:rFonts w:ascii="Gill Sans MT" w:eastAsia="Times New Roman" w:hAnsi="Gill Sans MT" w:cs="Times New Roman"/>
                <w:color w:val="000000"/>
                <w:lang w:eastAsia="en-GB"/>
              </w:rPr>
            </w:pPr>
            <w:r w:rsidRPr="006B3DF1">
              <w:rPr>
                <w:rFonts w:ascii="Gill Sans MT" w:eastAsia="Times New Roman" w:hAnsi="Gill Sans MT" w:cs="Times New Roman"/>
                <w:lang w:eastAsia="en-GB"/>
              </w:rPr>
              <w:t>0.7003</w:t>
            </w:r>
          </w:p>
        </w:tc>
        <w:tc>
          <w:tcPr>
            <w:tcW w:w="1134" w:type="dxa"/>
            <w:tcBorders>
              <w:top w:val="nil"/>
              <w:left w:val="nil"/>
              <w:bottom w:val="nil"/>
              <w:right w:val="nil"/>
            </w:tcBorders>
            <w:vAlign w:val="center"/>
          </w:tcPr>
          <w:p w14:paraId="596B1B61" w14:textId="04674B80" w:rsidR="001B46BF" w:rsidRDefault="001B46BF" w:rsidP="0065631D">
            <w:pPr>
              <w:spacing w:after="0" w:line="240" w:lineRule="auto"/>
              <w:jc w:val="center"/>
              <w:rPr>
                <w:rFonts w:ascii="Gill Sans MT" w:eastAsia="Times New Roman" w:hAnsi="Gill Sans MT" w:cs="Times New Roman"/>
                <w:color w:val="000000"/>
                <w:lang w:eastAsia="en-GB"/>
              </w:rPr>
            </w:pPr>
            <w:r w:rsidRPr="006B3DF1">
              <w:rPr>
                <w:rFonts w:ascii="Gill Sans MT" w:eastAsia="Times New Roman" w:hAnsi="Gill Sans MT" w:cs="Times New Roman"/>
                <w:lang w:eastAsia="en-GB"/>
              </w:rPr>
              <w:t>0.9978</w:t>
            </w:r>
          </w:p>
        </w:tc>
        <w:tc>
          <w:tcPr>
            <w:tcW w:w="1701" w:type="dxa"/>
            <w:tcBorders>
              <w:top w:val="nil"/>
              <w:left w:val="nil"/>
              <w:bottom w:val="nil"/>
              <w:right w:val="nil"/>
            </w:tcBorders>
            <w:shd w:val="clear" w:color="auto" w:fill="auto"/>
            <w:noWrap/>
            <w:vAlign w:val="center"/>
            <w:hideMark/>
          </w:tcPr>
          <w:p w14:paraId="736567CB" w14:textId="3A2F8154" w:rsidR="001B46BF" w:rsidRPr="001B46BF" w:rsidRDefault="001B46BF" w:rsidP="0065631D">
            <w:pPr>
              <w:spacing w:after="0" w:line="240" w:lineRule="auto"/>
              <w:jc w:val="center"/>
              <w:rPr>
                <w:rFonts w:ascii="Gill Sans MT" w:eastAsia="Times New Roman" w:hAnsi="Gill Sans MT" w:cs="Times New Roman"/>
                <w:color w:val="000000"/>
                <w:lang w:eastAsia="en-GB"/>
              </w:rPr>
            </w:pPr>
            <w:r w:rsidRPr="001B46BF">
              <w:rPr>
                <w:rFonts w:ascii="Gill Sans MT" w:eastAsia="Times New Roman" w:hAnsi="Gill Sans MT" w:cs="Times New Roman"/>
                <w:color w:val="000000"/>
                <w:lang w:eastAsia="en-GB"/>
              </w:rPr>
              <w:t>23.29 ± 1.12</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hideMark/>
          </w:tcPr>
          <w:p w14:paraId="144BDA66" w14:textId="07643E76"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ka</w:t>
            </w:r>
          </w:p>
        </w:tc>
        <w:tc>
          <w:tcPr>
            <w:tcW w:w="851" w:type="dxa"/>
            <w:tcBorders>
              <w:top w:val="nil"/>
              <w:left w:val="nil"/>
              <w:bottom w:val="nil"/>
              <w:right w:val="nil"/>
            </w:tcBorders>
            <w:shd w:val="clear" w:color="auto" w:fill="auto"/>
            <w:noWrap/>
            <w:vAlign w:val="center"/>
            <w:hideMark/>
          </w:tcPr>
          <w:p w14:paraId="3D063413"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1B46BF" w:rsidRPr="000276B0" w14:paraId="01317E9A" w14:textId="77777777" w:rsidTr="0065631D">
        <w:trPr>
          <w:trHeight w:val="360"/>
        </w:trPr>
        <w:tc>
          <w:tcPr>
            <w:tcW w:w="1858" w:type="dxa"/>
            <w:vMerge/>
            <w:tcBorders>
              <w:left w:val="nil"/>
              <w:bottom w:val="nil"/>
              <w:right w:val="nil"/>
            </w:tcBorders>
            <w:shd w:val="clear" w:color="auto" w:fill="auto"/>
            <w:noWrap/>
            <w:vAlign w:val="center"/>
          </w:tcPr>
          <w:p w14:paraId="38839FA2" w14:textId="77777777" w:rsidR="001B46BF" w:rsidRPr="00BD16A7"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2C8FE8A3" w14:textId="7CFB80B5"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Right</w:t>
            </w:r>
          </w:p>
        </w:tc>
        <w:tc>
          <w:tcPr>
            <w:tcW w:w="1276" w:type="dxa"/>
            <w:tcBorders>
              <w:top w:val="nil"/>
              <w:left w:val="nil"/>
              <w:bottom w:val="nil"/>
              <w:right w:val="nil"/>
            </w:tcBorders>
            <w:vAlign w:val="center"/>
          </w:tcPr>
          <w:p w14:paraId="27DC8670" w14:textId="714E6D53"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0.6796</w:t>
            </w:r>
          </w:p>
        </w:tc>
        <w:tc>
          <w:tcPr>
            <w:tcW w:w="1134" w:type="dxa"/>
            <w:tcBorders>
              <w:top w:val="nil"/>
              <w:left w:val="nil"/>
              <w:bottom w:val="nil"/>
              <w:right w:val="nil"/>
            </w:tcBorders>
            <w:vAlign w:val="center"/>
          </w:tcPr>
          <w:p w14:paraId="521E4CA1" w14:textId="09EBA1DE"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0.9991</w:t>
            </w:r>
          </w:p>
        </w:tc>
        <w:tc>
          <w:tcPr>
            <w:tcW w:w="1701" w:type="dxa"/>
            <w:tcBorders>
              <w:top w:val="nil"/>
              <w:left w:val="nil"/>
              <w:bottom w:val="nil"/>
              <w:right w:val="nil"/>
            </w:tcBorders>
            <w:shd w:val="clear" w:color="auto" w:fill="auto"/>
            <w:noWrap/>
            <w:vAlign w:val="center"/>
          </w:tcPr>
          <w:p w14:paraId="6F6EA370" w14:textId="7F9952BE" w:rsidR="001B46BF" w:rsidRPr="001B46BF" w:rsidRDefault="001B46BF" w:rsidP="0065631D">
            <w:pPr>
              <w:spacing w:after="0" w:line="240" w:lineRule="auto"/>
              <w:jc w:val="center"/>
              <w:rPr>
                <w:rFonts w:ascii="Gill Sans MT" w:eastAsia="Times New Roman" w:hAnsi="Gill Sans MT" w:cs="Times New Roman"/>
                <w:color w:val="000000"/>
                <w:lang w:eastAsia="en-GB"/>
              </w:rPr>
            </w:pPr>
            <w:r w:rsidRPr="001B46BF">
              <w:rPr>
                <w:rFonts w:ascii="Gill Sans MT" w:eastAsia="Times New Roman" w:hAnsi="Gill Sans MT" w:cs="Times New Roman"/>
                <w:color w:val="000000"/>
                <w:lang w:eastAsia="en-GB"/>
              </w:rPr>
              <w:t>22.30 ± 0.91</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tcPr>
          <w:p w14:paraId="0280EF8F" w14:textId="0C2D8E02"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6.9 ka</w:t>
            </w:r>
          </w:p>
        </w:tc>
        <w:tc>
          <w:tcPr>
            <w:tcW w:w="851" w:type="dxa"/>
            <w:tcBorders>
              <w:top w:val="nil"/>
              <w:left w:val="nil"/>
              <w:bottom w:val="nil"/>
              <w:right w:val="nil"/>
            </w:tcBorders>
            <w:shd w:val="clear" w:color="auto" w:fill="auto"/>
            <w:noWrap/>
            <w:vAlign w:val="center"/>
          </w:tcPr>
          <w:p w14:paraId="2772FBC5" w14:textId="03B254AD"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-1.13</w:t>
            </w:r>
          </w:p>
        </w:tc>
      </w:tr>
      <w:tr w:rsidR="001B46BF" w:rsidRPr="000276B0" w14:paraId="70D2DC80" w14:textId="77777777" w:rsidTr="0065631D">
        <w:trPr>
          <w:trHeight w:val="360"/>
        </w:trPr>
        <w:tc>
          <w:tcPr>
            <w:tcW w:w="1858" w:type="dxa"/>
            <w:vMerge w:val="restart"/>
            <w:tcBorders>
              <w:top w:val="nil"/>
              <w:left w:val="nil"/>
              <w:right w:val="nil"/>
            </w:tcBorders>
            <w:shd w:val="clear" w:color="auto" w:fill="auto"/>
            <w:noWrap/>
            <w:vAlign w:val="center"/>
            <w:hideMark/>
          </w:tcPr>
          <w:p w14:paraId="733B9A46"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992" w:type="dxa"/>
            <w:tcBorders>
              <w:top w:val="nil"/>
              <w:left w:val="nil"/>
              <w:bottom w:val="nil"/>
              <w:right w:val="nil"/>
            </w:tcBorders>
            <w:vAlign w:val="center"/>
          </w:tcPr>
          <w:p w14:paraId="509A7626" w14:textId="025A7818"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Outer</w:t>
            </w:r>
          </w:p>
        </w:tc>
        <w:tc>
          <w:tcPr>
            <w:tcW w:w="1276" w:type="dxa"/>
            <w:tcBorders>
              <w:top w:val="nil"/>
              <w:left w:val="nil"/>
              <w:bottom w:val="nil"/>
              <w:right w:val="nil"/>
            </w:tcBorders>
            <w:vAlign w:val="center"/>
          </w:tcPr>
          <w:p w14:paraId="70DE3BC9" w14:textId="0FAC1388"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0.5211</w:t>
            </w:r>
          </w:p>
        </w:tc>
        <w:tc>
          <w:tcPr>
            <w:tcW w:w="1134" w:type="dxa"/>
            <w:tcBorders>
              <w:top w:val="nil"/>
              <w:left w:val="nil"/>
              <w:bottom w:val="nil"/>
              <w:right w:val="nil"/>
            </w:tcBorders>
            <w:vAlign w:val="center"/>
          </w:tcPr>
          <w:p w14:paraId="50B38045" w14:textId="57760C37"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0.9971</w:t>
            </w:r>
          </w:p>
        </w:tc>
        <w:tc>
          <w:tcPr>
            <w:tcW w:w="1701" w:type="dxa"/>
            <w:tcBorders>
              <w:top w:val="nil"/>
              <w:left w:val="nil"/>
              <w:bottom w:val="nil"/>
              <w:right w:val="nil"/>
            </w:tcBorders>
            <w:shd w:val="clear" w:color="auto" w:fill="auto"/>
            <w:noWrap/>
            <w:vAlign w:val="center"/>
            <w:hideMark/>
          </w:tcPr>
          <w:p w14:paraId="49DD3B68" w14:textId="135F82BA" w:rsidR="001B46BF" w:rsidRPr="00E073A0"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25.9</w:t>
            </w:r>
            <w:r w:rsidR="008A554C">
              <w:rPr>
                <w:rFonts w:ascii="Gill Sans MT" w:eastAsia="Times New Roman" w:hAnsi="Gill Sans MT" w:cs="Times New Roman"/>
                <w:color w:val="000000"/>
                <w:lang w:eastAsia="en-GB"/>
              </w:rPr>
              <w:t>4</w:t>
            </w:r>
            <w:r>
              <w:rPr>
                <w:rFonts w:ascii="Gill Sans MT" w:eastAsia="Times New Roman" w:hAnsi="Gill Sans MT" w:cs="Times New Roman"/>
                <w:color w:val="000000"/>
                <w:lang w:eastAsia="en-GB"/>
              </w:rPr>
              <w:t xml:space="preserve"> ± 1.0</w:t>
            </w:r>
            <w:r w:rsidR="008A554C">
              <w:rPr>
                <w:rFonts w:ascii="Gill Sans MT" w:eastAsia="Times New Roman" w:hAnsi="Gill Sans MT" w:cs="Times New Roman"/>
                <w:color w:val="000000"/>
                <w:lang w:eastAsia="en-GB"/>
              </w:rPr>
              <w:t>0</w:t>
            </w:r>
            <w:r w:rsidR="002475EA"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hideMark/>
          </w:tcPr>
          <w:p w14:paraId="473CD10F" w14:textId="1B2E29B7"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3.5 ka</w:t>
            </w:r>
          </w:p>
        </w:tc>
        <w:tc>
          <w:tcPr>
            <w:tcW w:w="851" w:type="dxa"/>
            <w:tcBorders>
              <w:top w:val="nil"/>
              <w:left w:val="nil"/>
              <w:bottom w:val="nil"/>
              <w:right w:val="nil"/>
            </w:tcBorders>
            <w:shd w:val="clear" w:color="auto" w:fill="auto"/>
            <w:noWrap/>
            <w:vAlign w:val="center"/>
            <w:hideMark/>
          </w:tcPr>
          <w:p w14:paraId="032D02D8" w14:textId="550321A7"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-1.49</w:t>
            </w:r>
          </w:p>
        </w:tc>
      </w:tr>
      <w:tr w:rsidR="001B46BF" w:rsidRPr="000276B0" w14:paraId="0DBC67AC" w14:textId="77777777" w:rsidTr="0065631D">
        <w:trPr>
          <w:trHeight w:val="360"/>
        </w:trPr>
        <w:tc>
          <w:tcPr>
            <w:tcW w:w="1858" w:type="dxa"/>
            <w:vMerge/>
            <w:tcBorders>
              <w:left w:val="nil"/>
              <w:right w:val="nil"/>
            </w:tcBorders>
            <w:shd w:val="clear" w:color="auto" w:fill="auto"/>
            <w:noWrap/>
            <w:vAlign w:val="center"/>
          </w:tcPr>
          <w:p w14:paraId="46198342" w14:textId="3F892407" w:rsidR="001B46BF"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5BCD5CAF" w14:textId="042DA345"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Inner</w:t>
            </w:r>
          </w:p>
        </w:tc>
        <w:tc>
          <w:tcPr>
            <w:tcW w:w="1276" w:type="dxa"/>
            <w:tcBorders>
              <w:top w:val="nil"/>
              <w:left w:val="nil"/>
              <w:bottom w:val="nil"/>
              <w:right w:val="nil"/>
            </w:tcBorders>
            <w:vAlign w:val="center"/>
          </w:tcPr>
          <w:p w14:paraId="12A1D245" w14:textId="7D05B621"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0.4620</w:t>
            </w:r>
          </w:p>
        </w:tc>
        <w:tc>
          <w:tcPr>
            <w:tcW w:w="1134" w:type="dxa"/>
            <w:tcBorders>
              <w:top w:val="nil"/>
              <w:left w:val="nil"/>
              <w:bottom w:val="nil"/>
              <w:right w:val="nil"/>
            </w:tcBorders>
            <w:vAlign w:val="center"/>
          </w:tcPr>
          <w:p w14:paraId="70697A04" w14:textId="5F290A58"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0.9978</w:t>
            </w:r>
          </w:p>
        </w:tc>
        <w:tc>
          <w:tcPr>
            <w:tcW w:w="1701" w:type="dxa"/>
            <w:tcBorders>
              <w:top w:val="nil"/>
              <w:left w:val="nil"/>
              <w:bottom w:val="nil"/>
              <w:right w:val="nil"/>
            </w:tcBorders>
            <w:shd w:val="clear" w:color="auto" w:fill="auto"/>
            <w:noWrap/>
            <w:vAlign w:val="center"/>
          </w:tcPr>
          <w:p w14:paraId="197AE07E" w14:textId="6FBA9788" w:rsidR="001B46BF" w:rsidRPr="001B46BF" w:rsidRDefault="002475EA"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26.2</w:t>
            </w:r>
            <w:r w:rsidR="00A67F14">
              <w:rPr>
                <w:rFonts w:ascii="Gill Sans MT" w:eastAsia="Times New Roman" w:hAnsi="Gill Sans MT" w:cs="Times New Roman"/>
                <w:color w:val="000000"/>
                <w:lang w:eastAsia="en-GB"/>
              </w:rPr>
              <w:t>3</w:t>
            </w:r>
            <w:r>
              <w:rPr>
                <w:rFonts w:ascii="Gill Sans MT" w:eastAsia="Times New Roman" w:hAnsi="Gill Sans MT" w:cs="Times New Roman"/>
                <w:color w:val="000000"/>
                <w:lang w:eastAsia="en-GB"/>
              </w:rPr>
              <w:t xml:space="preserve"> ± 0.8</w:t>
            </w:r>
            <w:r w:rsidR="00A67F14">
              <w:rPr>
                <w:rFonts w:ascii="Gill Sans MT" w:eastAsia="Times New Roman" w:hAnsi="Gill Sans MT" w:cs="Times New Roman"/>
                <w:color w:val="000000"/>
                <w:lang w:eastAsia="en-GB"/>
              </w:rPr>
              <w:t>1</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tcPr>
          <w:p w14:paraId="1A0310FA" w14:textId="742EEB24"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3.5 ka</w:t>
            </w:r>
          </w:p>
        </w:tc>
        <w:tc>
          <w:tcPr>
            <w:tcW w:w="851" w:type="dxa"/>
            <w:tcBorders>
              <w:top w:val="nil"/>
              <w:left w:val="nil"/>
              <w:bottom w:val="nil"/>
              <w:right w:val="nil"/>
            </w:tcBorders>
            <w:shd w:val="clear" w:color="auto" w:fill="auto"/>
            <w:noWrap/>
            <w:vAlign w:val="center"/>
          </w:tcPr>
          <w:p w14:paraId="02AEFA13" w14:textId="46FFBE5C" w:rsidR="001B46BF"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-1.05</w:t>
            </w:r>
          </w:p>
        </w:tc>
      </w:tr>
      <w:tr w:rsidR="001B46BF" w:rsidRPr="000276B0" w14:paraId="5ABCE707" w14:textId="77777777" w:rsidTr="0065631D">
        <w:trPr>
          <w:trHeight w:val="360"/>
        </w:trPr>
        <w:tc>
          <w:tcPr>
            <w:tcW w:w="1858" w:type="dxa"/>
            <w:vMerge/>
            <w:tcBorders>
              <w:left w:val="nil"/>
              <w:bottom w:val="nil"/>
              <w:right w:val="nil"/>
            </w:tcBorders>
            <w:shd w:val="clear" w:color="auto" w:fill="auto"/>
            <w:noWrap/>
            <w:vAlign w:val="center"/>
          </w:tcPr>
          <w:p w14:paraId="37C49054" w14:textId="77777777" w:rsidR="001B46BF"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0AE1B3B2" w14:textId="71A09D6A"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Combined</w:t>
            </w:r>
          </w:p>
        </w:tc>
        <w:tc>
          <w:tcPr>
            <w:tcW w:w="1276" w:type="dxa"/>
            <w:tcBorders>
              <w:top w:val="nil"/>
              <w:left w:val="nil"/>
              <w:bottom w:val="nil"/>
              <w:right w:val="nil"/>
            </w:tcBorders>
            <w:vAlign w:val="center"/>
          </w:tcPr>
          <w:p w14:paraId="0FB76A97" w14:textId="54B74C4D" w:rsidR="001B46BF" w:rsidRDefault="000C35B9"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134" w:type="dxa"/>
            <w:tcBorders>
              <w:top w:val="nil"/>
              <w:left w:val="nil"/>
              <w:bottom w:val="nil"/>
              <w:right w:val="nil"/>
            </w:tcBorders>
            <w:vAlign w:val="center"/>
          </w:tcPr>
          <w:p w14:paraId="0A80DBCE" w14:textId="24D8BCB6" w:rsidR="000C35B9" w:rsidRDefault="000C35B9" w:rsidP="000C35B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701" w:type="dxa"/>
            <w:tcBorders>
              <w:top w:val="nil"/>
              <w:left w:val="nil"/>
              <w:bottom w:val="nil"/>
              <w:right w:val="nil"/>
            </w:tcBorders>
            <w:shd w:val="clear" w:color="auto" w:fill="auto"/>
            <w:noWrap/>
            <w:vAlign w:val="center"/>
          </w:tcPr>
          <w:p w14:paraId="0C7D231D" w14:textId="367DF998" w:rsidR="001B46BF" w:rsidRPr="00DD6A0E" w:rsidRDefault="000D11E8"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26.05</w:t>
            </w:r>
            <w:r w:rsidR="00617F58">
              <w:rPr>
                <w:rFonts w:ascii="Gill Sans MT" w:eastAsia="Times New Roman" w:hAnsi="Gill Sans MT" w:cs="Times New Roman"/>
                <w:color w:val="000000"/>
                <w:lang w:eastAsia="en-GB"/>
              </w:rPr>
              <w:t xml:space="preserve"> ± 1.29</w:t>
            </w:r>
            <w:r w:rsidR="002475EA" w:rsidRPr="001B46BF">
              <w:rPr>
                <w:rFonts w:ascii="Gill Sans MT" w:eastAsia="Times New Roman" w:hAnsi="Gill Sans MT" w:cs="Times New Roman"/>
                <w:color w:val="000000"/>
                <w:vertAlign w:val="superscript"/>
                <w:lang w:eastAsia="en-GB"/>
              </w:rPr>
              <w:t>f</w:t>
            </w:r>
            <w:r w:rsidR="005F5999">
              <w:rPr>
                <w:rFonts w:ascii="Gill Sans MT" w:eastAsia="Times New Roman" w:hAnsi="Gill Sans MT" w:cs="Times New Roman"/>
                <w:color w:val="000000"/>
                <w:vertAlign w:val="superscript"/>
                <w:lang w:eastAsia="en-GB"/>
              </w:rPr>
              <w:t>,g</w:t>
            </w:r>
          </w:p>
        </w:tc>
        <w:tc>
          <w:tcPr>
            <w:tcW w:w="992" w:type="dxa"/>
            <w:tcBorders>
              <w:top w:val="nil"/>
              <w:left w:val="nil"/>
              <w:bottom w:val="nil"/>
              <w:right w:val="nil"/>
            </w:tcBorders>
            <w:shd w:val="clear" w:color="auto" w:fill="auto"/>
            <w:noWrap/>
            <w:vAlign w:val="center"/>
          </w:tcPr>
          <w:p w14:paraId="37B8C8A2" w14:textId="6CB843FA"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3.6 ka</w:t>
            </w:r>
          </w:p>
        </w:tc>
        <w:tc>
          <w:tcPr>
            <w:tcW w:w="851" w:type="dxa"/>
            <w:tcBorders>
              <w:top w:val="nil"/>
              <w:left w:val="nil"/>
              <w:bottom w:val="nil"/>
              <w:right w:val="nil"/>
            </w:tcBorders>
            <w:shd w:val="clear" w:color="auto" w:fill="auto"/>
            <w:noWrap/>
            <w:vAlign w:val="center"/>
          </w:tcPr>
          <w:p w14:paraId="46F5B210" w14:textId="256797D5"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-1.49</w:t>
            </w:r>
          </w:p>
        </w:tc>
      </w:tr>
      <w:tr w:rsidR="001B46BF" w:rsidRPr="000276B0" w14:paraId="230D4C7C" w14:textId="77777777" w:rsidTr="006E55F6">
        <w:trPr>
          <w:trHeight w:val="360"/>
        </w:trPr>
        <w:tc>
          <w:tcPr>
            <w:tcW w:w="8804" w:type="dxa"/>
            <w:gridSpan w:val="7"/>
            <w:tcBorders>
              <w:top w:val="nil"/>
              <w:left w:val="nil"/>
              <w:bottom w:val="nil"/>
              <w:right w:val="nil"/>
            </w:tcBorders>
          </w:tcPr>
          <w:p w14:paraId="77A2290A" w14:textId="50665660" w:rsidR="001B46BF" w:rsidRPr="003D0973" w:rsidRDefault="001B46BF" w:rsidP="00B6471E">
            <w:pPr>
              <w:spacing w:after="0" w:line="240" w:lineRule="auto"/>
              <w:rPr>
                <w:rFonts w:ascii="Gill Sans MT" w:eastAsia="Times New Roman" w:hAnsi="Gill Sans MT" w:cs="Times New Roman"/>
                <w:b/>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andwidth used for kernel density estimation</w:t>
            </w:r>
            <w:r>
              <w:rPr>
                <w:rFonts w:ascii="Gill Sans MT" w:eastAsia="Times New Roman" w:hAnsi="Gill Sans MT" w:cs="Times New Roman"/>
                <w:color w:val="000000"/>
                <w:lang w:eastAsia="en-GB"/>
              </w:rPr>
              <w:t xml:space="preserve">, </w:t>
            </w:r>
            <w:r w:rsidRPr="0073572A">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Pr>
                <w:rFonts w:ascii="Gill Sans MT" w:eastAsia="Times New Roman" w:hAnsi="Gill Sans MT" w:cs="Times New Roman"/>
                <w:color w:val="000000"/>
                <w:vertAlign w:val="superscript"/>
                <w:lang w:eastAsia="en-GB"/>
              </w:rPr>
              <w:t xml:space="preserve"> c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highest probability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d</w:t>
            </w:r>
            <w:r>
              <w:rPr>
                <w:rFonts w:ascii="Gill Sans MT" w:eastAsia="Times New Roman" w:hAnsi="Gill Sans MT" w:cs="Times New Roman"/>
                <w:color w:val="000000"/>
                <w:lang w:eastAsia="en-GB"/>
              </w:rPr>
              <w:t xml:space="preserve"> Interquartile range, </w:t>
            </w:r>
            <w:r w:rsidRPr="003D0973">
              <w:rPr>
                <w:rFonts w:ascii="Gill Sans MT" w:eastAsia="Times New Roman" w:hAnsi="Gill Sans MT" w:cs="Times New Roman"/>
                <w:color w:val="000000"/>
                <w:vertAlign w:val="superscript"/>
                <w:lang w:eastAsia="en-GB"/>
              </w:rPr>
              <w:t>e</w:t>
            </w:r>
            <w:r>
              <w:rPr>
                <w:rFonts w:ascii="Gill Sans MT" w:eastAsia="Times New Roman" w:hAnsi="Gill Sans MT" w:cs="Times New Roman"/>
                <w:color w:val="000000"/>
                <w:lang w:eastAsia="en-GB"/>
              </w:rPr>
              <w:t xml:space="preserve"> Calculated using the</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 xml:space="preserve">“STD/IQR” bandwidth estimator (Silverman, 1986; Dortch et al., 2020), </w:t>
            </w:r>
            <w:r w:rsidRPr="003D0973">
              <w:rPr>
                <w:rFonts w:ascii="Gill Sans MT" w:eastAsia="Times New Roman" w:hAnsi="Gill Sans MT" w:cs="Times New Roman"/>
                <w:color w:val="000000"/>
                <w:vertAlign w:val="superscript"/>
                <w:lang w:eastAsia="en-GB"/>
              </w:rPr>
              <w:t>f</w:t>
            </w:r>
            <w:r>
              <w:rPr>
                <w:rFonts w:ascii="Gill Sans MT" w:eastAsia="Times New Roman" w:hAnsi="Gill Sans MT" w:cs="Times New Roman"/>
                <w:color w:val="000000"/>
                <w:lang w:eastAsia="en-GB"/>
              </w:rPr>
              <w:t xml:space="preserve"> Calculated using the “MAD” bandwidth estimator (</w:t>
            </w:r>
            <w:r w:rsidRPr="000039B9">
              <w:rPr>
                <w:rFonts w:ascii="Gill Sans MT" w:eastAsia="Times New Roman" w:hAnsi="Gill Sans MT" w:cs="Times New Roman"/>
                <w:i/>
                <w:color w:val="000000"/>
                <w:lang w:eastAsia="en-GB"/>
              </w:rPr>
              <w:t>see</w:t>
            </w:r>
            <w:r>
              <w:rPr>
                <w:rFonts w:ascii="Gill Sans MT" w:eastAsia="Times New Roman" w:hAnsi="Gill Sans MT" w:cs="Times New Roman"/>
                <w:color w:val="000000"/>
                <w:lang w:eastAsia="en-GB"/>
              </w:rPr>
              <w:t xml:space="preserve"> </w:t>
            </w:r>
            <w:r w:rsidR="005F5999">
              <w:rPr>
                <w:rFonts w:ascii="Gill Sans MT" w:eastAsia="Times New Roman" w:hAnsi="Gill Sans MT" w:cs="Times New Roman"/>
                <w:color w:val="000000"/>
                <w:lang w:eastAsia="en-GB"/>
              </w:rPr>
              <w:t xml:space="preserve">Dortch et al., 2020), </w:t>
            </w:r>
            <w:r w:rsidR="005F5999" w:rsidRPr="005F5999">
              <w:rPr>
                <w:rFonts w:ascii="Gill Sans MT" w:eastAsia="Times New Roman" w:hAnsi="Gill Sans MT" w:cs="Times New Roman"/>
                <w:color w:val="000000"/>
                <w:vertAlign w:val="superscript"/>
                <w:lang w:eastAsia="en-GB"/>
              </w:rPr>
              <w:t>g</w:t>
            </w:r>
            <w:r w:rsidR="005F5999">
              <w:rPr>
                <w:rFonts w:ascii="Gill Sans MT" w:eastAsia="Times New Roman" w:hAnsi="Gill Sans MT" w:cs="Times New Roman"/>
                <w:color w:val="000000"/>
                <w:lang w:eastAsia="en-GB"/>
              </w:rPr>
              <w:t xml:space="preserve"> Weighted mean of </w:t>
            </w:r>
            <w:proofErr w:type="spellStart"/>
            <w:r w:rsidR="005F5999">
              <w:rPr>
                <w:rFonts w:ascii="Gill Sans MT" w:eastAsia="Times New Roman" w:hAnsi="Gill Sans MT" w:cs="Times New Roman"/>
                <w:color w:val="000000"/>
                <w:lang w:eastAsia="en-GB"/>
              </w:rPr>
              <w:t>Soum</w:t>
            </w:r>
            <w:proofErr w:type="spellEnd"/>
            <w:r w:rsidR="005F5999">
              <w:rPr>
                <w:rFonts w:ascii="Gill Sans MT" w:eastAsia="Times New Roman" w:hAnsi="Gill Sans MT" w:cs="Times New Roman"/>
                <w:color w:val="000000"/>
                <w:lang w:eastAsia="en-GB"/>
              </w:rPr>
              <w:t xml:space="preserve"> </w:t>
            </w:r>
            <w:proofErr w:type="spellStart"/>
            <w:r w:rsidR="005F5999">
              <w:rPr>
                <w:rFonts w:ascii="Gill Sans MT" w:eastAsia="Times New Roman" w:hAnsi="Gill Sans MT" w:cs="Times New Roman"/>
                <w:color w:val="000000"/>
                <w:lang w:eastAsia="en-GB"/>
              </w:rPr>
              <w:t>d’Ech</w:t>
            </w:r>
            <w:proofErr w:type="spellEnd"/>
            <w:r w:rsidR="005F5999">
              <w:rPr>
                <w:rFonts w:ascii="Gill Sans MT" w:eastAsia="Times New Roman" w:hAnsi="Gill Sans MT" w:cs="Times New Roman"/>
                <w:color w:val="000000"/>
                <w:lang w:eastAsia="en-GB"/>
              </w:rPr>
              <w:t xml:space="preserve"> outer and inner landform ages, with uncertainties propagated through summation in quadrature. </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Pr="00206566">
              <w:rPr>
                <w:rFonts w:ascii="Gill Sans MT" w:eastAsia="Times New Roman" w:hAnsi="Gill Sans MT" w:cs="Times New Roman"/>
                <w:color w:val="000000"/>
                <w:vertAlign w:val="superscript"/>
                <w:lang w:eastAsia="en-GB"/>
              </w:rPr>
              <w:t>a</w:t>
            </w:r>
            <w:proofErr w:type="spellEnd"/>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77777777" w:rsidR="00265D69" w:rsidRPr="00131515" w:rsidRDefault="00265D69" w:rsidP="00F60518">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 xml:space="preserve"># </w:t>
            </w:r>
            <w:r>
              <w:rPr>
                <w:rFonts w:ascii="Gill Sans MT" w:eastAsia="Times New Roman" w:hAnsi="Gill Sans MT" w:cs="Times New Roman"/>
                <w:iCs/>
                <w:color w:val="000000"/>
                <w:lang w:eastAsia="en-GB"/>
              </w:rPr>
              <w:t>s</w:t>
            </w:r>
            <w:r w:rsidRPr="00131515">
              <w:rPr>
                <w:rFonts w:ascii="Gill Sans MT" w:eastAsia="Times New Roman" w:hAnsi="Gill Sans MT" w:cs="Times New Roman"/>
                <w:iCs/>
                <w:color w:val="000000"/>
                <w:lang w:eastAsia="en-GB"/>
              </w:rPr>
              <w:t>ignificant</w:t>
            </w:r>
            <w:r>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31D64040"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EC49A3">
              <w:rPr>
                <w:rFonts w:ascii="Gill Sans MT" w:eastAsia="Times New Roman" w:hAnsi="Gill Sans MT" w:cs="Times New Roman"/>
                <w:color w:val="000000"/>
                <w:lang w:eastAsia="en-GB"/>
              </w:rPr>
              <w:t xml:space="preserve"> ± </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471B3C7A"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r w:rsidR="00EC49A3">
              <w:rPr>
                <w:rFonts w:ascii="Gill Sans MT" w:eastAsia="Times New Roman" w:hAnsi="Gill Sans MT" w:cs="Times New Roman"/>
                <w:color w:val="000000"/>
                <w:lang w:eastAsia="en-GB"/>
              </w:rPr>
              <w:t xml:space="preserve"> ±</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27DAEF6F"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r w:rsidR="00EC49A3">
              <w:rPr>
                <w:rFonts w:ascii="Gill Sans MT" w:eastAsia="Times New Roman" w:hAnsi="Gill Sans MT" w:cs="Times New Roman"/>
                <w:color w:val="000000"/>
                <w:lang w:eastAsia="en-GB"/>
              </w:rPr>
              <w:t xml:space="preserve"> ±</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5D3E5FDC"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r w:rsidR="00EC49A3">
              <w:rPr>
                <w:rFonts w:ascii="Gill Sans MT" w:eastAsia="Times New Roman" w:hAnsi="Gill Sans MT" w:cs="Times New Roman"/>
                <w:color w:val="000000"/>
                <w:lang w:eastAsia="en-GB"/>
              </w:rPr>
              <w:t xml:space="preserve"> ±</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2D8CF4F2"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r w:rsidR="00EC49A3">
              <w:rPr>
                <w:rFonts w:ascii="Gill Sans MT" w:eastAsia="Times New Roman" w:hAnsi="Gill Sans MT" w:cs="Times New Roman"/>
                <w:color w:val="000000"/>
                <w:lang w:eastAsia="en-GB"/>
              </w:rPr>
              <w:t>±</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BF612D3"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5E210277" w:rsidR="00265D69" w:rsidRPr="00590BA5" w:rsidRDefault="00265D69" w:rsidP="0070724F">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 xml:space="preserve">Derived from </w:t>
            </w:r>
            <w:r w:rsidR="00975CA5">
              <w:rPr>
                <w:rFonts w:ascii="Gill Sans MT" w:eastAsia="Times New Roman" w:hAnsi="Gill Sans MT" w:cs="Times New Roman"/>
                <w:color w:val="000000"/>
                <w:lang w:eastAsia="en-GB"/>
              </w:rPr>
              <w:t xml:space="preserve">a </w:t>
            </w:r>
            <w:r w:rsidR="0070724F">
              <w:rPr>
                <w:rFonts w:ascii="Gill Sans MT" w:eastAsia="Times New Roman" w:hAnsi="Gill Sans MT" w:cs="Times New Roman"/>
                <w:color w:val="000000"/>
                <w:lang w:eastAsia="en-GB"/>
              </w:rPr>
              <w:t>Monte Carlo style approach</w:t>
            </w:r>
            <w:r>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 xml:space="preserve">lowing the </w:t>
      </w:r>
      <w:proofErr w:type="spellStart"/>
      <w:r w:rsidR="00B001B7">
        <w:rPr>
          <w:rFonts w:ascii="Gill Sans MT" w:hAnsi="Gill Sans MT"/>
        </w:rPr>
        <w:t>gLGM</w:t>
      </w:r>
      <w:proofErr w:type="spellEnd"/>
      <w:r w:rsidR="00B001B7">
        <w:rPr>
          <w:rFonts w:ascii="Gill Sans MT" w:hAnsi="Gill Sans MT"/>
        </w:rPr>
        <w:t>,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w:t>
      </w:r>
      <w:proofErr w:type="spellStart"/>
      <w:r w:rsidR="00114EC8">
        <w:rPr>
          <w:rFonts w:ascii="Gill Sans MT" w:hAnsi="Gill Sans MT"/>
          <w:b w:val="0"/>
          <w:color w:val="auto"/>
          <w:sz w:val="22"/>
        </w:rPr>
        <w:t>Soum</w:t>
      </w:r>
      <w:proofErr w:type="spellEnd"/>
      <w:r w:rsidR="00114EC8">
        <w:rPr>
          <w:rFonts w:ascii="Gill Sans MT" w:hAnsi="Gill Sans MT"/>
          <w:b w:val="0"/>
          <w:color w:val="auto"/>
          <w:sz w:val="22"/>
        </w:rPr>
        <w:t xml:space="preserve">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proofErr w:type="spellStart"/>
      <w:r w:rsidR="001857A8" w:rsidRPr="001857A8">
        <w:rPr>
          <w:rFonts w:ascii="Gill Sans MT" w:hAnsi="Gill Sans MT"/>
        </w:rPr>
        <w:t>M</w:t>
      </w:r>
      <w:r w:rsidR="001857A8">
        <w:rPr>
          <w:rFonts w:ascii="Gill Sans MT" w:hAnsi="Gill Sans MT"/>
          <w:vertAlign w:val="subscript"/>
        </w:rPr>
        <w:t>n</w:t>
      </w:r>
      <w:proofErr w:type="spellEnd"/>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and </w:t>
      </w:r>
      <w:proofErr w:type="spellStart"/>
      <w:r w:rsidR="00331749">
        <w:rPr>
          <w:rFonts w:ascii="Gill Sans MT" w:hAnsi="Gill Sans MT"/>
        </w:rPr>
        <w:t>Querol</w:t>
      </w:r>
      <w:proofErr w:type="spellEnd"/>
      <w:r w:rsidR="00331749">
        <w:rPr>
          <w:rFonts w:ascii="Gill Sans MT" w:hAnsi="Gill Sans MT"/>
        </w:rPr>
        <w:t xml:space="preserve">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Tallada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0439BC">
        <w:rPr>
          <w:rFonts w:ascii="Gill Sans MT" w:hAnsi="Gill Sans MT"/>
        </w:rPr>
        <w:t xml:space="preserve">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proofErr w:type="gramStart"/>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proofErr w:type="gramEnd"/>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 xml:space="preserve">Outer </w:t>
      </w:r>
      <w:proofErr w:type="spellStart"/>
      <w:r w:rsidR="00AA0CF4" w:rsidRPr="00656593">
        <w:rPr>
          <w:rFonts w:ascii="Gill Sans MT" w:hAnsi="Gill Sans MT"/>
          <w:strike/>
        </w:rPr>
        <w:t>Pleta</w:t>
      </w:r>
      <w:proofErr w:type="spellEnd"/>
      <w:r w:rsidR="00AA0CF4" w:rsidRPr="00656593">
        <w:rPr>
          <w:rFonts w:ascii="Gill Sans MT" w:hAnsi="Gill Sans MT"/>
          <w:strike/>
        </w:rPr>
        <w:t xml:space="preserve"> </w:t>
      </w:r>
      <w:proofErr w:type="spellStart"/>
      <w:r w:rsidR="00AA0CF4" w:rsidRPr="00656593">
        <w:rPr>
          <w:rFonts w:ascii="Gill Sans MT" w:hAnsi="Gill Sans MT"/>
          <w:strike/>
        </w:rPr>
        <w:t>Naua</w:t>
      </w:r>
      <w:proofErr w:type="spellEnd"/>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2011. </w:t>
      </w:r>
      <w:proofErr w:type="gramStart"/>
      <w:r w:rsidRPr="007A5EAD">
        <w:rPr>
          <w:rFonts w:ascii="Gill Sans MT" w:hAnsi="Gill Sans MT"/>
          <w:sz w:val="20"/>
          <w:lang w:eastAsia="en-GB"/>
        </w:rPr>
        <w:t>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(erratic boulders) and their implications for surface-exposure dating.</w:t>
      </w:r>
      <w:proofErr w:type="gramEnd"/>
      <w:r w:rsidRPr="007A5EAD">
        <w:rPr>
          <w:rFonts w:ascii="Gill Sans MT" w:hAnsi="Gill Sans MT"/>
          <w:sz w:val="20"/>
          <w:lang w:eastAsia="en-GB"/>
        </w:rPr>
        <w:t xml:space="preserve">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w:t>
      </w:r>
      <w:proofErr w:type="gramStart"/>
      <w:r w:rsidRPr="007A5EAD">
        <w:rPr>
          <w:rFonts w:ascii="Gill Sans MT" w:hAnsi="Gill Sans MT"/>
          <w:sz w:val="20"/>
          <w:lang w:eastAsia="en-GB"/>
        </w:rPr>
        <w:t>CATENA, The interpretation and significance of weathering mantels 49, 157–169.</w:t>
      </w:r>
      <w:proofErr w:type="gramEnd"/>
      <w:r w:rsidRPr="007A5EAD">
        <w:rPr>
          <w:rFonts w:ascii="Gill Sans MT" w:hAnsi="Gill Sans MT"/>
          <w:sz w:val="20"/>
          <w:lang w:eastAsia="en-GB"/>
        </w:rPr>
        <w:t xml:space="preserve">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w:t>
      </w:r>
      <w:proofErr w:type="gramStart"/>
      <w:r w:rsidRPr="007A5EAD">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A5EAD">
        <w:rPr>
          <w:rFonts w:ascii="Gill Sans MT" w:hAnsi="Gill Sans MT"/>
          <w:sz w:val="20"/>
          <w:lang w:eastAsia="en-GB"/>
        </w:rPr>
        <w:t xml:space="preserve">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gramStart"/>
      <w:r w:rsidRPr="007A5EAD">
        <w:rPr>
          <w:rFonts w:ascii="Gill Sans MT" w:hAnsi="Gill Sans MT"/>
          <w:sz w:val="20"/>
          <w:lang w:eastAsia="en-GB"/>
        </w:rPr>
        <w:t>Modeling the statistical distributions of cosmogenic exposure dates from moraines.</w:t>
      </w:r>
      <w:proofErr w:type="gramEnd"/>
      <w:r w:rsidRPr="007A5EAD">
        <w:rPr>
          <w:rFonts w:ascii="Gill Sans MT" w:hAnsi="Gill Sans MT"/>
          <w:sz w:val="20"/>
          <w:lang w:eastAsia="en-GB"/>
        </w:rPr>
        <w:t xml:space="preserve">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w:t>
      </w:r>
      <w:proofErr w:type="gramStart"/>
      <w:r w:rsidRPr="007A5EAD">
        <w:rPr>
          <w:rFonts w:ascii="Gill Sans MT" w:hAnsi="Gill Sans MT"/>
          <w:sz w:val="20"/>
          <w:lang w:eastAsia="en-GB"/>
        </w:rPr>
        <w:t>Engineering Geology 81, 1–14.</w:t>
      </w:r>
      <w:proofErr w:type="gramEnd"/>
      <w:r w:rsidRPr="007A5EAD">
        <w:rPr>
          <w:rFonts w:ascii="Gill Sans MT" w:hAnsi="Gill Sans MT"/>
          <w:sz w:val="20"/>
          <w:lang w:eastAsia="en-GB"/>
        </w:rPr>
        <w:t xml:space="preserve">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2006. Converting Al and </w:t>
      </w:r>
      <w:proofErr w:type="gramStart"/>
      <w:r w:rsidRPr="007A5EAD">
        <w:rPr>
          <w:rFonts w:ascii="Gill Sans MT" w:hAnsi="Gill Sans MT"/>
          <w:sz w:val="20"/>
          <w:lang w:eastAsia="en-GB"/>
        </w:rPr>
        <w:t>Be</w:t>
      </w:r>
      <w:proofErr w:type="gramEnd"/>
      <w:r w:rsidRPr="007A5EAD">
        <w:rPr>
          <w:rFonts w:ascii="Gill Sans MT" w:hAnsi="Gill Sans MT"/>
          <w:sz w:val="20"/>
          <w:lang w:eastAsia="en-GB"/>
        </w:rPr>
        <w:t xml:space="preserve"> isotope ratio measurements to nuclide concentrations in quartz. </w:t>
      </w:r>
      <w:proofErr w:type="gramStart"/>
      <w:r w:rsidRPr="007A5EAD">
        <w:rPr>
          <w:rFonts w:ascii="Gill Sans MT" w:hAnsi="Gill Sans MT"/>
          <w:sz w:val="20"/>
          <w:lang w:eastAsia="en-GB"/>
        </w:rPr>
        <w:t>Cosmogenic Nuclide Lab, University of Washington.</w:t>
      </w:r>
      <w:proofErr w:type="gramEnd"/>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w:t>
      </w:r>
      <w:proofErr w:type="gramStart"/>
      <w:r w:rsidRPr="007A5EAD">
        <w:rPr>
          <w:rFonts w:ascii="Gill Sans MT" w:hAnsi="Gill Sans MT"/>
          <w:sz w:val="20"/>
          <w:lang w:eastAsia="en-GB"/>
        </w:rPr>
        <w:t xml:space="preserve">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Al measurements.</w:t>
      </w:r>
      <w:proofErr w:type="gramEnd"/>
      <w:r w:rsidRPr="007A5EAD">
        <w:rPr>
          <w:rFonts w:ascii="Gill Sans MT" w:hAnsi="Gill Sans MT"/>
          <w:sz w:val="20"/>
          <w:lang w:eastAsia="en-GB"/>
        </w:rPr>
        <w:t xml:space="preserve">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Balter</w:t>
      </w:r>
      <w:proofErr w:type="spellEnd"/>
      <w:r w:rsidRPr="007A5EAD">
        <w:rPr>
          <w:rFonts w:ascii="Gill Sans MT" w:hAnsi="Gill Sans MT"/>
          <w:sz w:val="20"/>
          <w:lang w:eastAsia="en-GB"/>
        </w:rPr>
        <w:t>, A., Bromley, G., Balco, G., Thomas, H., Jackson, M.S., 2020.</w:t>
      </w:r>
      <w:proofErr w:type="gramEnd"/>
      <w:r w:rsidRPr="007A5EAD">
        <w:rPr>
          <w:rFonts w:ascii="Gill Sans MT" w:hAnsi="Gill Sans MT"/>
          <w:sz w:val="20"/>
          <w:lang w:eastAsia="en-GB"/>
        </w:rPr>
        <w:t xml:space="preserve">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w:t>
      </w:r>
      <w:proofErr w:type="gramStart"/>
      <w:r w:rsidRPr="007A5EAD">
        <w:rPr>
          <w:rFonts w:ascii="Gill Sans MT" w:hAnsi="Gill Sans MT"/>
          <w:sz w:val="20"/>
          <w:lang w:eastAsia="en-GB"/>
        </w:rPr>
        <w:t>A review of topographic controls on moraine distribution.</w:t>
      </w:r>
      <w:proofErr w:type="gramEnd"/>
      <w:r w:rsidRPr="007A5EAD">
        <w:rPr>
          <w:rFonts w:ascii="Gill Sans MT" w:hAnsi="Gill Sans MT"/>
          <w:sz w:val="20"/>
          <w:lang w:eastAsia="en-GB"/>
        </w:rPr>
        <w:t xml:space="preserve">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xml:space="preserve">, P., 1999. Soils and Geomorphology, 3 </w:t>
      </w:r>
      <w:proofErr w:type="gramStart"/>
      <w:r w:rsidRPr="007A5EAD">
        <w:rPr>
          <w:rFonts w:ascii="Gill Sans MT" w:hAnsi="Gill Sans MT"/>
          <w:sz w:val="20"/>
          <w:lang w:eastAsia="en-GB"/>
        </w:rPr>
        <w:t>edition</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ed</w:t>
      </w:r>
      <w:proofErr w:type="gramEnd"/>
      <w:r w:rsidRPr="007A5EAD">
        <w:rPr>
          <w:rFonts w:ascii="Gill Sans MT" w:hAnsi="Gill Sans MT"/>
          <w:sz w:val="20"/>
          <w:lang w:eastAsia="en-GB"/>
        </w:rPr>
        <w:t>.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w:t>
      </w:r>
      <w:proofErr w:type="gramStart"/>
      <w:r w:rsidRPr="007A5EAD">
        <w:rPr>
          <w:rFonts w:ascii="Gill Sans MT" w:hAnsi="Gill Sans MT"/>
          <w:sz w:val="20"/>
          <w:lang w:eastAsia="en-GB"/>
        </w:rPr>
        <w:t>The Computation and Use of the Asymptotic Covariance Matrix for Measurement Error Models (No.</w:t>
      </w:r>
      <w:proofErr w:type="gramEnd"/>
      <w:r w:rsidRPr="007A5EAD">
        <w:rPr>
          <w:rFonts w:ascii="Gill Sans MT" w:hAnsi="Gill Sans MT"/>
          <w:sz w:val="20"/>
          <w:lang w:eastAsia="en-GB"/>
        </w:rPr>
        <w:t xml:space="preserve"> Internal Report 89-4102). </w:t>
      </w:r>
      <w:proofErr w:type="gramStart"/>
      <w:r w:rsidRPr="007A5EAD">
        <w:rPr>
          <w:rFonts w:ascii="Gill Sans MT" w:hAnsi="Gill Sans MT"/>
          <w:sz w:val="20"/>
          <w:lang w:eastAsia="en-GB"/>
        </w:rPr>
        <w:t>National Institute of Standards and Technology, Gaithersburg, MD, Applied and Computational Mathematics Division.</w:t>
      </w:r>
      <w:proofErr w:type="gramEnd"/>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A5EAD">
        <w:rPr>
          <w:rFonts w:ascii="Gill Sans MT" w:hAnsi="Gill Sans MT"/>
          <w:sz w:val="20"/>
          <w:lang w:eastAsia="en-GB"/>
        </w:rPr>
        <w:t>,.</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Presented at the Contemporary Mathematics, p. 186.</w:t>
      </w:r>
      <w:proofErr w:type="gramEnd"/>
      <w:r w:rsidRPr="007A5EAD">
        <w:rPr>
          <w:rFonts w:ascii="Gill Sans MT" w:hAnsi="Gill Sans MT"/>
          <w:sz w:val="20"/>
          <w:lang w:eastAsia="en-GB"/>
        </w:rPr>
        <w:t xml:space="preserve">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M.W., 2005.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Cosmogenic exposure dating of late Pleistocene moraine stabilization in Alaska.</w:t>
      </w:r>
      <w:proofErr w:type="gramEnd"/>
      <w:r w:rsidRPr="007A5EAD">
        <w:rPr>
          <w:rFonts w:ascii="Gill Sans MT" w:hAnsi="Gill Sans MT"/>
          <w:sz w:val="20"/>
          <w:lang w:eastAsia="en-GB"/>
        </w:rPr>
        <w:t xml:space="preserve">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w:t>
      </w:r>
      <w:proofErr w:type="gramStart"/>
      <w:r w:rsidRPr="007A5EAD">
        <w:rPr>
          <w:rFonts w:ascii="Gill Sans MT" w:hAnsi="Gill Sans MT"/>
          <w:sz w:val="20"/>
          <w:lang w:eastAsia="en-GB"/>
        </w:rPr>
        <w:t>The role of ocean-atmosphere reorganizations in glacial cycles.</w:t>
      </w:r>
      <w:proofErr w:type="gramEnd"/>
      <w:r w:rsidRPr="007A5EAD">
        <w:rPr>
          <w:rFonts w:ascii="Gill Sans MT" w:hAnsi="Gill Sans MT"/>
          <w:sz w:val="20"/>
          <w:lang w:eastAsia="en-GB"/>
        </w:rPr>
        <w:t xml:space="preserve">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w:t>
      </w:r>
      <w:proofErr w:type="gramStart"/>
      <w:r w:rsidRPr="0099081B">
        <w:rPr>
          <w:rFonts w:ascii="Gill Sans MT" w:hAnsi="Gill Sans MT"/>
          <w:sz w:val="20"/>
          <w:lang w:eastAsia="en-GB"/>
        </w:rPr>
        <w:t>Bayesian Analysis of Radiocarbon Dates.</w:t>
      </w:r>
      <w:proofErr w:type="gramEnd"/>
      <w:r w:rsidRPr="0099081B">
        <w:rPr>
          <w:rFonts w:ascii="Gill Sans MT" w:hAnsi="Gill Sans MT"/>
          <w:sz w:val="20"/>
          <w:lang w:eastAsia="en-GB"/>
        </w:rPr>
        <w:t xml:space="preserve">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1992.</w:t>
      </w:r>
      <w:proofErr w:type="gramEnd"/>
      <w:r w:rsidRPr="007A5EAD">
        <w:rPr>
          <w:rFonts w:ascii="Gill Sans MT" w:hAnsi="Gill Sans MT"/>
          <w:sz w:val="20"/>
          <w:lang w:eastAsia="en-GB"/>
        </w:rPr>
        <w:t xml:space="preserve">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Brook, E.J., 1991.</w:t>
      </w:r>
      <w:proofErr w:type="gramEnd"/>
      <w:r w:rsidRPr="007A5EAD">
        <w:rPr>
          <w:rFonts w:ascii="Gill Sans MT" w:hAnsi="Gill Sans MT"/>
          <w:sz w:val="20"/>
          <w:lang w:eastAsia="en-GB"/>
        </w:rPr>
        <w:t xml:space="preserve">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Buckland, W., 1840.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On the evidences of glaciers in Scotland and the north of England.</w:t>
      </w:r>
      <w:proofErr w:type="gramEnd"/>
      <w:r w:rsidRPr="007A5EAD">
        <w:rPr>
          <w:rFonts w:ascii="Gill Sans MT" w:hAnsi="Gill Sans MT"/>
          <w:sz w:val="20"/>
          <w:lang w:eastAsia="en-GB"/>
        </w:rPr>
        <w:t xml:space="preserve">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Calvet, M., 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2011.</w:t>
      </w:r>
      <w:proofErr w:type="gramEnd"/>
      <w:r w:rsidRPr="007A5EAD">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w:t>
      </w:r>
      <w:proofErr w:type="gramStart"/>
      <w:r w:rsidRPr="007A5EAD">
        <w:rPr>
          <w:rFonts w:ascii="Gill Sans MT" w:hAnsi="Gill Sans MT"/>
          <w:sz w:val="20"/>
          <w:lang w:eastAsia="en-GB"/>
        </w:rPr>
        <w:t>Geomorphology and in-situ cosmogenic isotopes.</w:t>
      </w:r>
      <w:proofErr w:type="gramEnd"/>
      <w:r w:rsidRPr="007A5EAD">
        <w:rPr>
          <w:rFonts w:ascii="Gill Sans MT" w:hAnsi="Gill Sans MT"/>
          <w:sz w:val="20"/>
          <w:lang w:eastAsia="en-GB"/>
        </w:rPr>
        <w:t xml:space="preserve">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w:t>
      </w:r>
      <w:proofErr w:type="gramStart"/>
      <w:r w:rsidRPr="007A5EAD">
        <w:rPr>
          <w:rFonts w:ascii="Gill Sans MT" w:hAnsi="Gill Sans MT"/>
          <w:sz w:val="20"/>
          <w:lang w:eastAsia="en-GB"/>
        </w:rPr>
        <w:t>The effect of Aeolian accessions on soil development on granitic-rocks in south eastern Australia.</w:t>
      </w:r>
      <w:proofErr w:type="gramEnd"/>
      <w:r w:rsidRPr="007A5EAD">
        <w:rPr>
          <w:rFonts w:ascii="Gill Sans MT" w:hAnsi="Gill Sans MT"/>
          <w:sz w:val="20"/>
          <w:lang w:eastAsia="en-GB"/>
        </w:rPr>
        <w:t xml:space="preserve"> III. </w:t>
      </w:r>
      <w:proofErr w:type="spellStart"/>
      <w:r w:rsidRPr="007A5EAD">
        <w:rPr>
          <w:rFonts w:ascii="Gill Sans MT" w:hAnsi="Gill Sans MT"/>
          <w:sz w:val="20"/>
          <w:lang w:eastAsia="en-GB"/>
        </w:rPr>
        <w:t>Micromorphological</w:t>
      </w:r>
      <w:proofErr w:type="spellEnd"/>
      <w:r w:rsidRPr="007A5EAD">
        <w:rPr>
          <w:rFonts w:ascii="Gill Sans MT" w:hAnsi="Gill Sans MT"/>
          <w:sz w:val="20"/>
          <w:lang w:eastAsia="en-GB"/>
        </w:rPr>
        <w:t xml:space="preserve">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w:t>
      </w:r>
      <w:proofErr w:type="gramStart"/>
      <w:r w:rsidRPr="007A5EAD">
        <w:rPr>
          <w:rFonts w:ascii="Gill Sans MT" w:hAnsi="Gill Sans MT"/>
          <w:sz w:val="20"/>
          <w:lang w:eastAsia="en-GB"/>
        </w:rPr>
        <w:t xml:space="preserve">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Swedish Lapland.</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Weathering and landscape evolution 67, 159–170.</w:t>
      </w:r>
      <w:proofErr w:type="gramEnd"/>
      <w:r w:rsidRPr="007A5EAD">
        <w:rPr>
          <w:rFonts w:ascii="Gill Sans MT" w:hAnsi="Gill Sans MT"/>
          <w:sz w:val="20"/>
          <w:lang w:eastAsia="en-GB"/>
        </w:rPr>
        <w:t xml:space="preserve">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swedish</w:t>
      </w:r>
      <w:proofErr w:type="spellEnd"/>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2015b. </w:t>
      </w:r>
      <w:proofErr w:type="gramStart"/>
      <w:r w:rsidRPr="007A5EAD">
        <w:rPr>
          <w:rFonts w:ascii="Gill Sans MT" w:hAnsi="Gill Sans MT"/>
          <w:sz w:val="20"/>
          <w:lang w:eastAsia="en-GB"/>
        </w:rPr>
        <w:t>Extensive MIS 3 glaciation in southernmost Patagonia revealed by cosmogenic nuclide dating of outwash sediments.</w:t>
      </w:r>
      <w:proofErr w:type="gramEnd"/>
      <w:r w:rsidRPr="007A5EAD">
        <w:rPr>
          <w:rFonts w:ascii="Gill Sans MT" w:hAnsi="Gill Sans MT"/>
          <w:sz w:val="20"/>
          <w:lang w:eastAsia="en-GB"/>
        </w:rPr>
        <w:t xml:space="preserve">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Calvet,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2008.</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Exposure age chronology of the last glaciation in the eastern Pyrenees.</w:t>
      </w:r>
      <w:proofErr w:type="gramEnd"/>
      <w:r w:rsidRPr="007A5EAD">
        <w:rPr>
          <w:rFonts w:ascii="Gill Sans MT" w:hAnsi="Gill Sans MT"/>
          <w:sz w:val="20"/>
          <w:lang w:eastAsia="en-GB"/>
        </w:rPr>
        <w:t xml:space="preserve">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w:t>
      </w:r>
      <w:proofErr w:type="gramStart"/>
      <w:r w:rsidRPr="007A5EAD">
        <w:rPr>
          <w:rFonts w:ascii="Gill Sans MT" w:hAnsi="Gill Sans MT"/>
          <w:sz w:val="20"/>
          <w:lang w:eastAsia="en-GB"/>
        </w:rPr>
        <w:t>hammer</w:t>
      </w:r>
      <w:proofErr w:type="gramEnd"/>
      <w:r w:rsidRPr="007A5EAD">
        <w:rPr>
          <w:rFonts w:ascii="Gill Sans MT" w:hAnsi="Gill Sans MT"/>
          <w:sz w:val="20"/>
          <w:lang w:eastAsia="en-GB"/>
        </w:rPr>
        <w:t xml:space="preserve">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w:t>
      </w:r>
      <w:proofErr w:type="gramStart"/>
      <w:r w:rsidRPr="007A5EAD">
        <w:rPr>
          <w:rFonts w:ascii="Gill Sans MT" w:hAnsi="Gill Sans MT"/>
          <w:sz w:val="20"/>
          <w:lang w:eastAsia="en-GB"/>
        </w:rPr>
        <w:t xml:space="preserve">Timing and climatic drivers for glaciation across semi-arid western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w:t>
      </w:r>
      <w:proofErr w:type="gramStart"/>
      <w:r w:rsidRPr="007A5EAD">
        <w:rPr>
          <w:rFonts w:ascii="Gill Sans MT" w:hAnsi="Gill Sans MT"/>
          <w:sz w:val="20"/>
          <w:lang w:eastAsia="en-GB"/>
        </w:rPr>
        <w:t>Beryllium-10 surface exposure dating of glacial successions in the Central Alaska Range.</w:t>
      </w:r>
      <w:proofErr w:type="gramEnd"/>
      <w:r w:rsidRPr="007A5EAD">
        <w:rPr>
          <w:rFonts w:ascii="Gill Sans MT" w:hAnsi="Gill Sans MT"/>
          <w:sz w:val="20"/>
          <w:lang w:eastAsia="en-GB"/>
        </w:rPr>
        <w:t xml:space="preserv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w:t>
      </w:r>
      <w:proofErr w:type="gramStart"/>
      <w:r w:rsidRPr="007A5EAD">
        <w:rPr>
          <w:rFonts w:ascii="Gill Sans MT" w:hAnsi="Gill Sans MT"/>
          <w:sz w:val="20"/>
          <w:lang w:eastAsia="en-GB"/>
        </w:rPr>
        <w:t xml:space="preserve">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Supplementary Issues 69–80.</w:t>
      </w:r>
      <w:proofErr w:type="gramEnd"/>
      <w:r w:rsidRPr="007A5EAD">
        <w:rPr>
          <w:rFonts w:ascii="Gill Sans MT" w:hAnsi="Gill Sans MT"/>
          <w:sz w:val="20"/>
          <w:lang w:eastAsia="en-GB"/>
        </w:rPr>
        <w:t xml:space="preserve">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M., 2011.</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w:t>
      </w:r>
      <w:proofErr w:type="gramEnd"/>
      <w:r w:rsidRPr="007A5EAD">
        <w:rPr>
          <w:rFonts w:ascii="Gill Sans MT" w:hAnsi="Gill Sans MT"/>
          <w:sz w:val="20"/>
          <w:lang w:eastAsia="en-GB"/>
        </w:rPr>
        <w:t xml:space="preserve">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w:t>
      </w:r>
      <w:proofErr w:type="gramStart"/>
      <w:r w:rsidRPr="007A5EAD">
        <w:rPr>
          <w:rFonts w:ascii="Gill Sans MT" w:hAnsi="Gill Sans MT"/>
          <w:sz w:val="20"/>
          <w:lang w:eastAsia="en-GB"/>
        </w:rPr>
        <w:t>Trimlines, blockfields, mountain-top erratics and the vertical dimensions of the last British–Irish Ice Sheet in NW Scotland.</w:t>
      </w:r>
      <w:proofErr w:type="gramEnd"/>
      <w:r w:rsidRPr="007A5EAD">
        <w:rPr>
          <w:rFonts w:ascii="Gill Sans MT" w:hAnsi="Gill Sans MT"/>
          <w:sz w:val="20"/>
          <w:lang w:eastAsia="en-GB"/>
        </w:rPr>
        <w:t xml:space="preserve">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w:t>
      </w:r>
      <w:proofErr w:type="gramStart"/>
      <w:r w:rsidRPr="007A5EAD">
        <w:rPr>
          <w:rFonts w:ascii="Gill Sans MT" w:hAnsi="Gill Sans MT"/>
          <w:sz w:val="20"/>
          <w:lang w:eastAsia="en-GB"/>
        </w:rPr>
        <w:t>Probability of moraine survival in a succession of glacial advances.</w:t>
      </w:r>
      <w:proofErr w:type="gramEnd"/>
      <w:r w:rsidRPr="007A5EAD">
        <w:rPr>
          <w:rFonts w:ascii="Gill Sans MT" w:hAnsi="Gill Sans MT"/>
          <w:sz w:val="20"/>
          <w:lang w:eastAsia="en-GB"/>
        </w:rPr>
        <w:t xml:space="preserve">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J., Shackleton, N.J., 1976.</w:t>
      </w:r>
      <w:proofErr w:type="gramEnd"/>
      <w:r w:rsidRPr="007A5EAD">
        <w:rPr>
          <w:rFonts w:ascii="Gill Sans MT" w:hAnsi="Gill Sans MT"/>
          <w:sz w:val="20"/>
          <w:lang w:eastAsia="en-GB"/>
        </w:rPr>
        <w:t xml:space="preserve">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A5EAD">
        <w:rPr>
          <w:rFonts w:ascii="Gill Sans MT" w:hAnsi="Gill Sans MT"/>
          <w:sz w:val="20"/>
          <w:lang w:eastAsia="en-GB"/>
        </w:rPr>
        <w:t>Quaternary Geochronology, Tracking the pace of Quaternary landscape change with cosmogenic nuclides 19, 52–66.</w:t>
      </w:r>
      <w:proofErr w:type="gramEnd"/>
      <w:r w:rsidRPr="007A5EAD">
        <w:rPr>
          <w:rFonts w:ascii="Gill Sans MT" w:hAnsi="Gill Sans MT"/>
          <w:sz w:val="20"/>
          <w:lang w:eastAsia="en-GB"/>
        </w:rPr>
        <w:t xml:space="preserve">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w:t>
      </w:r>
      <w:proofErr w:type="gramStart"/>
      <w:r w:rsidRPr="007A5EAD">
        <w:rPr>
          <w:rFonts w:ascii="Gill Sans MT" w:hAnsi="Gill Sans MT"/>
          <w:sz w:val="20"/>
          <w:lang w:eastAsia="en-GB"/>
        </w:rPr>
        <w:t xml:space="preserve">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Be compilation.</w:t>
      </w:r>
      <w:proofErr w:type="gramEnd"/>
      <w:r w:rsidRPr="007A5EAD">
        <w:rPr>
          <w:rFonts w:ascii="Gill Sans MT" w:hAnsi="Gill Sans MT"/>
          <w:sz w:val="20"/>
          <w:lang w:eastAsia="en-GB"/>
        </w:rPr>
        <w:t xml:space="preserve">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proofErr w:type="gram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w:t>
      </w:r>
      <w:proofErr w:type="gramEnd"/>
      <w:r w:rsidRPr="007A5EAD">
        <w:rPr>
          <w:rFonts w:ascii="Gill Sans MT" w:hAnsi="Gill Sans MT"/>
          <w:sz w:val="20"/>
          <w:lang w:eastAsia="en-GB"/>
        </w:rPr>
        <w:t xml:space="preserve">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2007.</w:t>
      </w:r>
      <w:proofErr w:type="gramEnd"/>
      <w:r w:rsidRPr="007A5EAD">
        <w:rPr>
          <w:rFonts w:ascii="Gill Sans MT" w:hAnsi="Gill Sans MT"/>
          <w:sz w:val="20"/>
          <w:lang w:eastAsia="en-GB"/>
        </w:rPr>
        <w:t xml:space="preserve"> Cosmogenic nuclides and the dating of Lateglacial and Early Holocene glacier variations: The Alpine perspective. </w:t>
      </w:r>
      <w:proofErr w:type="gramStart"/>
      <w:r w:rsidRPr="007A5EAD">
        <w:rPr>
          <w:rFonts w:ascii="Gill Sans MT" w:hAnsi="Gill Sans MT"/>
          <w:sz w:val="20"/>
          <w:lang w:eastAsia="en-GB"/>
        </w:rPr>
        <w:t>Quaternary International, From the Swiss Alps to the Crimean Mountains - Alpine Quaternary stratigraphy in a European context 164–165, 53–63.</w:t>
      </w:r>
      <w:proofErr w:type="gramEnd"/>
      <w:r w:rsidRPr="007A5EAD">
        <w:rPr>
          <w:rFonts w:ascii="Gill Sans MT" w:hAnsi="Gill Sans MT"/>
          <w:sz w:val="20"/>
          <w:lang w:eastAsia="en-GB"/>
        </w:rPr>
        <w:t xml:space="preserve">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Jalut,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J.M., Julia, R., 1992.</w:t>
      </w:r>
      <w:proofErr w:type="gramEnd"/>
      <w:r w:rsidRPr="007A5EAD">
        <w:rPr>
          <w:rFonts w:ascii="Gill Sans MT" w:hAnsi="Gill Sans MT"/>
          <w:sz w:val="20"/>
          <w:lang w:eastAsia="en-GB"/>
        </w:rPr>
        <w:t xml:space="preserve">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 2015. </w:t>
      </w:r>
      <w:proofErr w:type="gramStart"/>
      <w:r w:rsidRPr="007A5EAD">
        <w:rPr>
          <w:rFonts w:ascii="Gill Sans MT" w:hAnsi="Gill Sans MT"/>
          <w:sz w:val="20"/>
          <w:lang w:eastAsia="en-GB"/>
        </w:rPr>
        <w:t>The CRONUS-Earth inter-comparison for cosmogenic isotope analysis.</w:t>
      </w:r>
      <w:proofErr w:type="gramEnd"/>
      <w:r w:rsidRPr="007A5EAD">
        <w:rPr>
          <w:rFonts w:ascii="Gill Sans MT" w:hAnsi="Gill Sans MT"/>
          <w:sz w:val="20"/>
          <w:lang w:eastAsia="en-GB"/>
        </w:rPr>
        <w:t xml:space="preserve"> Quaternary Geochronology, </w:t>
      </w:r>
      <w:proofErr w:type="gramStart"/>
      <w:r w:rsidRPr="007A5EAD">
        <w:rPr>
          <w:rFonts w:ascii="Gill Sans MT" w:hAnsi="Gill Sans MT"/>
          <w:sz w:val="20"/>
          <w:lang w:eastAsia="en-GB"/>
        </w:rPr>
        <w:t>The</w:t>
      </w:r>
      <w:proofErr w:type="gramEnd"/>
      <w:r w:rsidRPr="007A5EAD">
        <w:rPr>
          <w:rFonts w:ascii="Gill Sans MT" w:hAnsi="Gill Sans MT"/>
          <w:sz w:val="20"/>
          <w:lang w:eastAsia="en-GB"/>
        </w:rPr>
        <w:t xml:space="preserv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Kendrick, K.J., </w:t>
      </w:r>
      <w:proofErr w:type="spellStart"/>
      <w:r w:rsidRPr="007A5EAD">
        <w:rPr>
          <w:rFonts w:ascii="Gill Sans MT" w:hAnsi="Gill Sans MT"/>
          <w:sz w:val="20"/>
          <w:lang w:eastAsia="en-GB"/>
        </w:rPr>
        <w:t>Partin</w:t>
      </w:r>
      <w:proofErr w:type="spellEnd"/>
      <w:r w:rsidRPr="007A5EAD">
        <w:rPr>
          <w:rFonts w:ascii="Gill Sans MT" w:hAnsi="Gill Sans MT"/>
          <w:sz w:val="20"/>
          <w:lang w:eastAsia="en-GB"/>
        </w:rPr>
        <w:t>, C.A., Graham, R.C., 2016.</w:t>
      </w:r>
      <w:proofErr w:type="gramEnd"/>
      <w:r w:rsidRPr="007A5EAD">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K., 1992.</w:t>
      </w:r>
      <w:proofErr w:type="gramEnd"/>
      <w:r w:rsidRPr="007A5EAD">
        <w:rPr>
          <w:rFonts w:ascii="Gill Sans MT" w:hAnsi="Gill Sans MT"/>
          <w:sz w:val="20"/>
          <w:lang w:eastAsia="en-GB"/>
        </w:rPr>
        <w:t xml:space="preserve">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t>
      </w:r>
      <w:proofErr w:type="gramStart"/>
      <w:r w:rsidRPr="007A5EAD">
        <w:rPr>
          <w:rFonts w:ascii="Gill Sans MT" w:hAnsi="Gill Sans MT"/>
          <w:sz w:val="20"/>
          <w:lang w:eastAsia="en-GB"/>
        </w:rPr>
        <w:t xml:space="preserve">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w:t>
      </w:r>
      <w:proofErr w:type="spellStart"/>
      <w:r w:rsidRPr="007A5EAD">
        <w:rPr>
          <w:rFonts w:ascii="Gill Sans MT" w:hAnsi="Gill Sans MT"/>
          <w:sz w:val="20"/>
          <w:lang w:eastAsia="en-GB"/>
        </w:rPr>
        <w:t>thermochronological</w:t>
      </w:r>
      <w:proofErr w:type="spellEnd"/>
      <w:r w:rsidRPr="007A5EAD">
        <w:rPr>
          <w:rFonts w:ascii="Gill Sans MT" w:hAnsi="Gill Sans MT"/>
          <w:sz w:val="20"/>
          <w:lang w:eastAsia="en-GB"/>
        </w:rPr>
        <w:t xml:space="preserve"> constraints.</w:t>
      </w:r>
      <w:proofErr w:type="gramEnd"/>
      <w:r w:rsidRPr="007A5EAD">
        <w:rPr>
          <w:rFonts w:ascii="Gill Sans MT" w:hAnsi="Gill Sans MT"/>
          <w:sz w:val="20"/>
          <w:lang w:eastAsia="en-GB"/>
        </w:rPr>
        <w:t xml:space="preserve">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w:t>
      </w:r>
      <w:proofErr w:type="spellStart"/>
      <w:r w:rsidRPr="007A5EAD">
        <w:rPr>
          <w:rFonts w:ascii="Gill Sans MT" w:hAnsi="Gill Sans MT"/>
          <w:sz w:val="20"/>
          <w:lang w:eastAsia="en-GB"/>
        </w:rPr>
        <w:t>Bons</w:t>
      </w:r>
      <w:proofErr w:type="spellEnd"/>
      <w:r w:rsidRPr="007A5EAD">
        <w:rPr>
          <w:rFonts w:ascii="Gill Sans MT" w:hAnsi="Gill Sans MT"/>
          <w:sz w:val="20"/>
          <w:lang w:eastAsia="en-GB"/>
        </w:rPr>
        <w:t xml:space="preserve">,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w:t>
      </w:r>
      <w:proofErr w:type="spellStart"/>
      <w:r w:rsidRPr="007A5EAD">
        <w:rPr>
          <w:rFonts w:ascii="Gill Sans MT" w:hAnsi="Gill Sans MT"/>
          <w:sz w:val="20"/>
          <w:lang w:eastAsia="en-GB"/>
        </w:rPr>
        <w:t>Int</w:t>
      </w:r>
      <w:proofErr w:type="spellEnd"/>
      <w:r w:rsidRPr="007A5EAD">
        <w:rPr>
          <w:rFonts w:ascii="Gill Sans MT" w:hAnsi="Gill Sans MT"/>
          <w:sz w:val="20"/>
          <w:lang w:eastAsia="en-GB"/>
        </w:rPr>
        <w:t xml:space="preserve"> J Earth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t>
      </w:r>
      <w:proofErr w:type="gramStart"/>
      <w:r w:rsidRPr="007A5EAD">
        <w:rPr>
          <w:rFonts w:ascii="Gill Sans MT" w:hAnsi="Gill Sans MT"/>
          <w:sz w:val="20"/>
          <w:lang w:eastAsia="en-GB"/>
        </w:rPr>
        <w:t>Winter</w:t>
      </w:r>
      <w:proofErr w:type="gramEnd"/>
      <w:r w:rsidRPr="007A5EAD">
        <w:rPr>
          <w:rFonts w:ascii="Gill Sans MT" w:hAnsi="Gill Sans MT"/>
          <w:sz w:val="20"/>
          <w:lang w:eastAsia="en-GB"/>
        </w:rPr>
        <w:t xml:space="preserve">, K., Woodward, J., Dunning, S., </w:t>
      </w:r>
      <w:proofErr w:type="spellStart"/>
      <w:r w:rsidRPr="007A5EAD">
        <w:rPr>
          <w:rFonts w:ascii="Gill Sans MT" w:hAnsi="Gill Sans MT"/>
          <w:sz w:val="20"/>
          <w:lang w:eastAsia="en-GB"/>
        </w:rPr>
        <w:t>Westoby</w:t>
      </w:r>
      <w:proofErr w:type="spellEnd"/>
      <w:r w:rsidRPr="007A5EAD">
        <w:rPr>
          <w:rFonts w:ascii="Gill Sans MT" w:hAnsi="Gill Sans MT"/>
          <w:sz w:val="20"/>
          <w:lang w:eastAsia="en-GB"/>
        </w:rPr>
        <w:t xml:space="preserve">, M., Sugden, D., 2018. </w:t>
      </w:r>
      <w:proofErr w:type="gramStart"/>
      <w:r w:rsidRPr="007A5EAD">
        <w:rPr>
          <w:rFonts w:ascii="Gill Sans MT" w:hAnsi="Gill Sans MT"/>
          <w:sz w:val="20"/>
          <w:lang w:eastAsia="en-GB"/>
        </w:rPr>
        <w:t>Controls on subaerial erosion rates in Antarctica.</w:t>
      </w:r>
      <w:proofErr w:type="gramEnd"/>
      <w:r w:rsidRPr="007A5EAD">
        <w:rPr>
          <w:rFonts w:ascii="Gill Sans MT" w:hAnsi="Gill Sans MT"/>
          <w:sz w:val="20"/>
          <w:lang w:eastAsia="en-GB"/>
        </w:rPr>
        <w:t xml:space="preserve">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w:t>
      </w:r>
      <w:proofErr w:type="gramStart"/>
      <w:r w:rsidRPr="007A5EAD">
        <w:rPr>
          <w:rFonts w:ascii="Gill Sans MT" w:hAnsi="Gill Sans MT"/>
          <w:sz w:val="20"/>
          <w:lang w:eastAsia="en-GB"/>
        </w:rPr>
        <w:t xml:space="preserve">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w:t>
      </w:r>
      <w:proofErr w:type="gramEnd"/>
      <w:r w:rsidRPr="007A5EAD">
        <w:rPr>
          <w:rFonts w:ascii="Gill Sans MT" w:hAnsi="Gill Sans MT"/>
          <w:sz w:val="20"/>
          <w:lang w:eastAsia="en-GB"/>
        </w:rPr>
        <w:t xml:space="preserve">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A5EAD">
        <w:rPr>
          <w:rFonts w:ascii="Gill Sans MT" w:hAnsi="Gill Sans MT"/>
          <w:sz w:val="20"/>
          <w:lang w:eastAsia="en-GB"/>
        </w:rPr>
        <w:t>Southern</w:t>
      </w:r>
      <w:proofErr w:type="gramEnd"/>
      <w:r w:rsidRPr="007A5EAD">
        <w:rPr>
          <w:rFonts w:ascii="Gill Sans MT" w:hAnsi="Gill Sans MT"/>
          <w:sz w:val="20"/>
          <w:lang w:eastAsia="en-GB"/>
        </w:rPr>
        <w:t xml:space="preserve">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proofErr w:type="gramStart"/>
      <w:r w:rsidRPr="007A5EAD">
        <w:rPr>
          <w:rFonts w:ascii="Gill Sans MT" w:hAnsi="Gill Sans MT"/>
          <w:sz w:val="20"/>
          <w:lang w:eastAsia="en-GB"/>
        </w:rPr>
        <w:t>truncnorm</w:t>
      </w:r>
      <w:proofErr w:type="spellEnd"/>
      <w:proofErr w:type="gram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Moran, P.A.P., 1950.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Notes on Continuous Stochastic Phenomena.</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w:t>
      </w:r>
      <w:proofErr w:type="spellStart"/>
      <w:r w:rsidRPr="007A5EAD">
        <w:rPr>
          <w:rFonts w:ascii="Gill Sans MT" w:hAnsi="Gill Sans MT"/>
          <w:sz w:val="20"/>
          <w:lang w:eastAsia="en-GB"/>
        </w:rPr>
        <w:t>Quartermain</w:t>
      </w:r>
      <w:proofErr w:type="spellEnd"/>
      <w:r w:rsidRPr="007A5EAD">
        <w:rPr>
          <w:rFonts w:ascii="Gill Sans MT" w:hAnsi="Gill Sans MT"/>
          <w:sz w:val="20"/>
          <w:lang w:eastAsia="en-GB"/>
        </w:rPr>
        <w:t xml:space="preserve">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w:t>
      </w:r>
      <w:proofErr w:type="spellStart"/>
      <w:r w:rsidRPr="007A5EAD">
        <w:rPr>
          <w:rFonts w:ascii="Gill Sans MT" w:hAnsi="Gill Sans MT"/>
          <w:sz w:val="20"/>
          <w:lang w:eastAsia="en-GB"/>
        </w:rPr>
        <w:t>Haneberg</w:t>
      </w:r>
      <w:proofErr w:type="spellEnd"/>
      <w:r w:rsidRPr="007A5EAD">
        <w:rPr>
          <w:rFonts w:ascii="Gill Sans MT" w:hAnsi="Gill Sans MT"/>
          <w:sz w:val="20"/>
          <w:lang w:eastAsia="en-GB"/>
        </w:rPr>
        <w:t>, W.C., Sharma, M.C., Townsend-Small, A.,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Timing and climatic drivers for glaciation across monsoon-influenced regions of the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Niedzielski, T., Migoń, P., Placek, A., 2009.</w:t>
      </w:r>
      <w:proofErr w:type="gramEnd"/>
      <w:r w:rsidRPr="007A5EAD">
        <w:rPr>
          <w:rFonts w:ascii="Gill Sans MT" w:hAnsi="Gill Sans MT"/>
          <w:sz w:val="20"/>
          <w:lang w:eastAsia="en-GB"/>
        </w:rPr>
        <w:t xml:space="preserve">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J., 2007.</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Be AMS standards.</w:t>
      </w:r>
      <w:proofErr w:type="gramEnd"/>
      <w:r w:rsidRPr="007A5EAD">
        <w:rPr>
          <w:rFonts w:ascii="Gill Sans MT" w:hAnsi="Gill Sans MT"/>
          <w:sz w:val="20"/>
          <w:lang w:eastAsia="en-GB"/>
        </w:rPr>
        <w:t xml:space="preserve">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Oliva, M., Palacios, D.,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Rodríguez-Rodríguez, L., </w:t>
      </w:r>
      <w:proofErr w:type="spellStart"/>
      <w:r w:rsidRPr="007A5EAD">
        <w:rPr>
          <w:rFonts w:ascii="Gill Sans MT" w:hAnsi="Gill Sans MT"/>
          <w:sz w:val="20"/>
          <w:lang w:eastAsia="en-GB"/>
        </w:rPr>
        <w:t>García</w:t>
      </w:r>
      <w:proofErr w:type="spellEnd"/>
      <w:r w:rsidRPr="007A5EAD">
        <w:rPr>
          <w:rFonts w:ascii="Gill Sans MT" w:hAnsi="Gill Sans MT"/>
          <w:sz w:val="20"/>
          <w:lang w:eastAsia="en-GB"/>
        </w:rPr>
        <w:t>-Ruiz, J.M., Andrés, N., Carrasco, R.M., Pedraza, J., Pérez-</w:t>
      </w:r>
      <w:proofErr w:type="spellStart"/>
      <w:r w:rsidRPr="007A5EAD">
        <w:rPr>
          <w:rFonts w:ascii="Gill Sans MT" w:hAnsi="Gill Sans MT"/>
          <w:sz w:val="20"/>
          <w:lang w:eastAsia="en-GB"/>
        </w:rPr>
        <w:t>Alberti</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M., Hughes, P.D.,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Late Quaternary glacial phases in the Iberian Peninsula.</w:t>
      </w:r>
      <w:proofErr w:type="gramEnd"/>
      <w:r w:rsidRPr="007A5EAD">
        <w:rPr>
          <w:rFonts w:ascii="Gill Sans MT" w:hAnsi="Gill Sans MT"/>
          <w:sz w:val="20"/>
          <w:lang w:eastAsia="en-GB"/>
        </w:rPr>
        <w:t xml:space="preserve">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 xml:space="preserve">: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Schimmelpfennig, I.,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L., 2019.</w:t>
      </w:r>
      <w:proofErr w:type="gramEnd"/>
      <w:r w:rsidRPr="007A5EAD">
        <w:rPr>
          <w:rFonts w:ascii="Gill Sans MT" w:hAnsi="Gill Sans MT"/>
          <w:sz w:val="20"/>
          <w:lang w:eastAsia="en-GB"/>
        </w:rPr>
        <w:t xml:space="preserve">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F., Oliva, M., 2015.</w:t>
      </w:r>
      <w:proofErr w:type="gramEnd"/>
      <w:r w:rsidRPr="007A5EAD">
        <w:rPr>
          <w:rFonts w:ascii="Gill Sans MT" w:hAnsi="Gill Sans MT"/>
          <w:sz w:val="20"/>
          <w:lang w:eastAsia="en-GB"/>
        </w:rPr>
        <w:t xml:space="preserve">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w:t>
      </w:r>
      <w:proofErr w:type="gramStart"/>
      <w:r w:rsidRPr="007A5EAD">
        <w:rPr>
          <w:rFonts w:ascii="Gill Sans MT" w:hAnsi="Gill Sans MT"/>
          <w:sz w:val="20"/>
          <w:lang w:eastAsia="en-GB"/>
        </w:rPr>
        <w:t>mountains</w:t>
      </w:r>
      <w:proofErr w:type="gramEnd"/>
      <w:r w:rsidRPr="007A5EAD">
        <w:rPr>
          <w:rFonts w:ascii="Gill Sans MT" w:hAnsi="Gill Sans MT"/>
          <w:sz w:val="20"/>
          <w:lang w:eastAsia="en-GB"/>
        </w:rPr>
        <w:t xml:space="preserve">,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Calvet,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2010. </w:t>
      </w:r>
      <w:proofErr w:type="gramStart"/>
      <w:r w:rsidRPr="007A5EAD">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A5EAD">
        <w:rPr>
          <w:rFonts w:ascii="Gill Sans MT" w:hAnsi="Gill Sans MT"/>
          <w:sz w:val="20"/>
          <w:lang w:eastAsia="en-GB"/>
        </w:rPr>
        <w:t xml:space="preserve">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Penck, A., 1905. </w:t>
      </w:r>
      <w:proofErr w:type="gramStart"/>
      <w:r w:rsidRPr="007A5EAD">
        <w:rPr>
          <w:rFonts w:ascii="Gill Sans MT" w:hAnsi="Gill Sans MT"/>
          <w:sz w:val="20"/>
          <w:lang w:eastAsia="en-GB"/>
        </w:rPr>
        <w:t>Glacial Features in the Surface of the Alps.</w:t>
      </w:r>
      <w:proofErr w:type="gramEnd"/>
      <w:r w:rsidRPr="007A5EAD">
        <w:rPr>
          <w:rFonts w:ascii="Gill Sans MT" w:hAnsi="Gill Sans MT"/>
          <w:sz w:val="20"/>
          <w:lang w:eastAsia="en-GB"/>
        </w:rPr>
        <w:t xml:space="preserve">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Kubik, P.W., Sharma, P., 1990. </w:t>
      </w:r>
      <w:proofErr w:type="gramStart"/>
      <w:r w:rsidRPr="007A5EAD">
        <w:rPr>
          <w:rFonts w:ascii="Gill Sans MT" w:hAnsi="Gill Sans MT"/>
          <w:sz w:val="20"/>
          <w:lang w:eastAsia="en-GB"/>
        </w:rPr>
        <w:t>Cosmogenic Chlorine-36 Chronology for Glacial Deposits at Bloody Canyon, Eastern Sierra Nevada.</w:t>
      </w:r>
      <w:proofErr w:type="gramEnd"/>
      <w:r w:rsidRPr="007A5EAD">
        <w:rPr>
          <w:rFonts w:ascii="Gill Sans MT" w:hAnsi="Gill Sans MT"/>
          <w:sz w:val="20"/>
          <w:lang w:eastAsia="en-GB"/>
        </w:rPr>
        <w:t xml:space="preserve">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xml:space="preserve">, E.L., </w:t>
      </w:r>
      <w:proofErr w:type="spellStart"/>
      <w:r w:rsidRPr="007A5EAD">
        <w:rPr>
          <w:rFonts w:ascii="Gill Sans MT" w:hAnsi="Gill Sans MT"/>
          <w:sz w:val="20"/>
          <w:lang w:eastAsia="en-GB"/>
        </w:rPr>
        <w:t>Román-Berdiel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w:t>
      </w:r>
      <w:proofErr w:type="gramStart"/>
      <w:r w:rsidRPr="007A5EAD">
        <w:rPr>
          <w:rFonts w:ascii="Gill Sans MT" w:hAnsi="Gill Sans MT"/>
          <w:sz w:val="20"/>
          <w:lang w:eastAsia="en-GB"/>
        </w:rPr>
        <w:t>Anisotropy of magnetic susceptibility of the Pyrenean granites.</w:t>
      </w:r>
      <w:proofErr w:type="gramEnd"/>
      <w:r w:rsidRPr="007A5EAD">
        <w:rPr>
          <w:rFonts w:ascii="Gill Sans MT" w:hAnsi="Gill Sans MT"/>
          <w:sz w:val="20"/>
          <w:lang w:eastAsia="en-GB"/>
        </w:rPr>
        <w:t xml:space="preserve">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proofErr w:type="gramStart"/>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w:t>
      </w:r>
      <w:proofErr w:type="gramEnd"/>
      <w:r w:rsidRPr="007A5EAD">
        <w:rPr>
          <w:rFonts w:ascii="Gill Sans MT" w:hAnsi="Gill Sans MT"/>
          <w:sz w:val="20"/>
          <w:lang w:eastAsia="en-GB"/>
        </w:rPr>
        <w:t xml:space="preserve"> Am J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308, 130–</w:t>
      </w:r>
      <w:proofErr w:type="gramStart"/>
      <w:r w:rsidRPr="007A5EAD">
        <w:rPr>
          <w:rFonts w:ascii="Gill Sans MT" w:hAnsi="Gill Sans MT"/>
          <w:sz w:val="20"/>
          <w:lang w:eastAsia="en-GB"/>
        </w:rPr>
        <w:t>166.</w:t>
      </w:r>
      <w:proofErr w:type="gramEnd"/>
      <w:r w:rsidRPr="007A5EAD">
        <w:rPr>
          <w:rFonts w:ascii="Gill Sans MT" w:hAnsi="Gill Sans MT"/>
          <w:sz w:val="20"/>
          <w:lang w:eastAsia="en-GB"/>
        </w:rPr>
        <w:t xml:space="preserve">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Putkonen, J., Connolly, J., </w:t>
      </w:r>
      <w:proofErr w:type="spellStart"/>
      <w:r w:rsidRPr="007A5EAD">
        <w:rPr>
          <w:rFonts w:ascii="Gill Sans MT" w:hAnsi="Gill Sans MT"/>
          <w:sz w:val="20"/>
          <w:lang w:eastAsia="en-GB"/>
        </w:rPr>
        <w:t>Orloff</w:t>
      </w:r>
      <w:proofErr w:type="spellEnd"/>
      <w:r w:rsidRPr="007A5EAD">
        <w:rPr>
          <w:rFonts w:ascii="Gill Sans MT" w:hAnsi="Gill Sans MT"/>
          <w:sz w:val="20"/>
          <w:lang w:eastAsia="en-GB"/>
        </w:rPr>
        <w:t>, T., 2008.</w:t>
      </w:r>
      <w:proofErr w:type="gramEnd"/>
      <w:r w:rsidRPr="007A5EAD">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O’Neal, M., 2006.</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Degradation of unconsolidated Quaternary landforms in the western North America.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Quaternary landscape change and modern process in western North America 75, 408–419.</w:t>
      </w:r>
      <w:proofErr w:type="gramEnd"/>
      <w:r w:rsidRPr="007A5EAD">
        <w:rPr>
          <w:rFonts w:ascii="Gill Sans MT" w:hAnsi="Gill Sans MT"/>
          <w:sz w:val="20"/>
          <w:lang w:eastAsia="en-GB"/>
        </w:rPr>
        <w:t xml:space="preserve">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Swanson, T., 2003.</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Accuracy of cosmogenic ages for moraines.</w:t>
      </w:r>
      <w:proofErr w:type="gramEnd"/>
      <w:r w:rsidRPr="007A5EAD">
        <w:rPr>
          <w:rFonts w:ascii="Gill Sans MT" w:hAnsi="Gill Sans MT"/>
          <w:sz w:val="20"/>
          <w:lang w:eastAsia="en-GB"/>
        </w:rPr>
        <w:t xml:space="preserve">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w:t>
      </w:r>
      <w:proofErr w:type="gramStart"/>
      <w:r w:rsidRPr="007A5EAD">
        <w:rPr>
          <w:rFonts w:ascii="Gill Sans MT" w:hAnsi="Gill Sans MT"/>
          <w:sz w:val="20"/>
          <w:lang w:eastAsia="en-GB"/>
        </w:rPr>
        <w:t xml:space="preserve">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C-dated late-glacial moraine belt in Rannoch Moor, central Scottish Highlands.</w:t>
      </w:r>
      <w:proofErr w:type="gramEnd"/>
      <w:r w:rsidRPr="007A5EAD">
        <w:rPr>
          <w:rFonts w:ascii="Gill Sans MT" w:hAnsi="Gill Sans MT"/>
          <w:sz w:val="20"/>
          <w:lang w:eastAsia="en-GB"/>
        </w:rPr>
        <w:t xml:space="preserve">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proofErr w:type="gram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V., 1995.</w:t>
      </w:r>
      <w:proofErr w:type="gramEnd"/>
      <w:r w:rsidRPr="007A5EAD">
        <w:rPr>
          <w:rFonts w:ascii="Gill Sans MT" w:hAnsi="Gill Sans MT"/>
          <w:sz w:val="20"/>
          <w:lang w:eastAsia="en-GB"/>
        </w:rPr>
        <w:t xml:space="preserve">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Hist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w:t>
      </w:r>
      <w:proofErr w:type="spellStart"/>
      <w:r w:rsidRPr="0099081B">
        <w:rPr>
          <w:rFonts w:ascii="Gill Sans MT" w:hAnsi="Gill Sans MT"/>
          <w:sz w:val="20"/>
          <w:lang w:eastAsia="en-GB"/>
        </w:rPr>
        <w:t>Bayliss</w:t>
      </w:r>
      <w:proofErr w:type="spellEnd"/>
      <w:r w:rsidRPr="0099081B">
        <w:rPr>
          <w:rFonts w:ascii="Gill Sans MT" w:hAnsi="Gill Sans MT"/>
          <w:sz w:val="20"/>
          <w:lang w:eastAsia="en-GB"/>
        </w:rPr>
        <w:t xml:space="preserve">,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w:t>
      </w:r>
      <w:proofErr w:type="spellStart"/>
      <w:r w:rsidRPr="0099081B">
        <w:rPr>
          <w:rFonts w:ascii="Gill Sans MT" w:hAnsi="Gill Sans MT"/>
          <w:sz w:val="20"/>
          <w:lang w:eastAsia="en-GB"/>
        </w:rPr>
        <w:t>Turney</w:t>
      </w:r>
      <w:proofErr w:type="spellEnd"/>
      <w:r w:rsidRPr="0099081B">
        <w:rPr>
          <w:rFonts w:ascii="Gill Sans MT" w:hAnsi="Gill Sans MT"/>
          <w:sz w:val="20"/>
          <w:lang w:eastAsia="en-GB"/>
        </w:rPr>
        <w:t xml:space="preserve">,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w:t>
      </w:r>
      <w:proofErr w:type="gramStart"/>
      <w:r w:rsidRPr="007A5EAD">
        <w:rPr>
          <w:rFonts w:ascii="Gill Sans MT" w:hAnsi="Gill Sans MT"/>
          <w:sz w:val="20"/>
          <w:lang w:eastAsia="en-GB"/>
        </w:rPr>
        <w:t>Erosional and climatic effects on long-term chemical weathering rates in granitic landscapes spanning diverse climate regimes.</w:t>
      </w:r>
      <w:proofErr w:type="gramEnd"/>
      <w:r w:rsidRPr="007A5EAD">
        <w:rPr>
          <w:rFonts w:ascii="Gill Sans MT" w:hAnsi="Gill Sans MT"/>
          <w:sz w:val="20"/>
          <w:lang w:eastAsia="en-GB"/>
        </w:rPr>
        <w:t xml:space="preserve">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Rinterknecht,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R.,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Cosmogenic </w:t>
      </w:r>
      <w:r w:rsidRPr="007A5EAD">
        <w:rPr>
          <w:rFonts w:ascii="Gill Sans MT" w:hAnsi="Gill Sans MT"/>
          <w:sz w:val="20"/>
          <w:vertAlign w:val="superscript"/>
          <w:lang w:eastAsia="en-GB"/>
        </w:rPr>
        <w:t>10</w:t>
      </w:r>
      <w:r w:rsidRPr="007A5EAD">
        <w:rPr>
          <w:rFonts w:ascii="Gill Sans MT" w:hAnsi="Gill Sans MT"/>
          <w:sz w:val="20"/>
          <w:lang w:eastAsia="en-GB"/>
        </w:rPr>
        <w:t>Be dating of ice sheet marginal belts in Mecklenburg-Vorpommern, Western Pomerania (northeast Germany).</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Quaternary Geochronology, Tracking the pace of Quaternary landscape change with cosmogenic nuclides 19, 42–51.</w:t>
      </w:r>
      <w:proofErr w:type="gramEnd"/>
      <w:r w:rsidRPr="007A5EAD">
        <w:rPr>
          <w:rFonts w:ascii="Gill Sans MT" w:hAnsi="Gill Sans MT"/>
          <w:sz w:val="20"/>
          <w:lang w:eastAsia="en-GB"/>
        </w:rPr>
        <w:t xml:space="preserve">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los</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M.A., 2009.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Quantifying glacial moraine age, denudation, and soil mixing with cosmogenic nuclide depth profiles.</w:t>
      </w:r>
      <w:proofErr w:type="gramEnd"/>
      <w:r w:rsidRPr="007A5EAD">
        <w:rPr>
          <w:rFonts w:ascii="Gill Sans MT" w:hAnsi="Gill Sans MT"/>
          <w:sz w:val="20"/>
          <w:lang w:eastAsia="en-GB"/>
        </w:rPr>
        <w:t xml:space="preserve">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M., 2000.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Chronology of Quaternary glaciations in East Africa.</w:t>
      </w:r>
      <w:proofErr w:type="gramEnd"/>
      <w:r w:rsidRPr="007A5EAD">
        <w:rPr>
          <w:rFonts w:ascii="Gill Sans MT" w:hAnsi="Gill Sans MT"/>
          <w:sz w:val="20"/>
          <w:lang w:eastAsia="en-GB"/>
        </w:rPr>
        <w:t xml:space="preserve">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Silverman, B.W., 1986. </w:t>
      </w:r>
      <w:proofErr w:type="gramStart"/>
      <w:r w:rsidRPr="007A5EAD">
        <w:rPr>
          <w:rFonts w:ascii="Gill Sans MT" w:hAnsi="Gill Sans MT"/>
          <w:sz w:val="20"/>
          <w:lang w:eastAsia="en-GB"/>
        </w:rPr>
        <w:t>Density Estimation for Statistics and Data Analysis.</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CRC Press.</w:t>
      </w:r>
      <w:proofErr w:type="gramEnd"/>
    </w:p>
    <w:p w14:paraId="4B6455F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Small, D., Fabel, D., 2015.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 Lateglacial </w:t>
      </w:r>
      <w:r w:rsidRPr="007A5EAD">
        <w:rPr>
          <w:rFonts w:ascii="Gill Sans MT" w:hAnsi="Gill Sans MT"/>
          <w:sz w:val="20"/>
          <w:vertAlign w:val="superscript"/>
          <w:lang w:eastAsia="en-GB"/>
        </w:rPr>
        <w:t>10</w:t>
      </w:r>
      <w:r w:rsidRPr="007A5EAD">
        <w:rPr>
          <w:rFonts w:ascii="Gill Sans MT" w:hAnsi="Gill Sans MT"/>
          <w:sz w:val="20"/>
          <w:lang w:eastAsia="en-GB"/>
        </w:rPr>
        <w:t>Be production rate from glacial lake shorelines in Scotland.</w:t>
      </w:r>
      <w:proofErr w:type="gramEnd"/>
      <w:r w:rsidRPr="007A5EAD">
        <w:rPr>
          <w:rFonts w:ascii="Gill Sans MT" w:hAnsi="Gill Sans MT"/>
          <w:sz w:val="20"/>
          <w:lang w:eastAsia="en-GB"/>
        </w:rPr>
        <w:t xml:space="preserve">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J.L., Finkel, R., 1997.</w:t>
      </w:r>
      <w:proofErr w:type="gramEnd"/>
      <w:r w:rsidRPr="007A5EAD">
        <w:rPr>
          <w:rFonts w:ascii="Gill Sans MT" w:hAnsi="Gill Sans MT"/>
          <w:sz w:val="20"/>
          <w:lang w:eastAsia="en-GB"/>
        </w:rPr>
        <w:t xml:space="preserve">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w:t>
      </w:r>
      <w:proofErr w:type="gramStart"/>
      <w:r w:rsidRPr="007A5EAD">
        <w:rPr>
          <w:rFonts w:ascii="Gill Sans MT" w:hAnsi="Gill Sans MT"/>
          <w:sz w:val="20"/>
          <w:lang w:eastAsia="en-GB"/>
        </w:rPr>
        <w:t>Air pressure and cosmogenic isotope production.</w:t>
      </w:r>
      <w:proofErr w:type="gramEnd"/>
      <w:r w:rsidRPr="007A5EAD">
        <w:rPr>
          <w:rFonts w:ascii="Gill Sans MT" w:hAnsi="Gill Sans MT"/>
          <w:sz w:val="20"/>
          <w:lang w:eastAsia="en-GB"/>
        </w:rPr>
        <w:t xml:space="preserve">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w:t>
      </w:r>
      <w:proofErr w:type="gramStart"/>
      <w:r w:rsidRPr="007A5EAD">
        <w:rPr>
          <w:rFonts w:ascii="Gill Sans MT" w:hAnsi="Gill Sans MT"/>
          <w:sz w:val="20"/>
          <w:lang w:eastAsia="en-GB"/>
        </w:rPr>
        <w:t>effect of rock moisture on Schmidt hammer</w:t>
      </w:r>
      <w:proofErr w:type="gramEnd"/>
      <w:r w:rsidRPr="007A5EAD">
        <w:rPr>
          <w:rFonts w:ascii="Gill Sans MT" w:hAnsi="Gill Sans MT"/>
          <w:sz w:val="20"/>
          <w:lang w:eastAsia="en-GB"/>
        </w:rPr>
        <w:t xml:space="preserve">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Tomkins, M.D., Dortch, J.M., Hughes, P.D., Huck, J.J., Stimson, A.G., Delmas, M., Calvet, M., Pallàs, R., 2018a.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Rapid age assessment of glacial landforms in the Pyrenees using Schmidt hammer exposure dating (SHED).</w:t>
      </w:r>
      <w:proofErr w:type="gramEnd"/>
      <w:r w:rsidRPr="007A5EAD">
        <w:rPr>
          <w:rFonts w:ascii="Gill Sans MT" w:hAnsi="Gill Sans MT"/>
          <w:sz w:val="20"/>
          <w:lang w:eastAsia="en-GB"/>
        </w:rPr>
        <w:t xml:space="preserve">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w:t>
      </w:r>
      <w:proofErr w:type="gramStart"/>
      <w:r w:rsidRPr="007A5EAD">
        <w:rPr>
          <w:rFonts w:ascii="Gill Sans MT" w:hAnsi="Gill Sans MT"/>
          <w:sz w:val="20"/>
          <w:lang w:eastAsia="en-GB"/>
        </w:rPr>
        <w:t>Volume, Shape, and Roundness of Quartz Particles.</w:t>
      </w:r>
      <w:proofErr w:type="gramEnd"/>
      <w:r w:rsidRPr="007A5EAD">
        <w:rPr>
          <w:rFonts w:ascii="Gill Sans MT" w:hAnsi="Gill Sans MT"/>
          <w:sz w:val="20"/>
          <w:lang w:eastAsia="en-GB"/>
        </w:rPr>
        <w:t xml:space="preserve">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Ward,</w:t>
      </w:r>
      <w:proofErr w:type="gramEnd"/>
      <w:r w:rsidRPr="007A5EAD">
        <w:rPr>
          <w:rFonts w:ascii="Gill Sans MT" w:hAnsi="Gill Sans MT"/>
          <w:sz w:val="20"/>
          <w:lang w:eastAsia="en-GB"/>
        </w:rPr>
        <w:t xml:space="preserve">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Wilson, P., Dunlop, P., Millar, C., Wilson, F.A.,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A5EAD">
        <w:rPr>
          <w:rFonts w:ascii="Gill Sans MT" w:hAnsi="Gill Sans MT"/>
          <w:sz w:val="20"/>
          <w:lang w:eastAsia="en-GB"/>
        </w:rPr>
        <w:t xml:space="preserve">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Winkler, S., 2005.</w:t>
      </w:r>
      <w:proofErr w:type="gramEnd"/>
      <w:r w:rsidRPr="007A5EAD">
        <w:rPr>
          <w:rFonts w:ascii="Gill Sans MT" w:hAnsi="Gill Sans MT"/>
          <w:sz w:val="20"/>
          <w:lang w:eastAsia="en-GB"/>
        </w:rPr>
        <w:t xml:space="preserve">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Kłapyta,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L., 2020.</w:t>
      </w:r>
      <w:proofErr w:type="gramEnd"/>
      <w:r w:rsidRPr="007A5EAD">
        <w:rPr>
          <w:rFonts w:ascii="Gill Sans MT" w:hAnsi="Gill Sans MT"/>
          <w:sz w:val="20"/>
          <w:lang w:eastAsia="en-GB"/>
        </w:rPr>
        <w:t xml:space="preserve">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w:t>
      </w:r>
      <w:proofErr w:type="spellStart"/>
      <w:r w:rsidRPr="007A5EAD">
        <w:rPr>
          <w:rFonts w:ascii="Gill Sans MT" w:hAnsi="Gill Sans MT"/>
          <w:sz w:val="20"/>
          <w:lang w:eastAsia="en-GB"/>
        </w:rPr>
        <w:t>Tatra</w:t>
      </w:r>
      <w:proofErr w:type="spellEnd"/>
      <w:r w:rsidRPr="007A5EAD">
        <w:rPr>
          <w:rFonts w:ascii="Gill Sans MT" w:hAnsi="Gill Sans MT"/>
          <w:sz w:val="20"/>
          <w:lang w:eastAsia="en-GB"/>
        </w:rPr>
        <w:t xml:space="preserve"> Mountains, Slovakia. </w:t>
      </w:r>
      <w:proofErr w:type="gramStart"/>
      <w:r w:rsidRPr="007A5EAD">
        <w:rPr>
          <w:rFonts w:ascii="Gill Sans MT" w:hAnsi="Gill Sans MT"/>
          <w:sz w:val="20"/>
          <w:lang w:eastAsia="en-GB"/>
        </w:rPr>
        <w:t>Geomorphology 358, 107093.</w:t>
      </w:r>
      <w:proofErr w:type="gramEnd"/>
      <w:r w:rsidRPr="007A5EAD">
        <w:rPr>
          <w:rFonts w:ascii="Gill Sans MT" w:hAnsi="Gill Sans MT"/>
          <w:sz w:val="20"/>
          <w:lang w:eastAsia="en-GB"/>
        </w:rPr>
        <w:t xml:space="preserve">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Kubik,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w:t>
      </w:r>
      <w:proofErr w:type="gramStart"/>
      <w:r w:rsidRPr="007A5EAD">
        <w:rPr>
          <w:rFonts w:ascii="Gill Sans MT" w:hAnsi="Gill Sans MT"/>
          <w:sz w:val="20"/>
          <w:lang w:eastAsia="en-GB"/>
        </w:rPr>
        <w:t xml:space="preserve">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Be surface exposure dating.</w:t>
      </w:r>
      <w:proofErr w:type="gramEnd"/>
      <w:r w:rsidRPr="007A5EAD">
        <w:rPr>
          <w:rFonts w:ascii="Gill Sans MT" w:hAnsi="Gill Sans MT"/>
          <w:sz w:val="20"/>
          <w:lang w:eastAsia="en-GB"/>
        </w:rPr>
        <w:t xml:space="preserve">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w:t>
      </w:r>
      <w:proofErr w:type="gramStart"/>
      <w:r w:rsidRPr="007A5EAD">
        <w:rPr>
          <w:rFonts w:ascii="Gill Sans MT" w:hAnsi="Gill Sans MT"/>
          <w:sz w:val="20"/>
          <w:lang w:eastAsia="en-GB"/>
        </w:rPr>
        <w:t xml:space="preserve">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w:t>
      </w:r>
      <w:proofErr w:type="gramEnd"/>
      <w:r w:rsidRPr="007A5EAD">
        <w:rPr>
          <w:rFonts w:ascii="Gill Sans MT" w:hAnsi="Gill Sans MT"/>
          <w:sz w:val="20"/>
          <w:lang w:eastAsia="en-GB"/>
        </w:rPr>
        <w:t xml:space="preserve">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t>
      </w:r>
      <w:proofErr w:type="gramStart"/>
      <w:r w:rsidRPr="007A5EAD">
        <w:rPr>
          <w:rFonts w:ascii="Gill Sans MT" w:hAnsi="Gill Sans MT"/>
          <w:sz w:val="20"/>
          <w:lang w:eastAsia="en-GB"/>
        </w:rPr>
        <w:t>Water Resources Research 30, 3127–3136.</w:t>
      </w:r>
      <w:proofErr w:type="gramEnd"/>
      <w:r w:rsidRPr="007A5EAD">
        <w:rPr>
          <w:rFonts w:ascii="Gill Sans MT" w:hAnsi="Gill Sans MT"/>
          <w:sz w:val="20"/>
          <w:lang w:eastAsia="en-GB"/>
        </w:rPr>
        <w:t xml:space="preserve">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5">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0"/>
  </w:num>
  <w:num w:numId="5">
    <w:abstractNumId w:val="4"/>
  </w:num>
  <w:num w:numId="6">
    <w:abstractNumId w:val="12"/>
  </w:num>
  <w:num w:numId="7">
    <w:abstractNumId w:val="8"/>
  </w:num>
  <w:num w:numId="8">
    <w:abstractNumId w:val="5"/>
  </w:num>
  <w:num w:numId="9">
    <w:abstractNumId w:val="15"/>
  </w:num>
  <w:num w:numId="10">
    <w:abstractNumId w:val="16"/>
  </w:num>
  <w:num w:numId="11">
    <w:abstractNumId w:val="14"/>
  </w:num>
  <w:num w:numId="12">
    <w:abstractNumId w:val="11"/>
  </w:num>
  <w:num w:numId="13">
    <w:abstractNumId w:val="7"/>
  </w:num>
  <w:num w:numId="14">
    <w:abstractNumId w:val="2"/>
  </w:num>
  <w:num w:numId="15">
    <w:abstractNumId w:val="9"/>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2120"/>
    <w:rsid w:val="00012F30"/>
    <w:rsid w:val="00013E1B"/>
    <w:rsid w:val="000148B2"/>
    <w:rsid w:val="00014ADC"/>
    <w:rsid w:val="00014DB0"/>
    <w:rsid w:val="00015F5B"/>
    <w:rsid w:val="000168BD"/>
    <w:rsid w:val="0001716F"/>
    <w:rsid w:val="000206EF"/>
    <w:rsid w:val="00021FDA"/>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15DA"/>
    <w:rsid w:val="00061D3B"/>
    <w:rsid w:val="00062AD3"/>
    <w:rsid w:val="00062DAD"/>
    <w:rsid w:val="00062EEC"/>
    <w:rsid w:val="00063026"/>
    <w:rsid w:val="000630CC"/>
    <w:rsid w:val="00064D2A"/>
    <w:rsid w:val="00065852"/>
    <w:rsid w:val="00066395"/>
    <w:rsid w:val="000670E6"/>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D46"/>
    <w:rsid w:val="00083376"/>
    <w:rsid w:val="000833A9"/>
    <w:rsid w:val="00083964"/>
    <w:rsid w:val="00083A58"/>
    <w:rsid w:val="00083F09"/>
    <w:rsid w:val="00084A34"/>
    <w:rsid w:val="00084B8B"/>
    <w:rsid w:val="000858E1"/>
    <w:rsid w:val="00085DDF"/>
    <w:rsid w:val="00086C6D"/>
    <w:rsid w:val="00086FF4"/>
    <w:rsid w:val="0008739C"/>
    <w:rsid w:val="00087C32"/>
    <w:rsid w:val="00087C3A"/>
    <w:rsid w:val="00090B32"/>
    <w:rsid w:val="000912C2"/>
    <w:rsid w:val="00092DF4"/>
    <w:rsid w:val="00093100"/>
    <w:rsid w:val="00093105"/>
    <w:rsid w:val="00093151"/>
    <w:rsid w:val="00093B9F"/>
    <w:rsid w:val="00093C5F"/>
    <w:rsid w:val="000945AF"/>
    <w:rsid w:val="00094ABA"/>
    <w:rsid w:val="00094F9A"/>
    <w:rsid w:val="0009520C"/>
    <w:rsid w:val="00095C34"/>
    <w:rsid w:val="00096F41"/>
    <w:rsid w:val="00097FB4"/>
    <w:rsid w:val="00097FF2"/>
    <w:rsid w:val="000A01ED"/>
    <w:rsid w:val="000A0A4C"/>
    <w:rsid w:val="000A0BAE"/>
    <w:rsid w:val="000A1637"/>
    <w:rsid w:val="000A3981"/>
    <w:rsid w:val="000A3D9C"/>
    <w:rsid w:val="000A56AC"/>
    <w:rsid w:val="000A5A71"/>
    <w:rsid w:val="000A602F"/>
    <w:rsid w:val="000A6725"/>
    <w:rsid w:val="000A69BE"/>
    <w:rsid w:val="000A703C"/>
    <w:rsid w:val="000A727E"/>
    <w:rsid w:val="000A73B0"/>
    <w:rsid w:val="000B0520"/>
    <w:rsid w:val="000B129B"/>
    <w:rsid w:val="000B1ED3"/>
    <w:rsid w:val="000B21C6"/>
    <w:rsid w:val="000B340E"/>
    <w:rsid w:val="000B47E5"/>
    <w:rsid w:val="000B4B14"/>
    <w:rsid w:val="000B5430"/>
    <w:rsid w:val="000B5979"/>
    <w:rsid w:val="000B5A3E"/>
    <w:rsid w:val="000B5B21"/>
    <w:rsid w:val="000B66EE"/>
    <w:rsid w:val="000B6846"/>
    <w:rsid w:val="000B703E"/>
    <w:rsid w:val="000B7B48"/>
    <w:rsid w:val="000C1165"/>
    <w:rsid w:val="000C1DD6"/>
    <w:rsid w:val="000C1EAE"/>
    <w:rsid w:val="000C279F"/>
    <w:rsid w:val="000C294D"/>
    <w:rsid w:val="000C35B9"/>
    <w:rsid w:val="000C4DDF"/>
    <w:rsid w:val="000C4E05"/>
    <w:rsid w:val="000C645F"/>
    <w:rsid w:val="000D0604"/>
    <w:rsid w:val="000D08A9"/>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EED"/>
    <w:rsid w:val="000E48FB"/>
    <w:rsid w:val="000E4B67"/>
    <w:rsid w:val="000E5036"/>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6E82"/>
    <w:rsid w:val="000F7561"/>
    <w:rsid w:val="000F7C51"/>
    <w:rsid w:val="000F7F86"/>
    <w:rsid w:val="001006A7"/>
    <w:rsid w:val="001007D6"/>
    <w:rsid w:val="00101EFB"/>
    <w:rsid w:val="00102714"/>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F2A"/>
    <w:rsid w:val="00114570"/>
    <w:rsid w:val="00114A13"/>
    <w:rsid w:val="00114EC8"/>
    <w:rsid w:val="00115007"/>
    <w:rsid w:val="00115153"/>
    <w:rsid w:val="00116E64"/>
    <w:rsid w:val="00117264"/>
    <w:rsid w:val="001179AC"/>
    <w:rsid w:val="001206AA"/>
    <w:rsid w:val="0012491F"/>
    <w:rsid w:val="001253DC"/>
    <w:rsid w:val="001253FA"/>
    <w:rsid w:val="00125832"/>
    <w:rsid w:val="00125EA6"/>
    <w:rsid w:val="001260DC"/>
    <w:rsid w:val="0012679C"/>
    <w:rsid w:val="001269DC"/>
    <w:rsid w:val="00130081"/>
    <w:rsid w:val="00130B99"/>
    <w:rsid w:val="00131047"/>
    <w:rsid w:val="00131084"/>
    <w:rsid w:val="00131515"/>
    <w:rsid w:val="00131D38"/>
    <w:rsid w:val="00132253"/>
    <w:rsid w:val="00132628"/>
    <w:rsid w:val="00134E85"/>
    <w:rsid w:val="00136463"/>
    <w:rsid w:val="00136B65"/>
    <w:rsid w:val="00136D78"/>
    <w:rsid w:val="00136F2D"/>
    <w:rsid w:val="001371B5"/>
    <w:rsid w:val="0013743F"/>
    <w:rsid w:val="00137798"/>
    <w:rsid w:val="00137AC4"/>
    <w:rsid w:val="00137D4D"/>
    <w:rsid w:val="00137DED"/>
    <w:rsid w:val="00140BC8"/>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1425"/>
    <w:rsid w:val="00152A5B"/>
    <w:rsid w:val="00153633"/>
    <w:rsid w:val="00153C42"/>
    <w:rsid w:val="001544E0"/>
    <w:rsid w:val="00154B23"/>
    <w:rsid w:val="00156525"/>
    <w:rsid w:val="00157951"/>
    <w:rsid w:val="00160305"/>
    <w:rsid w:val="00160529"/>
    <w:rsid w:val="00161818"/>
    <w:rsid w:val="00161E59"/>
    <w:rsid w:val="00162A04"/>
    <w:rsid w:val="00163186"/>
    <w:rsid w:val="001634B6"/>
    <w:rsid w:val="001647D4"/>
    <w:rsid w:val="001650A6"/>
    <w:rsid w:val="00165B36"/>
    <w:rsid w:val="00166717"/>
    <w:rsid w:val="001671A7"/>
    <w:rsid w:val="0016795D"/>
    <w:rsid w:val="00167A4B"/>
    <w:rsid w:val="00170403"/>
    <w:rsid w:val="0017081E"/>
    <w:rsid w:val="00170E0A"/>
    <w:rsid w:val="00171276"/>
    <w:rsid w:val="001718D2"/>
    <w:rsid w:val="00172282"/>
    <w:rsid w:val="00172A79"/>
    <w:rsid w:val="001738E3"/>
    <w:rsid w:val="0017427F"/>
    <w:rsid w:val="0017497F"/>
    <w:rsid w:val="00174FCD"/>
    <w:rsid w:val="00175DC0"/>
    <w:rsid w:val="00175F11"/>
    <w:rsid w:val="001763C6"/>
    <w:rsid w:val="001767B6"/>
    <w:rsid w:val="00176CC1"/>
    <w:rsid w:val="001830C0"/>
    <w:rsid w:val="0018419C"/>
    <w:rsid w:val="00184E2B"/>
    <w:rsid w:val="001857A8"/>
    <w:rsid w:val="00186291"/>
    <w:rsid w:val="00186951"/>
    <w:rsid w:val="00187200"/>
    <w:rsid w:val="00187444"/>
    <w:rsid w:val="00190EA9"/>
    <w:rsid w:val="0019162D"/>
    <w:rsid w:val="00192420"/>
    <w:rsid w:val="00193830"/>
    <w:rsid w:val="00194D13"/>
    <w:rsid w:val="00195135"/>
    <w:rsid w:val="0019681D"/>
    <w:rsid w:val="00196C9C"/>
    <w:rsid w:val="00196CFC"/>
    <w:rsid w:val="00197C5F"/>
    <w:rsid w:val="00197F8F"/>
    <w:rsid w:val="001A02A4"/>
    <w:rsid w:val="001A0FDE"/>
    <w:rsid w:val="001A119F"/>
    <w:rsid w:val="001A1309"/>
    <w:rsid w:val="001A1C70"/>
    <w:rsid w:val="001A1E4B"/>
    <w:rsid w:val="001A2272"/>
    <w:rsid w:val="001A3588"/>
    <w:rsid w:val="001A41B9"/>
    <w:rsid w:val="001A4AEE"/>
    <w:rsid w:val="001A5DF8"/>
    <w:rsid w:val="001A617D"/>
    <w:rsid w:val="001A6E8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52F2"/>
    <w:rsid w:val="001C5BF4"/>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6106"/>
    <w:rsid w:val="001E624C"/>
    <w:rsid w:val="001E6A5D"/>
    <w:rsid w:val="001E6C74"/>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CB9"/>
    <w:rsid w:val="001F679F"/>
    <w:rsid w:val="001F699C"/>
    <w:rsid w:val="001F69A2"/>
    <w:rsid w:val="001F70B4"/>
    <w:rsid w:val="001F7118"/>
    <w:rsid w:val="001F7157"/>
    <w:rsid w:val="001F7180"/>
    <w:rsid w:val="001F75BE"/>
    <w:rsid w:val="00200433"/>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5BB8"/>
    <w:rsid w:val="0022035E"/>
    <w:rsid w:val="002206D0"/>
    <w:rsid w:val="00221D59"/>
    <w:rsid w:val="00222175"/>
    <w:rsid w:val="00222662"/>
    <w:rsid w:val="00223F3D"/>
    <w:rsid w:val="0022480E"/>
    <w:rsid w:val="0022506B"/>
    <w:rsid w:val="002255E9"/>
    <w:rsid w:val="00226B8E"/>
    <w:rsid w:val="00227375"/>
    <w:rsid w:val="0022780B"/>
    <w:rsid w:val="00231096"/>
    <w:rsid w:val="0023154A"/>
    <w:rsid w:val="00231AD9"/>
    <w:rsid w:val="00231D7C"/>
    <w:rsid w:val="002320EE"/>
    <w:rsid w:val="0023230F"/>
    <w:rsid w:val="002324BC"/>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347D"/>
    <w:rsid w:val="00245819"/>
    <w:rsid w:val="00245C76"/>
    <w:rsid w:val="00246DBE"/>
    <w:rsid w:val="00247265"/>
    <w:rsid w:val="002475EA"/>
    <w:rsid w:val="002513A2"/>
    <w:rsid w:val="00251697"/>
    <w:rsid w:val="00252B94"/>
    <w:rsid w:val="00253734"/>
    <w:rsid w:val="00253BC0"/>
    <w:rsid w:val="00253C65"/>
    <w:rsid w:val="00254263"/>
    <w:rsid w:val="0025462D"/>
    <w:rsid w:val="0025483F"/>
    <w:rsid w:val="00256259"/>
    <w:rsid w:val="0025626E"/>
    <w:rsid w:val="0025714B"/>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C83"/>
    <w:rsid w:val="00267D6F"/>
    <w:rsid w:val="00270321"/>
    <w:rsid w:val="00270915"/>
    <w:rsid w:val="00270EC6"/>
    <w:rsid w:val="0027197E"/>
    <w:rsid w:val="00271AE2"/>
    <w:rsid w:val="00272536"/>
    <w:rsid w:val="00272B1B"/>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6EC"/>
    <w:rsid w:val="00286E3E"/>
    <w:rsid w:val="0028735F"/>
    <w:rsid w:val="002904BB"/>
    <w:rsid w:val="00290959"/>
    <w:rsid w:val="0029151C"/>
    <w:rsid w:val="0029159F"/>
    <w:rsid w:val="00291826"/>
    <w:rsid w:val="002918CA"/>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B0585"/>
    <w:rsid w:val="002B13C0"/>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4CDB"/>
    <w:rsid w:val="003058FD"/>
    <w:rsid w:val="00306965"/>
    <w:rsid w:val="00306A2D"/>
    <w:rsid w:val="00306B2F"/>
    <w:rsid w:val="00307B5B"/>
    <w:rsid w:val="00307D6B"/>
    <w:rsid w:val="00310AF9"/>
    <w:rsid w:val="00311C51"/>
    <w:rsid w:val="0031214A"/>
    <w:rsid w:val="003135D7"/>
    <w:rsid w:val="00313C33"/>
    <w:rsid w:val="003140B6"/>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E7D"/>
    <w:rsid w:val="00326F6B"/>
    <w:rsid w:val="00331749"/>
    <w:rsid w:val="00331D9E"/>
    <w:rsid w:val="0033239A"/>
    <w:rsid w:val="0033334B"/>
    <w:rsid w:val="00333B58"/>
    <w:rsid w:val="00333FE3"/>
    <w:rsid w:val="003349D6"/>
    <w:rsid w:val="00337B59"/>
    <w:rsid w:val="00340560"/>
    <w:rsid w:val="0034199E"/>
    <w:rsid w:val="00341BD7"/>
    <w:rsid w:val="00341D4D"/>
    <w:rsid w:val="00342F3B"/>
    <w:rsid w:val="00343650"/>
    <w:rsid w:val="0034375F"/>
    <w:rsid w:val="00343B0B"/>
    <w:rsid w:val="00343D21"/>
    <w:rsid w:val="00343D35"/>
    <w:rsid w:val="00343D3E"/>
    <w:rsid w:val="00345975"/>
    <w:rsid w:val="00345DBE"/>
    <w:rsid w:val="00345E34"/>
    <w:rsid w:val="00345EDC"/>
    <w:rsid w:val="00345F8B"/>
    <w:rsid w:val="003474FC"/>
    <w:rsid w:val="003475D8"/>
    <w:rsid w:val="00347933"/>
    <w:rsid w:val="00347F3B"/>
    <w:rsid w:val="00350440"/>
    <w:rsid w:val="00350979"/>
    <w:rsid w:val="00350AF7"/>
    <w:rsid w:val="00351E2F"/>
    <w:rsid w:val="00353E5A"/>
    <w:rsid w:val="00353ECA"/>
    <w:rsid w:val="00353FE2"/>
    <w:rsid w:val="003554F9"/>
    <w:rsid w:val="00356A46"/>
    <w:rsid w:val="00356D3A"/>
    <w:rsid w:val="00356D81"/>
    <w:rsid w:val="003577BF"/>
    <w:rsid w:val="0035782C"/>
    <w:rsid w:val="00360030"/>
    <w:rsid w:val="0036010E"/>
    <w:rsid w:val="0036099B"/>
    <w:rsid w:val="00360B13"/>
    <w:rsid w:val="003615FF"/>
    <w:rsid w:val="00362983"/>
    <w:rsid w:val="00362FDB"/>
    <w:rsid w:val="00363D02"/>
    <w:rsid w:val="00364DD1"/>
    <w:rsid w:val="0036512F"/>
    <w:rsid w:val="00365A63"/>
    <w:rsid w:val="00365F35"/>
    <w:rsid w:val="00366B54"/>
    <w:rsid w:val="00367693"/>
    <w:rsid w:val="0036783C"/>
    <w:rsid w:val="00370DC8"/>
    <w:rsid w:val="003716A8"/>
    <w:rsid w:val="00372493"/>
    <w:rsid w:val="00373350"/>
    <w:rsid w:val="00373E21"/>
    <w:rsid w:val="00374372"/>
    <w:rsid w:val="003749DD"/>
    <w:rsid w:val="00374ED9"/>
    <w:rsid w:val="003750F4"/>
    <w:rsid w:val="003762A1"/>
    <w:rsid w:val="003765B6"/>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EDF"/>
    <w:rsid w:val="003A468E"/>
    <w:rsid w:val="003A47DD"/>
    <w:rsid w:val="003A48F8"/>
    <w:rsid w:val="003A4C4A"/>
    <w:rsid w:val="003A61B7"/>
    <w:rsid w:val="003A6FF4"/>
    <w:rsid w:val="003B00CF"/>
    <w:rsid w:val="003B057A"/>
    <w:rsid w:val="003B05A8"/>
    <w:rsid w:val="003B465C"/>
    <w:rsid w:val="003B4CAC"/>
    <w:rsid w:val="003B4E22"/>
    <w:rsid w:val="003B5387"/>
    <w:rsid w:val="003B5A31"/>
    <w:rsid w:val="003B6A38"/>
    <w:rsid w:val="003B77F4"/>
    <w:rsid w:val="003B7E0B"/>
    <w:rsid w:val="003C0457"/>
    <w:rsid w:val="003C047B"/>
    <w:rsid w:val="003C1F01"/>
    <w:rsid w:val="003C1FDA"/>
    <w:rsid w:val="003C21DB"/>
    <w:rsid w:val="003C4948"/>
    <w:rsid w:val="003C5390"/>
    <w:rsid w:val="003C5686"/>
    <w:rsid w:val="003C6BAE"/>
    <w:rsid w:val="003C7CB8"/>
    <w:rsid w:val="003D0973"/>
    <w:rsid w:val="003D1032"/>
    <w:rsid w:val="003D175A"/>
    <w:rsid w:val="003D189E"/>
    <w:rsid w:val="003D1ABF"/>
    <w:rsid w:val="003D2307"/>
    <w:rsid w:val="003D317F"/>
    <w:rsid w:val="003D422B"/>
    <w:rsid w:val="003D50EF"/>
    <w:rsid w:val="003D50F6"/>
    <w:rsid w:val="003D52A5"/>
    <w:rsid w:val="003D5496"/>
    <w:rsid w:val="003D6891"/>
    <w:rsid w:val="003D7F39"/>
    <w:rsid w:val="003E0143"/>
    <w:rsid w:val="003E06EB"/>
    <w:rsid w:val="003E0912"/>
    <w:rsid w:val="003E193D"/>
    <w:rsid w:val="003E1D69"/>
    <w:rsid w:val="003E24FF"/>
    <w:rsid w:val="003E2D3F"/>
    <w:rsid w:val="003E3427"/>
    <w:rsid w:val="003E3BB0"/>
    <w:rsid w:val="003E3C76"/>
    <w:rsid w:val="003E4276"/>
    <w:rsid w:val="003E4B55"/>
    <w:rsid w:val="003E673B"/>
    <w:rsid w:val="003E716E"/>
    <w:rsid w:val="003E7C8E"/>
    <w:rsid w:val="003E7DCA"/>
    <w:rsid w:val="003F0D04"/>
    <w:rsid w:val="003F1098"/>
    <w:rsid w:val="003F12ED"/>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585"/>
    <w:rsid w:val="00405D7C"/>
    <w:rsid w:val="004064F5"/>
    <w:rsid w:val="0040680B"/>
    <w:rsid w:val="00406921"/>
    <w:rsid w:val="0040699D"/>
    <w:rsid w:val="00406B69"/>
    <w:rsid w:val="00407235"/>
    <w:rsid w:val="004074D8"/>
    <w:rsid w:val="00407EFF"/>
    <w:rsid w:val="00407FB2"/>
    <w:rsid w:val="004124BD"/>
    <w:rsid w:val="00412C6E"/>
    <w:rsid w:val="00413181"/>
    <w:rsid w:val="0041326E"/>
    <w:rsid w:val="0041404F"/>
    <w:rsid w:val="00414131"/>
    <w:rsid w:val="004143D4"/>
    <w:rsid w:val="00414DA6"/>
    <w:rsid w:val="004150B1"/>
    <w:rsid w:val="004159F1"/>
    <w:rsid w:val="0041609C"/>
    <w:rsid w:val="00416104"/>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45E"/>
    <w:rsid w:val="00463C48"/>
    <w:rsid w:val="00463FF3"/>
    <w:rsid w:val="00464412"/>
    <w:rsid w:val="004652F3"/>
    <w:rsid w:val="0046669A"/>
    <w:rsid w:val="00466BE6"/>
    <w:rsid w:val="004700C3"/>
    <w:rsid w:val="00470AFE"/>
    <w:rsid w:val="00470BE8"/>
    <w:rsid w:val="0047193B"/>
    <w:rsid w:val="00471DEC"/>
    <w:rsid w:val="00472F51"/>
    <w:rsid w:val="00473C97"/>
    <w:rsid w:val="0047452D"/>
    <w:rsid w:val="00476088"/>
    <w:rsid w:val="004765D6"/>
    <w:rsid w:val="00476964"/>
    <w:rsid w:val="00476FEF"/>
    <w:rsid w:val="0047708E"/>
    <w:rsid w:val="00477BEA"/>
    <w:rsid w:val="00477E3B"/>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CA9"/>
    <w:rsid w:val="0049118A"/>
    <w:rsid w:val="00492882"/>
    <w:rsid w:val="00493558"/>
    <w:rsid w:val="00493E52"/>
    <w:rsid w:val="004941C9"/>
    <w:rsid w:val="004944AA"/>
    <w:rsid w:val="00495793"/>
    <w:rsid w:val="00495D83"/>
    <w:rsid w:val="0049733F"/>
    <w:rsid w:val="00497F57"/>
    <w:rsid w:val="004A1169"/>
    <w:rsid w:val="004A1CB5"/>
    <w:rsid w:val="004A263B"/>
    <w:rsid w:val="004A26B6"/>
    <w:rsid w:val="004A26F6"/>
    <w:rsid w:val="004A2DDB"/>
    <w:rsid w:val="004A2E5D"/>
    <w:rsid w:val="004A3038"/>
    <w:rsid w:val="004A3447"/>
    <w:rsid w:val="004A3467"/>
    <w:rsid w:val="004A46F1"/>
    <w:rsid w:val="004A636F"/>
    <w:rsid w:val="004A6724"/>
    <w:rsid w:val="004A6C80"/>
    <w:rsid w:val="004A774F"/>
    <w:rsid w:val="004A7E5A"/>
    <w:rsid w:val="004B1439"/>
    <w:rsid w:val="004B2079"/>
    <w:rsid w:val="004B22C1"/>
    <w:rsid w:val="004B3712"/>
    <w:rsid w:val="004B3E89"/>
    <w:rsid w:val="004B4516"/>
    <w:rsid w:val="004B539B"/>
    <w:rsid w:val="004B6020"/>
    <w:rsid w:val="004B73D1"/>
    <w:rsid w:val="004B7865"/>
    <w:rsid w:val="004B7D88"/>
    <w:rsid w:val="004C15B3"/>
    <w:rsid w:val="004C1ADB"/>
    <w:rsid w:val="004C1EE8"/>
    <w:rsid w:val="004C2662"/>
    <w:rsid w:val="004C3B2C"/>
    <w:rsid w:val="004C4093"/>
    <w:rsid w:val="004C4270"/>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5B89"/>
    <w:rsid w:val="004D6238"/>
    <w:rsid w:val="004D65B2"/>
    <w:rsid w:val="004E0A32"/>
    <w:rsid w:val="004E1DF0"/>
    <w:rsid w:val="004E27C8"/>
    <w:rsid w:val="004E40BF"/>
    <w:rsid w:val="004E4560"/>
    <w:rsid w:val="004E5241"/>
    <w:rsid w:val="004E53A0"/>
    <w:rsid w:val="004E5567"/>
    <w:rsid w:val="004E5A00"/>
    <w:rsid w:val="004E6483"/>
    <w:rsid w:val="004E7971"/>
    <w:rsid w:val="004E7E7D"/>
    <w:rsid w:val="004F026D"/>
    <w:rsid w:val="004F0DFD"/>
    <w:rsid w:val="004F14BB"/>
    <w:rsid w:val="004F1E09"/>
    <w:rsid w:val="004F207F"/>
    <w:rsid w:val="004F298D"/>
    <w:rsid w:val="004F4827"/>
    <w:rsid w:val="004F5E58"/>
    <w:rsid w:val="004F5E63"/>
    <w:rsid w:val="004F6C9A"/>
    <w:rsid w:val="004F757D"/>
    <w:rsid w:val="004F7CFE"/>
    <w:rsid w:val="00500E05"/>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40B8"/>
    <w:rsid w:val="00515286"/>
    <w:rsid w:val="0051739E"/>
    <w:rsid w:val="00517607"/>
    <w:rsid w:val="005207EF"/>
    <w:rsid w:val="00520AF8"/>
    <w:rsid w:val="00521048"/>
    <w:rsid w:val="005214E4"/>
    <w:rsid w:val="00522135"/>
    <w:rsid w:val="005222D2"/>
    <w:rsid w:val="00522C62"/>
    <w:rsid w:val="00523DAD"/>
    <w:rsid w:val="005241FA"/>
    <w:rsid w:val="0052437F"/>
    <w:rsid w:val="005246EF"/>
    <w:rsid w:val="00524757"/>
    <w:rsid w:val="00524EF0"/>
    <w:rsid w:val="00525894"/>
    <w:rsid w:val="00525B12"/>
    <w:rsid w:val="005279C2"/>
    <w:rsid w:val="00530E4A"/>
    <w:rsid w:val="00530F54"/>
    <w:rsid w:val="00531497"/>
    <w:rsid w:val="005321C1"/>
    <w:rsid w:val="00532674"/>
    <w:rsid w:val="00532DED"/>
    <w:rsid w:val="00532FEF"/>
    <w:rsid w:val="005335A6"/>
    <w:rsid w:val="00533741"/>
    <w:rsid w:val="00535113"/>
    <w:rsid w:val="00535155"/>
    <w:rsid w:val="005351FD"/>
    <w:rsid w:val="00535338"/>
    <w:rsid w:val="00535533"/>
    <w:rsid w:val="005363E9"/>
    <w:rsid w:val="005364AC"/>
    <w:rsid w:val="00536C18"/>
    <w:rsid w:val="005406E6"/>
    <w:rsid w:val="00541626"/>
    <w:rsid w:val="005426AC"/>
    <w:rsid w:val="00542DFE"/>
    <w:rsid w:val="00543532"/>
    <w:rsid w:val="0054399B"/>
    <w:rsid w:val="00543B9C"/>
    <w:rsid w:val="00543EB2"/>
    <w:rsid w:val="0054596F"/>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A47"/>
    <w:rsid w:val="0055793E"/>
    <w:rsid w:val="00557956"/>
    <w:rsid w:val="00557A6D"/>
    <w:rsid w:val="0056058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106C"/>
    <w:rsid w:val="005710BC"/>
    <w:rsid w:val="00571B75"/>
    <w:rsid w:val="00572221"/>
    <w:rsid w:val="005725E3"/>
    <w:rsid w:val="0057304D"/>
    <w:rsid w:val="00573421"/>
    <w:rsid w:val="00573BC7"/>
    <w:rsid w:val="00573E14"/>
    <w:rsid w:val="00573FB6"/>
    <w:rsid w:val="00574257"/>
    <w:rsid w:val="00574C89"/>
    <w:rsid w:val="00575141"/>
    <w:rsid w:val="0057569B"/>
    <w:rsid w:val="00575D3E"/>
    <w:rsid w:val="0057663F"/>
    <w:rsid w:val="00577FC0"/>
    <w:rsid w:val="00581AE7"/>
    <w:rsid w:val="00582028"/>
    <w:rsid w:val="0058216E"/>
    <w:rsid w:val="00582A51"/>
    <w:rsid w:val="00582C44"/>
    <w:rsid w:val="00583866"/>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E51"/>
    <w:rsid w:val="005A2E5A"/>
    <w:rsid w:val="005A2F51"/>
    <w:rsid w:val="005A3622"/>
    <w:rsid w:val="005A3D79"/>
    <w:rsid w:val="005A40C3"/>
    <w:rsid w:val="005A4116"/>
    <w:rsid w:val="005A4711"/>
    <w:rsid w:val="005A5510"/>
    <w:rsid w:val="005A56E1"/>
    <w:rsid w:val="005A6553"/>
    <w:rsid w:val="005A691A"/>
    <w:rsid w:val="005A6AC3"/>
    <w:rsid w:val="005A78DC"/>
    <w:rsid w:val="005A7C53"/>
    <w:rsid w:val="005A7D00"/>
    <w:rsid w:val="005B02CA"/>
    <w:rsid w:val="005B07CD"/>
    <w:rsid w:val="005B153F"/>
    <w:rsid w:val="005B1CE2"/>
    <w:rsid w:val="005B2B1F"/>
    <w:rsid w:val="005B37F9"/>
    <w:rsid w:val="005B4198"/>
    <w:rsid w:val="005B42FA"/>
    <w:rsid w:val="005B53CA"/>
    <w:rsid w:val="005B551D"/>
    <w:rsid w:val="005B7014"/>
    <w:rsid w:val="005B7897"/>
    <w:rsid w:val="005C22E2"/>
    <w:rsid w:val="005C27C4"/>
    <w:rsid w:val="005C2822"/>
    <w:rsid w:val="005C28ED"/>
    <w:rsid w:val="005C2A6C"/>
    <w:rsid w:val="005C2DDC"/>
    <w:rsid w:val="005C3080"/>
    <w:rsid w:val="005C3621"/>
    <w:rsid w:val="005C3870"/>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48B3"/>
    <w:rsid w:val="005E4CA8"/>
    <w:rsid w:val="005E6063"/>
    <w:rsid w:val="005E607B"/>
    <w:rsid w:val="005E731F"/>
    <w:rsid w:val="005E7560"/>
    <w:rsid w:val="005F1145"/>
    <w:rsid w:val="005F1526"/>
    <w:rsid w:val="005F2382"/>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E8"/>
    <w:rsid w:val="00605F1D"/>
    <w:rsid w:val="00606068"/>
    <w:rsid w:val="006061B9"/>
    <w:rsid w:val="00606436"/>
    <w:rsid w:val="00606A6A"/>
    <w:rsid w:val="00606C0C"/>
    <w:rsid w:val="00607609"/>
    <w:rsid w:val="0060797B"/>
    <w:rsid w:val="00610CE0"/>
    <w:rsid w:val="00612588"/>
    <w:rsid w:val="00612729"/>
    <w:rsid w:val="00613A59"/>
    <w:rsid w:val="00613EE1"/>
    <w:rsid w:val="006144DD"/>
    <w:rsid w:val="006145D3"/>
    <w:rsid w:val="006146B4"/>
    <w:rsid w:val="00614D5D"/>
    <w:rsid w:val="00614F79"/>
    <w:rsid w:val="00616FD3"/>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4371"/>
    <w:rsid w:val="00644597"/>
    <w:rsid w:val="00644898"/>
    <w:rsid w:val="00644E42"/>
    <w:rsid w:val="00645A23"/>
    <w:rsid w:val="00645D9D"/>
    <w:rsid w:val="00645FF1"/>
    <w:rsid w:val="0064634C"/>
    <w:rsid w:val="006473A5"/>
    <w:rsid w:val="0064747A"/>
    <w:rsid w:val="00647591"/>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60B"/>
    <w:rsid w:val="00683BC6"/>
    <w:rsid w:val="00684101"/>
    <w:rsid w:val="00684F2C"/>
    <w:rsid w:val="006856F1"/>
    <w:rsid w:val="00685BFD"/>
    <w:rsid w:val="00686D5C"/>
    <w:rsid w:val="00687B8C"/>
    <w:rsid w:val="00690815"/>
    <w:rsid w:val="0069099B"/>
    <w:rsid w:val="00690FFB"/>
    <w:rsid w:val="006924B9"/>
    <w:rsid w:val="00692EDB"/>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30C7"/>
    <w:rsid w:val="006A3F96"/>
    <w:rsid w:val="006A4C8A"/>
    <w:rsid w:val="006A54B9"/>
    <w:rsid w:val="006A655E"/>
    <w:rsid w:val="006A6613"/>
    <w:rsid w:val="006A6618"/>
    <w:rsid w:val="006A7376"/>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587"/>
    <w:rsid w:val="006D0AEF"/>
    <w:rsid w:val="006D1C99"/>
    <w:rsid w:val="006D2247"/>
    <w:rsid w:val="006D30AA"/>
    <w:rsid w:val="006D3130"/>
    <w:rsid w:val="006D4156"/>
    <w:rsid w:val="006D5506"/>
    <w:rsid w:val="006D5796"/>
    <w:rsid w:val="006D58C1"/>
    <w:rsid w:val="006D6A5A"/>
    <w:rsid w:val="006D756E"/>
    <w:rsid w:val="006D775F"/>
    <w:rsid w:val="006D7B8B"/>
    <w:rsid w:val="006D7FCA"/>
    <w:rsid w:val="006E08F9"/>
    <w:rsid w:val="006E1137"/>
    <w:rsid w:val="006E16F3"/>
    <w:rsid w:val="006E187F"/>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479C"/>
    <w:rsid w:val="00714E3B"/>
    <w:rsid w:val="00715C77"/>
    <w:rsid w:val="0071712A"/>
    <w:rsid w:val="007176FB"/>
    <w:rsid w:val="00717C37"/>
    <w:rsid w:val="00722C5B"/>
    <w:rsid w:val="00722CD8"/>
    <w:rsid w:val="0072413F"/>
    <w:rsid w:val="007245F9"/>
    <w:rsid w:val="00724E59"/>
    <w:rsid w:val="00725894"/>
    <w:rsid w:val="0072601E"/>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40215"/>
    <w:rsid w:val="00741CCE"/>
    <w:rsid w:val="00741F1D"/>
    <w:rsid w:val="0074255C"/>
    <w:rsid w:val="0074395A"/>
    <w:rsid w:val="00743C25"/>
    <w:rsid w:val="00743E0A"/>
    <w:rsid w:val="00744B8B"/>
    <w:rsid w:val="00745136"/>
    <w:rsid w:val="007459BF"/>
    <w:rsid w:val="00745EF2"/>
    <w:rsid w:val="00746167"/>
    <w:rsid w:val="007469E6"/>
    <w:rsid w:val="00746A0F"/>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AF8"/>
    <w:rsid w:val="007621D7"/>
    <w:rsid w:val="007623E8"/>
    <w:rsid w:val="0076241F"/>
    <w:rsid w:val="00762CE7"/>
    <w:rsid w:val="00762D29"/>
    <w:rsid w:val="00763160"/>
    <w:rsid w:val="007634D2"/>
    <w:rsid w:val="00763545"/>
    <w:rsid w:val="007645A4"/>
    <w:rsid w:val="00764644"/>
    <w:rsid w:val="0076494D"/>
    <w:rsid w:val="00764DFA"/>
    <w:rsid w:val="00764F9E"/>
    <w:rsid w:val="00765807"/>
    <w:rsid w:val="00765BE6"/>
    <w:rsid w:val="00765CB0"/>
    <w:rsid w:val="0076603A"/>
    <w:rsid w:val="007679D2"/>
    <w:rsid w:val="00767E06"/>
    <w:rsid w:val="00770775"/>
    <w:rsid w:val="00770C99"/>
    <w:rsid w:val="00771B0A"/>
    <w:rsid w:val="00771D8D"/>
    <w:rsid w:val="007722E8"/>
    <w:rsid w:val="00772B4F"/>
    <w:rsid w:val="0077475C"/>
    <w:rsid w:val="0077548B"/>
    <w:rsid w:val="007757AD"/>
    <w:rsid w:val="00776ACB"/>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0900"/>
    <w:rsid w:val="007B1297"/>
    <w:rsid w:val="007B1B14"/>
    <w:rsid w:val="007B2D6C"/>
    <w:rsid w:val="007B328C"/>
    <w:rsid w:val="007B481F"/>
    <w:rsid w:val="007B4F6F"/>
    <w:rsid w:val="007B6258"/>
    <w:rsid w:val="007B633D"/>
    <w:rsid w:val="007B6B8E"/>
    <w:rsid w:val="007B6C5B"/>
    <w:rsid w:val="007B6CE0"/>
    <w:rsid w:val="007C009D"/>
    <w:rsid w:val="007C2A35"/>
    <w:rsid w:val="007C2E82"/>
    <w:rsid w:val="007C32B5"/>
    <w:rsid w:val="007C32FA"/>
    <w:rsid w:val="007C4529"/>
    <w:rsid w:val="007C4F89"/>
    <w:rsid w:val="007C5439"/>
    <w:rsid w:val="007C5B68"/>
    <w:rsid w:val="007C5D27"/>
    <w:rsid w:val="007C647E"/>
    <w:rsid w:val="007C6530"/>
    <w:rsid w:val="007C6ED7"/>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E4F7A"/>
    <w:rsid w:val="007E66D6"/>
    <w:rsid w:val="007E6D54"/>
    <w:rsid w:val="007E7A28"/>
    <w:rsid w:val="007F0A97"/>
    <w:rsid w:val="007F0F9D"/>
    <w:rsid w:val="007F112F"/>
    <w:rsid w:val="007F1387"/>
    <w:rsid w:val="007F1B76"/>
    <w:rsid w:val="007F2B06"/>
    <w:rsid w:val="007F3869"/>
    <w:rsid w:val="007F4474"/>
    <w:rsid w:val="007F4BE2"/>
    <w:rsid w:val="007F6466"/>
    <w:rsid w:val="007F67B8"/>
    <w:rsid w:val="007F75DD"/>
    <w:rsid w:val="008022A2"/>
    <w:rsid w:val="008046D9"/>
    <w:rsid w:val="00804CB4"/>
    <w:rsid w:val="008055A1"/>
    <w:rsid w:val="00807E89"/>
    <w:rsid w:val="0081001E"/>
    <w:rsid w:val="0081152A"/>
    <w:rsid w:val="008115F5"/>
    <w:rsid w:val="008120F9"/>
    <w:rsid w:val="0081244B"/>
    <w:rsid w:val="00812E61"/>
    <w:rsid w:val="00813663"/>
    <w:rsid w:val="00814803"/>
    <w:rsid w:val="008151D6"/>
    <w:rsid w:val="0081600D"/>
    <w:rsid w:val="008161D8"/>
    <w:rsid w:val="0081684D"/>
    <w:rsid w:val="00817056"/>
    <w:rsid w:val="008200E1"/>
    <w:rsid w:val="008210F1"/>
    <w:rsid w:val="00821153"/>
    <w:rsid w:val="00821FE3"/>
    <w:rsid w:val="00822BD5"/>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6C41"/>
    <w:rsid w:val="008676D2"/>
    <w:rsid w:val="00867C69"/>
    <w:rsid w:val="0087086A"/>
    <w:rsid w:val="00870B3F"/>
    <w:rsid w:val="0087122C"/>
    <w:rsid w:val="008712A6"/>
    <w:rsid w:val="00871977"/>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D60"/>
    <w:rsid w:val="00881F54"/>
    <w:rsid w:val="008828D4"/>
    <w:rsid w:val="00882983"/>
    <w:rsid w:val="0088370E"/>
    <w:rsid w:val="00883820"/>
    <w:rsid w:val="00883840"/>
    <w:rsid w:val="00883AD4"/>
    <w:rsid w:val="00883DE0"/>
    <w:rsid w:val="00884217"/>
    <w:rsid w:val="008846ED"/>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533"/>
    <w:rsid w:val="0089277B"/>
    <w:rsid w:val="008929CB"/>
    <w:rsid w:val="008936E5"/>
    <w:rsid w:val="008947CF"/>
    <w:rsid w:val="008957B2"/>
    <w:rsid w:val="00895A07"/>
    <w:rsid w:val="00895C69"/>
    <w:rsid w:val="00895F9F"/>
    <w:rsid w:val="00897680"/>
    <w:rsid w:val="00897918"/>
    <w:rsid w:val="008A05B3"/>
    <w:rsid w:val="008A0831"/>
    <w:rsid w:val="008A17D1"/>
    <w:rsid w:val="008A199E"/>
    <w:rsid w:val="008A1A45"/>
    <w:rsid w:val="008A1A8B"/>
    <w:rsid w:val="008A1FA2"/>
    <w:rsid w:val="008A36BE"/>
    <w:rsid w:val="008A3B68"/>
    <w:rsid w:val="008A4D16"/>
    <w:rsid w:val="008A4E83"/>
    <w:rsid w:val="008A5005"/>
    <w:rsid w:val="008A554C"/>
    <w:rsid w:val="008A5836"/>
    <w:rsid w:val="008A58E1"/>
    <w:rsid w:val="008A5C28"/>
    <w:rsid w:val="008A5D47"/>
    <w:rsid w:val="008B103A"/>
    <w:rsid w:val="008B11EA"/>
    <w:rsid w:val="008B19D9"/>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299"/>
    <w:rsid w:val="008F0CE5"/>
    <w:rsid w:val="008F106C"/>
    <w:rsid w:val="008F198C"/>
    <w:rsid w:val="008F1AC3"/>
    <w:rsid w:val="008F291A"/>
    <w:rsid w:val="008F2A47"/>
    <w:rsid w:val="008F2D42"/>
    <w:rsid w:val="008F2EC6"/>
    <w:rsid w:val="008F2F99"/>
    <w:rsid w:val="008F423E"/>
    <w:rsid w:val="008F48AB"/>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C9D"/>
    <w:rsid w:val="00907DE1"/>
    <w:rsid w:val="009103AF"/>
    <w:rsid w:val="009107A8"/>
    <w:rsid w:val="00910974"/>
    <w:rsid w:val="00910A15"/>
    <w:rsid w:val="00911CD2"/>
    <w:rsid w:val="00912A45"/>
    <w:rsid w:val="00913545"/>
    <w:rsid w:val="00913882"/>
    <w:rsid w:val="00914161"/>
    <w:rsid w:val="00914A85"/>
    <w:rsid w:val="00914A9F"/>
    <w:rsid w:val="00914CB2"/>
    <w:rsid w:val="00914F6D"/>
    <w:rsid w:val="00915532"/>
    <w:rsid w:val="00915771"/>
    <w:rsid w:val="0091598E"/>
    <w:rsid w:val="00916370"/>
    <w:rsid w:val="009164A4"/>
    <w:rsid w:val="00921384"/>
    <w:rsid w:val="009223FA"/>
    <w:rsid w:val="00922633"/>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C4"/>
    <w:rsid w:val="00943893"/>
    <w:rsid w:val="00943B31"/>
    <w:rsid w:val="009440D9"/>
    <w:rsid w:val="00944D67"/>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8C3"/>
    <w:rsid w:val="00955F09"/>
    <w:rsid w:val="00956DEA"/>
    <w:rsid w:val="009579DD"/>
    <w:rsid w:val="00957A47"/>
    <w:rsid w:val="0096022D"/>
    <w:rsid w:val="009612AA"/>
    <w:rsid w:val="009629FA"/>
    <w:rsid w:val="00962A6C"/>
    <w:rsid w:val="00962B91"/>
    <w:rsid w:val="00962E14"/>
    <w:rsid w:val="00962F70"/>
    <w:rsid w:val="009636A1"/>
    <w:rsid w:val="009642B0"/>
    <w:rsid w:val="009653CB"/>
    <w:rsid w:val="009655CE"/>
    <w:rsid w:val="009656AA"/>
    <w:rsid w:val="00966A40"/>
    <w:rsid w:val="00966AED"/>
    <w:rsid w:val="009679B9"/>
    <w:rsid w:val="00967F79"/>
    <w:rsid w:val="009708F3"/>
    <w:rsid w:val="009717EA"/>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1F1D"/>
    <w:rsid w:val="009922E1"/>
    <w:rsid w:val="009923F0"/>
    <w:rsid w:val="00992425"/>
    <w:rsid w:val="00992D92"/>
    <w:rsid w:val="00993C03"/>
    <w:rsid w:val="0099623D"/>
    <w:rsid w:val="00996B99"/>
    <w:rsid w:val="00996FF3"/>
    <w:rsid w:val="009971BA"/>
    <w:rsid w:val="009A0E62"/>
    <w:rsid w:val="009A0F5A"/>
    <w:rsid w:val="009A19B1"/>
    <w:rsid w:val="009A274E"/>
    <w:rsid w:val="009A2FAA"/>
    <w:rsid w:val="009A3194"/>
    <w:rsid w:val="009A3D0F"/>
    <w:rsid w:val="009A5120"/>
    <w:rsid w:val="009A520D"/>
    <w:rsid w:val="009A6AF1"/>
    <w:rsid w:val="009A7010"/>
    <w:rsid w:val="009A74B8"/>
    <w:rsid w:val="009A771A"/>
    <w:rsid w:val="009B013F"/>
    <w:rsid w:val="009B0865"/>
    <w:rsid w:val="009B08D1"/>
    <w:rsid w:val="009B13DC"/>
    <w:rsid w:val="009B1A90"/>
    <w:rsid w:val="009B283E"/>
    <w:rsid w:val="009B34CF"/>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D31E8"/>
    <w:rsid w:val="009D378C"/>
    <w:rsid w:val="009D497D"/>
    <w:rsid w:val="009D4D84"/>
    <w:rsid w:val="009D4ED6"/>
    <w:rsid w:val="009D51C9"/>
    <w:rsid w:val="009D5409"/>
    <w:rsid w:val="009D60F8"/>
    <w:rsid w:val="009D7FEF"/>
    <w:rsid w:val="009E026D"/>
    <w:rsid w:val="009E0877"/>
    <w:rsid w:val="009E0C80"/>
    <w:rsid w:val="009E152B"/>
    <w:rsid w:val="009E25C9"/>
    <w:rsid w:val="009E2E2E"/>
    <w:rsid w:val="009E343B"/>
    <w:rsid w:val="009E448F"/>
    <w:rsid w:val="009E4C40"/>
    <w:rsid w:val="009E5108"/>
    <w:rsid w:val="009E5B29"/>
    <w:rsid w:val="009E5BB8"/>
    <w:rsid w:val="009E5F36"/>
    <w:rsid w:val="009E6164"/>
    <w:rsid w:val="009E64F2"/>
    <w:rsid w:val="009E7775"/>
    <w:rsid w:val="009F0964"/>
    <w:rsid w:val="009F1237"/>
    <w:rsid w:val="009F1808"/>
    <w:rsid w:val="009F2DBB"/>
    <w:rsid w:val="009F2DDA"/>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EAB"/>
    <w:rsid w:val="00A03BDC"/>
    <w:rsid w:val="00A03EEC"/>
    <w:rsid w:val="00A048AD"/>
    <w:rsid w:val="00A04FFB"/>
    <w:rsid w:val="00A058B0"/>
    <w:rsid w:val="00A05FF0"/>
    <w:rsid w:val="00A06054"/>
    <w:rsid w:val="00A06516"/>
    <w:rsid w:val="00A067EA"/>
    <w:rsid w:val="00A06971"/>
    <w:rsid w:val="00A06F33"/>
    <w:rsid w:val="00A07130"/>
    <w:rsid w:val="00A10A50"/>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1FF2"/>
    <w:rsid w:val="00A22303"/>
    <w:rsid w:val="00A246A4"/>
    <w:rsid w:val="00A263D5"/>
    <w:rsid w:val="00A272C5"/>
    <w:rsid w:val="00A27740"/>
    <w:rsid w:val="00A307A2"/>
    <w:rsid w:val="00A31982"/>
    <w:rsid w:val="00A31BEC"/>
    <w:rsid w:val="00A321B9"/>
    <w:rsid w:val="00A33503"/>
    <w:rsid w:val="00A3467B"/>
    <w:rsid w:val="00A35AF3"/>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D4A"/>
    <w:rsid w:val="00A52ED4"/>
    <w:rsid w:val="00A53135"/>
    <w:rsid w:val="00A536C8"/>
    <w:rsid w:val="00A53FD4"/>
    <w:rsid w:val="00A54006"/>
    <w:rsid w:val="00A544F8"/>
    <w:rsid w:val="00A54931"/>
    <w:rsid w:val="00A54E9C"/>
    <w:rsid w:val="00A55008"/>
    <w:rsid w:val="00A55648"/>
    <w:rsid w:val="00A55946"/>
    <w:rsid w:val="00A55B44"/>
    <w:rsid w:val="00A55D5C"/>
    <w:rsid w:val="00A565AB"/>
    <w:rsid w:val="00A57118"/>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26BB"/>
    <w:rsid w:val="00A72935"/>
    <w:rsid w:val="00A73F14"/>
    <w:rsid w:val="00A74290"/>
    <w:rsid w:val="00A7432F"/>
    <w:rsid w:val="00A74A0C"/>
    <w:rsid w:val="00A74F7F"/>
    <w:rsid w:val="00A755F0"/>
    <w:rsid w:val="00A75D1A"/>
    <w:rsid w:val="00A76060"/>
    <w:rsid w:val="00A76337"/>
    <w:rsid w:val="00A76F39"/>
    <w:rsid w:val="00A77109"/>
    <w:rsid w:val="00A774CE"/>
    <w:rsid w:val="00A779AD"/>
    <w:rsid w:val="00A77E5B"/>
    <w:rsid w:val="00A80624"/>
    <w:rsid w:val="00A80649"/>
    <w:rsid w:val="00A817CB"/>
    <w:rsid w:val="00A838E6"/>
    <w:rsid w:val="00A83BC9"/>
    <w:rsid w:val="00A84338"/>
    <w:rsid w:val="00A84978"/>
    <w:rsid w:val="00A85196"/>
    <w:rsid w:val="00A852FA"/>
    <w:rsid w:val="00A855F0"/>
    <w:rsid w:val="00A86658"/>
    <w:rsid w:val="00A869E9"/>
    <w:rsid w:val="00A876BF"/>
    <w:rsid w:val="00A87793"/>
    <w:rsid w:val="00A87BBD"/>
    <w:rsid w:val="00A90070"/>
    <w:rsid w:val="00A90398"/>
    <w:rsid w:val="00A90935"/>
    <w:rsid w:val="00A91901"/>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E62"/>
    <w:rsid w:val="00AA6523"/>
    <w:rsid w:val="00AA686E"/>
    <w:rsid w:val="00AA7517"/>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612C"/>
    <w:rsid w:val="00AD6A25"/>
    <w:rsid w:val="00AE0E17"/>
    <w:rsid w:val="00AE1887"/>
    <w:rsid w:val="00AE1BCB"/>
    <w:rsid w:val="00AE1E22"/>
    <w:rsid w:val="00AE260D"/>
    <w:rsid w:val="00AE3E7B"/>
    <w:rsid w:val="00AE45BA"/>
    <w:rsid w:val="00AE4859"/>
    <w:rsid w:val="00AE4CB4"/>
    <w:rsid w:val="00AE4F9F"/>
    <w:rsid w:val="00AE50F4"/>
    <w:rsid w:val="00AE5177"/>
    <w:rsid w:val="00AE5AAD"/>
    <w:rsid w:val="00AE5E16"/>
    <w:rsid w:val="00AE69AA"/>
    <w:rsid w:val="00AE75D8"/>
    <w:rsid w:val="00AE7A1A"/>
    <w:rsid w:val="00AE7B6E"/>
    <w:rsid w:val="00AF1773"/>
    <w:rsid w:val="00AF179D"/>
    <w:rsid w:val="00AF23C4"/>
    <w:rsid w:val="00AF2C34"/>
    <w:rsid w:val="00AF2CFB"/>
    <w:rsid w:val="00AF3325"/>
    <w:rsid w:val="00AF390A"/>
    <w:rsid w:val="00AF456E"/>
    <w:rsid w:val="00AF4B8E"/>
    <w:rsid w:val="00AF5E76"/>
    <w:rsid w:val="00AF6D6F"/>
    <w:rsid w:val="00AF6EC2"/>
    <w:rsid w:val="00AF6ECB"/>
    <w:rsid w:val="00AF72EB"/>
    <w:rsid w:val="00AF7A60"/>
    <w:rsid w:val="00B001B7"/>
    <w:rsid w:val="00B00D56"/>
    <w:rsid w:val="00B00E8D"/>
    <w:rsid w:val="00B015F6"/>
    <w:rsid w:val="00B01E5A"/>
    <w:rsid w:val="00B03527"/>
    <w:rsid w:val="00B037FC"/>
    <w:rsid w:val="00B039DC"/>
    <w:rsid w:val="00B044FE"/>
    <w:rsid w:val="00B04C1F"/>
    <w:rsid w:val="00B05CA7"/>
    <w:rsid w:val="00B060FF"/>
    <w:rsid w:val="00B0642B"/>
    <w:rsid w:val="00B06BE4"/>
    <w:rsid w:val="00B06C9E"/>
    <w:rsid w:val="00B10408"/>
    <w:rsid w:val="00B11228"/>
    <w:rsid w:val="00B11485"/>
    <w:rsid w:val="00B11A85"/>
    <w:rsid w:val="00B11B5C"/>
    <w:rsid w:val="00B129A1"/>
    <w:rsid w:val="00B1301D"/>
    <w:rsid w:val="00B133D5"/>
    <w:rsid w:val="00B13760"/>
    <w:rsid w:val="00B152B5"/>
    <w:rsid w:val="00B1541D"/>
    <w:rsid w:val="00B1553A"/>
    <w:rsid w:val="00B161A6"/>
    <w:rsid w:val="00B1744E"/>
    <w:rsid w:val="00B17959"/>
    <w:rsid w:val="00B20087"/>
    <w:rsid w:val="00B20665"/>
    <w:rsid w:val="00B213A6"/>
    <w:rsid w:val="00B21DEB"/>
    <w:rsid w:val="00B220DF"/>
    <w:rsid w:val="00B2484B"/>
    <w:rsid w:val="00B25605"/>
    <w:rsid w:val="00B256D2"/>
    <w:rsid w:val="00B25C72"/>
    <w:rsid w:val="00B25EBF"/>
    <w:rsid w:val="00B25F34"/>
    <w:rsid w:val="00B266AC"/>
    <w:rsid w:val="00B313FA"/>
    <w:rsid w:val="00B31750"/>
    <w:rsid w:val="00B325EB"/>
    <w:rsid w:val="00B32CE1"/>
    <w:rsid w:val="00B333A8"/>
    <w:rsid w:val="00B33601"/>
    <w:rsid w:val="00B33DD5"/>
    <w:rsid w:val="00B345CE"/>
    <w:rsid w:val="00B36196"/>
    <w:rsid w:val="00B368CA"/>
    <w:rsid w:val="00B36D28"/>
    <w:rsid w:val="00B37950"/>
    <w:rsid w:val="00B4069E"/>
    <w:rsid w:val="00B40C48"/>
    <w:rsid w:val="00B40D96"/>
    <w:rsid w:val="00B41164"/>
    <w:rsid w:val="00B4120B"/>
    <w:rsid w:val="00B4255D"/>
    <w:rsid w:val="00B437A8"/>
    <w:rsid w:val="00B4473A"/>
    <w:rsid w:val="00B4536D"/>
    <w:rsid w:val="00B45394"/>
    <w:rsid w:val="00B457DB"/>
    <w:rsid w:val="00B45E99"/>
    <w:rsid w:val="00B46CDF"/>
    <w:rsid w:val="00B46D65"/>
    <w:rsid w:val="00B5025B"/>
    <w:rsid w:val="00B50A72"/>
    <w:rsid w:val="00B51D8B"/>
    <w:rsid w:val="00B523EB"/>
    <w:rsid w:val="00B527B5"/>
    <w:rsid w:val="00B52909"/>
    <w:rsid w:val="00B53459"/>
    <w:rsid w:val="00B541D4"/>
    <w:rsid w:val="00B55244"/>
    <w:rsid w:val="00B564F5"/>
    <w:rsid w:val="00B56844"/>
    <w:rsid w:val="00B57FE8"/>
    <w:rsid w:val="00B6083B"/>
    <w:rsid w:val="00B616D8"/>
    <w:rsid w:val="00B61F1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239F"/>
    <w:rsid w:val="00B7274B"/>
    <w:rsid w:val="00B72E96"/>
    <w:rsid w:val="00B738E5"/>
    <w:rsid w:val="00B73A41"/>
    <w:rsid w:val="00B73DFC"/>
    <w:rsid w:val="00B74297"/>
    <w:rsid w:val="00B74534"/>
    <w:rsid w:val="00B748AD"/>
    <w:rsid w:val="00B74EA0"/>
    <w:rsid w:val="00B75055"/>
    <w:rsid w:val="00B7515F"/>
    <w:rsid w:val="00B76508"/>
    <w:rsid w:val="00B76A72"/>
    <w:rsid w:val="00B773F0"/>
    <w:rsid w:val="00B77E07"/>
    <w:rsid w:val="00B801E9"/>
    <w:rsid w:val="00B80B31"/>
    <w:rsid w:val="00B80F7D"/>
    <w:rsid w:val="00B81313"/>
    <w:rsid w:val="00B81F90"/>
    <w:rsid w:val="00B8202B"/>
    <w:rsid w:val="00B82F80"/>
    <w:rsid w:val="00B833E0"/>
    <w:rsid w:val="00B84A9E"/>
    <w:rsid w:val="00B85070"/>
    <w:rsid w:val="00B85207"/>
    <w:rsid w:val="00B8537A"/>
    <w:rsid w:val="00B8586E"/>
    <w:rsid w:val="00B85EEC"/>
    <w:rsid w:val="00B86CCC"/>
    <w:rsid w:val="00B87199"/>
    <w:rsid w:val="00B87E28"/>
    <w:rsid w:val="00B908CD"/>
    <w:rsid w:val="00B90BD3"/>
    <w:rsid w:val="00B910D0"/>
    <w:rsid w:val="00B91594"/>
    <w:rsid w:val="00B91921"/>
    <w:rsid w:val="00B924DA"/>
    <w:rsid w:val="00B926B4"/>
    <w:rsid w:val="00B92E55"/>
    <w:rsid w:val="00B94113"/>
    <w:rsid w:val="00B94C86"/>
    <w:rsid w:val="00B96B78"/>
    <w:rsid w:val="00B974ED"/>
    <w:rsid w:val="00B9783E"/>
    <w:rsid w:val="00BA05C0"/>
    <w:rsid w:val="00BA07F5"/>
    <w:rsid w:val="00BA0CFA"/>
    <w:rsid w:val="00BA14F3"/>
    <w:rsid w:val="00BA1B70"/>
    <w:rsid w:val="00BA1BD0"/>
    <w:rsid w:val="00BA2B2D"/>
    <w:rsid w:val="00BA2C14"/>
    <w:rsid w:val="00BA348B"/>
    <w:rsid w:val="00BA4F33"/>
    <w:rsid w:val="00BA501C"/>
    <w:rsid w:val="00BA536E"/>
    <w:rsid w:val="00BA562B"/>
    <w:rsid w:val="00BA5A4A"/>
    <w:rsid w:val="00BA6ACB"/>
    <w:rsid w:val="00BA750A"/>
    <w:rsid w:val="00BB1D0C"/>
    <w:rsid w:val="00BB1DB7"/>
    <w:rsid w:val="00BB1F43"/>
    <w:rsid w:val="00BB22D1"/>
    <w:rsid w:val="00BB2EE7"/>
    <w:rsid w:val="00BB34BA"/>
    <w:rsid w:val="00BB3946"/>
    <w:rsid w:val="00BB3BAD"/>
    <w:rsid w:val="00BB3DE9"/>
    <w:rsid w:val="00BB4337"/>
    <w:rsid w:val="00BB480A"/>
    <w:rsid w:val="00BB555E"/>
    <w:rsid w:val="00BB5F70"/>
    <w:rsid w:val="00BB6393"/>
    <w:rsid w:val="00BB6AC4"/>
    <w:rsid w:val="00BB7AE2"/>
    <w:rsid w:val="00BC08CF"/>
    <w:rsid w:val="00BC284D"/>
    <w:rsid w:val="00BC2ECF"/>
    <w:rsid w:val="00BC3194"/>
    <w:rsid w:val="00BC3656"/>
    <w:rsid w:val="00BC407D"/>
    <w:rsid w:val="00BC4EAE"/>
    <w:rsid w:val="00BC62FC"/>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71E8"/>
    <w:rsid w:val="00BD7269"/>
    <w:rsid w:val="00BD7423"/>
    <w:rsid w:val="00BD76CD"/>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1B77"/>
    <w:rsid w:val="00BF1EAA"/>
    <w:rsid w:val="00BF280B"/>
    <w:rsid w:val="00BF3284"/>
    <w:rsid w:val="00BF34D7"/>
    <w:rsid w:val="00BF3590"/>
    <w:rsid w:val="00BF419C"/>
    <w:rsid w:val="00BF4283"/>
    <w:rsid w:val="00BF4941"/>
    <w:rsid w:val="00BF4ABD"/>
    <w:rsid w:val="00BF6A93"/>
    <w:rsid w:val="00C0000B"/>
    <w:rsid w:val="00C006B8"/>
    <w:rsid w:val="00C006FF"/>
    <w:rsid w:val="00C0081F"/>
    <w:rsid w:val="00C00EB8"/>
    <w:rsid w:val="00C01653"/>
    <w:rsid w:val="00C017B1"/>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1849"/>
    <w:rsid w:val="00C11BFD"/>
    <w:rsid w:val="00C1215A"/>
    <w:rsid w:val="00C132C9"/>
    <w:rsid w:val="00C134F3"/>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4D0A"/>
    <w:rsid w:val="00C356F1"/>
    <w:rsid w:val="00C35DB6"/>
    <w:rsid w:val="00C3676B"/>
    <w:rsid w:val="00C36EF1"/>
    <w:rsid w:val="00C37195"/>
    <w:rsid w:val="00C4021F"/>
    <w:rsid w:val="00C4036F"/>
    <w:rsid w:val="00C41BD7"/>
    <w:rsid w:val="00C41D5D"/>
    <w:rsid w:val="00C41E71"/>
    <w:rsid w:val="00C4228A"/>
    <w:rsid w:val="00C4296F"/>
    <w:rsid w:val="00C42D13"/>
    <w:rsid w:val="00C43ED2"/>
    <w:rsid w:val="00C44502"/>
    <w:rsid w:val="00C447B7"/>
    <w:rsid w:val="00C44D72"/>
    <w:rsid w:val="00C4628D"/>
    <w:rsid w:val="00C46A39"/>
    <w:rsid w:val="00C46E41"/>
    <w:rsid w:val="00C471CD"/>
    <w:rsid w:val="00C47E5D"/>
    <w:rsid w:val="00C5001B"/>
    <w:rsid w:val="00C503D6"/>
    <w:rsid w:val="00C50C1D"/>
    <w:rsid w:val="00C519D3"/>
    <w:rsid w:val="00C52282"/>
    <w:rsid w:val="00C5283A"/>
    <w:rsid w:val="00C52A47"/>
    <w:rsid w:val="00C5302D"/>
    <w:rsid w:val="00C535A9"/>
    <w:rsid w:val="00C53BC7"/>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4D0D"/>
    <w:rsid w:val="00C65F31"/>
    <w:rsid w:val="00C6657F"/>
    <w:rsid w:val="00C671A0"/>
    <w:rsid w:val="00C67787"/>
    <w:rsid w:val="00C67C62"/>
    <w:rsid w:val="00C67CD7"/>
    <w:rsid w:val="00C715A1"/>
    <w:rsid w:val="00C72A68"/>
    <w:rsid w:val="00C735AB"/>
    <w:rsid w:val="00C74768"/>
    <w:rsid w:val="00C75C76"/>
    <w:rsid w:val="00C76224"/>
    <w:rsid w:val="00C7727A"/>
    <w:rsid w:val="00C77DF3"/>
    <w:rsid w:val="00C80869"/>
    <w:rsid w:val="00C80ED0"/>
    <w:rsid w:val="00C814FA"/>
    <w:rsid w:val="00C822C3"/>
    <w:rsid w:val="00C823A4"/>
    <w:rsid w:val="00C830B9"/>
    <w:rsid w:val="00C837F5"/>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11DE"/>
    <w:rsid w:val="00CA142A"/>
    <w:rsid w:val="00CA20CC"/>
    <w:rsid w:val="00CA22D1"/>
    <w:rsid w:val="00CA28A7"/>
    <w:rsid w:val="00CA2ADC"/>
    <w:rsid w:val="00CA35F2"/>
    <w:rsid w:val="00CA38A8"/>
    <w:rsid w:val="00CA3B00"/>
    <w:rsid w:val="00CA3E91"/>
    <w:rsid w:val="00CA44AF"/>
    <w:rsid w:val="00CA48B4"/>
    <w:rsid w:val="00CA5602"/>
    <w:rsid w:val="00CA6811"/>
    <w:rsid w:val="00CA6F54"/>
    <w:rsid w:val="00CB0009"/>
    <w:rsid w:val="00CB0DD7"/>
    <w:rsid w:val="00CB14A5"/>
    <w:rsid w:val="00CB203B"/>
    <w:rsid w:val="00CB3721"/>
    <w:rsid w:val="00CB463E"/>
    <w:rsid w:val="00CB46E5"/>
    <w:rsid w:val="00CB4A02"/>
    <w:rsid w:val="00CB5C0A"/>
    <w:rsid w:val="00CB61F9"/>
    <w:rsid w:val="00CB63AE"/>
    <w:rsid w:val="00CB7E49"/>
    <w:rsid w:val="00CC011A"/>
    <w:rsid w:val="00CC039B"/>
    <w:rsid w:val="00CC0407"/>
    <w:rsid w:val="00CC0526"/>
    <w:rsid w:val="00CC06C8"/>
    <w:rsid w:val="00CC0B67"/>
    <w:rsid w:val="00CC1004"/>
    <w:rsid w:val="00CC1010"/>
    <w:rsid w:val="00CC18D5"/>
    <w:rsid w:val="00CC1D02"/>
    <w:rsid w:val="00CC318F"/>
    <w:rsid w:val="00CC3565"/>
    <w:rsid w:val="00CC45FB"/>
    <w:rsid w:val="00CC4D3F"/>
    <w:rsid w:val="00CC5113"/>
    <w:rsid w:val="00CC585B"/>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7020"/>
    <w:rsid w:val="00CE026A"/>
    <w:rsid w:val="00CE0AA1"/>
    <w:rsid w:val="00CE1B3D"/>
    <w:rsid w:val="00CE212B"/>
    <w:rsid w:val="00CE232F"/>
    <w:rsid w:val="00CE2620"/>
    <w:rsid w:val="00CE2BE5"/>
    <w:rsid w:val="00CE2DBD"/>
    <w:rsid w:val="00CE2EDB"/>
    <w:rsid w:val="00CE2F93"/>
    <w:rsid w:val="00CE32D3"/>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300E"/>
    <w:rsid w:val="00CF3189"/>
    <w:rsid w:val="00CF3951"/>
    <w:rsid w:val="00CF46AF"/>
    <w:rsid w:val="00CF47F7"/>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20211"/>
    <w:rsid w:val="00D20C1E"/>
    <w:rsid w:val="00D20E51"/>
    <w:rsid w:val="00D2118E"/>
    <w:rsid w:val="00D22A10"/>
    <w:rsid w:val="00D23068"/>
    <w:rsid w:val="00D23128"/>
    <w:rsid w:val="00D23BC1"/>
    <w:rsid w:val="00D243DE"/>
    <w:rsid w:val="00D25A30"/>
    <w:rsid w:val="00D2629A"/>
    <w:rsid w:val="00D26F7D"/>
    <w:rsid w:val="00D27554"/>
    <w:rsid w:val="00D27EFD"/>
    <w:rsid w:val="00D27FE0"/>
    <w:rsid w:val="00D311A8"/>
    <w:rsid w:val="00D31976"/>
    <w:rsid w:val="00D32175"/>
    <w:rsid w:val="00D3278D"/>
    <w:rsid w:val="00D3397B"/>
    <w:rsid w:val="00D33D64"/>
    <w:rsid w:val="00D340BE"/>
    <w:rsid w:val="00D34188"/>
    <w:rsid w:val="00D3449A"/>
    <w:rsid w:val="00D350D1"/>
    <w:rsid w:val="00D352CA"/>
    <w:rsid w:val="00D359C9"/>
    <w:rsid w:val="00D35A2D"/>
    <w:rsid w:val="00D35C6E"/>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35FF"/>
    <w:rsid w:val="00D53740"/>
    <w:rsid w:val="00D53BD2"/>
    <w:rsid w:val="00D53EEA"/>
    <w:rsid w:val="00D54EA8"/>
    <w:rsid w:val="00D55066"/>
    <w:rsid w:val="00D553C4"/>
    <w:rsid w:val="00D56136"/>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E30"/>
    <w:rsid w:val="00D91600"/>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FE7"/>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C0EF5"/>
    <w:rsid w:val="00DC1160"/>
    <w:rsid w:val="00DC1D5E"/>
    <w:rsid w:val="00DC1F1D"/>
    <w:rsid w:val="00DC2BAA"/>
    <w:rsid w:val="00DC3B62"/>
    <w:rsid w:val="00DC3E7C"/>
    <w:rsid w:val="00DC4512"/>
    <w:rsid w:val="00DC5604"/>
    <w:rsid w:val="00DC7952"/>
    <w:rsid w:val="00DD00D7"/>
    <w:rsid w:val="00DD0258"/>
    <w:rsid w:val="00DD08A3"/>
    <w:rsid w:val="00DD1639"/>
    <w:rsid w:val="00DD18E2"/>
    <w:rsid w:val="00DD2E62"/>
    <w:rsid w:val="00DD3C4E"/>
    <w:rsid w:val="00DD3C93"/>
    <w:rsid w:val="00DD5A70"/>
    <w:rsid w:val="00DD6336"/>
    <w:rsid w:val="00DD67EB"/>
    <w:rsid w:val="00DD6A0E"/>
    <w:rsid w:val="00DD6A94"/>
    <w:rsid w:val="00DD6B32"/>
    <w:rsid w:val="00DD7609"/>
    <w:rsid w:val="00DD7AB3"/>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CED"/>
    <w:rsid w:val="00E10FBB"/>
    <w:rsid w:val="00E1188F"/>
    <w:rsid w:val="00E12017"/>
    <w:rsid w:val="00E1236A"/>
    <w:rsid w:val="00E12703"/>
    <w:rsid w:val="00E132DE"/>
    <w:rsid w:val="00E142FD"/>
    <w:rsid w:val="00E14779"/>
    <w:rsid w:val="00E150E7"/>
    <w:rsid w:val="00E159AB"/>
    <w:rsid w:val="00E1651E"/>
    <w:rsid w:val="00E17787"/>
    <w:rsid w:val="00E17875"/>
    <w:rsid w:val="00E20780"/>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D6D"/>
    <w:rsid w:val="00E305EE"/>
    <w:rsid w:val="00E3062C"/>
    <w:rsid w:val="00E30FBD"/>
    <w:rsid w:val="00E32567"/>
    <w:rsid w:val="00E326CB"/>
    <w:rsid w:val="00E3287E"/>
    <w:rsid w:val="00E32BAE"/>
    <w:rsid w:val="00E32C87"/>
    <w:rsid w:val="00E33B39"/>
    <w:rsid w:val="00E33D0F"/>
    <w:rsid w:val="00E340C9"/>
    <w:rsid w:val="00E34579"/>
    <w:rsid w:val="00E357D2"/>
    <w:rsid w:val="00E3587D"/>
    <w:rsid w:val="00E35B6A"/>
    <w:rsid w:val="00E36211"/>
    <w:rsid w:val="00E36328"/>
    <w:rsid w:val="00E367FB"/>
    <w:rsid w:val="00E37137"/>
    <w:rsid w:val="00E3795C"/>
    <w:rsid w:val="00E406EE"/>
    <w:rsid w:val="00E40B96"/>
    <w:rsid w:val="00E411B7"/>
    <w:rsid w:val="00E41B92"/>
    <w:rsid w:val="00E42828"/>
    <w:rsid w:val="00E42D92"/>
    <w:rsid w:val="00E42EA3"/>
    <w:rsid w:val="00E42FAB"/>
    <w:rsid w:val="00E433F5"/>
    <w:rsid w:val="00E4482F"/>
    <w:rsid w:val="00E4558A"/>
    <w:rsid w:val="00E457EF"/>
    <w:rsid w:val="00E45C13"/>
    <w:rsid w:val="00E45C56"/>
    <w:rsid w:val="00E45DA4"/>
    <w:rsid w:val="00E46288"/>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4412"/>
    <w:rsid w:val="00E74A3D"/>
    <w:rsid w:val="00E759E9"/>
    <w:rsid w:val="00E75A9F"/>
    <w:rsid w:val="00E76452"/>
    <w:rsid w:val="00E77388"/>
    <w:rsid w:val="00E80305"/>
    <w:rsid w:val="00E807EF"/>
    <w:rsid w:val="00E80B87"/>
    <w:rsid w:val="00E80DD0"/>
    <w:rsid w:val="00E810FA"/>
    <w:rsid w:val="00E81A6A"/>
    <w:rsid w:val="00E82FBF"/>
    <w:rsid w:val="00E84116"/>
    <w:rsid w:val="00E842C5"/>
    <w:rsid w:val="00E85A3E"/>
    <w:rsid w:val="00E85B92"/>
    <w:rsid w:val="00E85E12"/>
    <w:rsid w:val="00E86207"/>
    <w:rsid w:val="00E8673B"/>
    <w:rsid w:val="00E8699F"/>
    <w:rsid w:val="00E86BDB"/>
    <w:rsid w:val="00E87BD1"/>
    <w:rsid w:val="00E87E07"/>
    <w:rsid w:val="00E90520"/>
    <w:rsid w:val="00E907A6"/>
    <w:rsid w:val="00E9110F"/>
    <w:rsid w:val="00E912C1"/>
    <w:rsid w:val="00E914BD"/>
    <w:rsid w:val="00E919C6"/>
    <w:rsid w:val="00E91A4B"/>
    <w:rsid w:val="00E91F34"/>
    <w:rsid w:val="00E92963"/>
    <w:rsid w:val="00E92DB0"/>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378"/>
    <w:rsid w:val="00EB1758"/>
    <w:rsid w:val="00EB1C53"/>
    <w:rsid w:val="00EB251C"/>
    <w:rsid w:val="00EB304B"/>
    <w:rsid w:val="00EB37DC"/>
    <w:rsid w:val="00EB38E0"/>
    <w:rsid w:val="00EB38E6"/>
    <w:rsid w:val="00EB4187"/>
    <w:rsid w:val="00EB433B"/>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9A3"/>
    <w:rsid w:val="00EC54C1"/>
    <w:rsid w:val="00EC59E4"/>
    <w:rsid w:val="00EC5C11"/>
    <w:rsid w:val="00EC717A"/>
    <w:rsid w:val="00ED0492"/>
    <w:rsid w:val="00ED1852"/>
    <w:rsid w:val="00ED1D49"/>
    <w:rsid w:val="00ED2A3D"/>
    <w:rsid w:val="00ED2CA9"/>
    <w:rsid w:val="00ED37E5"/>
    <w:rsid w:val="00ED47F1"/>
    <w:rsid w:val="00ED48F5"/>
    <w:rsid w:val="00ED5D26"/>
    <w:rsid w:val="00ED6033"/>
    <w:rsid w:val="00ED6CE0"/>
    <w:rsid w:val="00ED7E73"/>
    <w:rsid w:val="00EE2192"/>
    <w:rsid w:val="00EE297A"/>
    <w:rsid w:val="00EE3893"/>
    <w:rsid w:val="00EE3CDD"/>
    <w:rsid w:val="00EE52D8"/>
    <w:rsid w:val="00EE5E63"/>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3CC9"/>
    <w:rsid w:val="00F03CE1"/>
    <w:rsid w:val="00F052AE"/>
    <w:rsid w:val="00F05A1E"/>
    <w:rsid w:val="00F05FF7"/>
    <w:rsid w:val="00F061F4"/>
    <w:rsid w:val="00F06B30"/>
    <w:rsid w:val="00F07708"/>
    <w:rsid w:val="00F101A8"/>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58D"/>
    <w:rsid w:val="00F17795"/>
    <w:rsid w:val="00F17E1E"/>
    <w:rsid w:val="00F21677"/>
    <w:rsid w:val="00F21756"/>
    <w:rsid w:val="00F223B7"/>
    <w:rsid w:val="00F2282C"/>
    <w:rsid w:val="00F23329"/>
    <w:rsid w:val="00F24F3A"/>
    <w:rsid w:val="00F250B4"/>
    <w:rsid w:val="00F25167"/>
    <w:rsid w:val="00F25950"/>
    <w:rsid w:val="00F26326"/>
    <w:rsid w:val="00F26C64"/>
    <w:rsid w:val="00F27190"/>
    <w:rsid w:val="00F27222"/>
    <w:rsid w:val="00F2757E"/>
    <w:rsid w:val="00F3027E"/>
    <w:rsid w:val="00F311B2"/>
    <w:rsid w:val="00F319F3"/>
    <w:rsid w:val="00F320A2"/>
    <w:rsid w:val="00F32F8C"/>
    <w:rsid w:val="00F3403E"/>
    <w:rsid w:val="00F34344"/>
    <w:rsid w:val="00F34520"/>
    <w:rsid w:val="00F347BE"/>
    <w:rsid w:val="00F34E83"/>
    <w:rsid w:val="00F36EB7"/>
    <w:rsid w:val="00F372EC"/>
    <w:rsid w:val="00F375A9"/>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0CA"/>
    <w:rsid w:val="00F73C68"/>
    <w:rsid w:val="00F74C3F"/>
    <w:rsid w:val="00F753B6"/>
    <w:rsid w:val="00F75956"/>
    <w:rsid w:val="00F75B62"/>
    <w:rsid w:val="00F75BC4"/>
    <w:rsid w:val="00F76077"/>
    <w:rsid w:val="00F77677"/>
    <w:rsid w:val="00F777D3"/>
    <w:rsid w:val="00F80B3C"/>
    <w:rsid w:val="00F81460"/>
    <w:rsid w:val="00F8191A"/>
    <w:rsid w:val="00F8216C"/>
    <w:rsid w:val="00F82356"/>
    <w:rsid w:val="00F8435D"/>
    <w:rsid w:val="00F846C3"/>
    <w:rsid w:val="00F85A62"/>
    <w:rsid w:val="00F8600F"/>
    <w:rsid w:val="00F873AC"/>
    <w:rsid w:val="00F87991"/>
    <w:rsid w:val="00F87E6A"/>
    <w:rsid w:val="00F915CB"/>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C18"/>
    <w:rsid w:val="00FB436B"/>
    <w:rsid w:val="00FB49C9"/>
    <w:rsid w:val="00FB4E51"/>
    <w:rsid w:val="00FB5F24"/>
    <w:rsid w:val="00FB6116"/>
    <w:rsid w:val="00FB77FE"/>
    <w:rsid w:val="00FC0998"/>
    <w:rsid w:val="00FC1B5D"/>
    <w:rsid w:val="00FC1E1E"/>
    <w:rsid w:val="00FC258C"/>
    <w:rsid w:val="00FC3464"/>
    <w:rsid w:val="00FC3B29"/>
    <w:rsid w:val="00FC4D30"/>
    <w:rsid w:val="00FC6054"/>
    <w:rsid w:val="00FC6306"/>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DEF"/>
    <w:rsid w:val="00FD7743"/>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1764643609">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3169051">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1691494853">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506065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47095-2B93-4958-80A3-133243E9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5243</TotalTime>
  <Pages>29</Pages>
  <Words>14043</Words>
  <Characters>80046</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Tomkins</dc:creator>
  <cp:lastModifiedBy>Matt</cp:lastModifiedBy>
  <cp:revision>2468</cp:revision>
  <cp:lastPrinted>2020-04-01T10:04:00Z</cp:lastPrinted>
  <dcterms:created xsi:type="dcterms:W3CDTF">2019-07-18T16:54:00Z</dcterms:created>
  <dcterms:modified xsi:type="dcterms:W3CDTF">2020-06-09T14:37:00Z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