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ind/>
        <w:jc w:val="left"/>
      </w:pPr>
      <w:r>
        <w:rPr>
          <w:rFonts w:ascii="Times New Roman" w:cs="Times New Roman" w:eastAsia="Times New Roman" w:hAnsi="Times New Roman"/>
          <w:b/>
          <w:bCs/>
          <w:sz w:val="24"/>
          <w:szCs w:val="24"/>
        </w:rPr>
        <w:t xml:space="preserve">Site Script — Ancient California Mysteries</w:t>
      </w:r>
    </w:p>
    <w:p>
      <w:pPr>
        <w:spacing w:after="200" w:before="0" w:line="240"/>
        <w:ind/>
        <w:jc w:val="left"/>
      </w:pPr>
      <w:r>
        <w:rPr>
          <w:rFonts w:ascii="Times New Roman" w:cs="Times New Roman" w:eastAsia="Times New Roman" w:hAnsi="Times New Roman"/>
          <w:b/>
          <w:bCs/>
          <w:sz w:val="24"/>
          <w:szCs w:val="24"/>
        </w:rPr>
        <w:t xml:space="preserve">Format note: </w:t>
      </w:r>
      <w:r>
        <w:rPr>
          <w:rFonts w:ascii="Times New Roman" w:cs="Times New Roman" w:eastAsia="Times New Roman" w:hAnsi="Times New Roman"/>
          <w:sz w:val="24"/>
          <w:szCs w:val="24"/>
        </w:rPr>
        <w:t xml:space="preserve">This project is a single-page HTML/CSS/JavaScript website built as a parody of early-2000s GeoCities "ancient mysteries" and conspiracy theory sites — the kind that would dramatically claim the pyramids were built by aliens or that the government was hiding Bigfoot. The aesthetic is deliberately over-the-top: animated marquee text, dark starfield backgrounds, flashing visitor counters, sensationalist headers, and popup ads styled as Windows 98 dialog boxes. That framing is the vehicle for accurate, cited archaeological content. All factual claims are in my own words and sourced with in-text citations and page numbers. A vocabulary tooltip system built into the site allows non-specialist readers to click underlined technical terms ("neophytes," "faunal assemblages," "phytoliths") for plain-English definitions without interrupting the main text. The site is accessible via any web browser with no special software required.</w:t>
      </w:r>
    </w:p>
    <w:p>
      <w:pPr>
        <w:spacing w:after="200" w:before="0" w:line="240"/>
        <w:ind/>
        <w:jc w:val="left"/>
      </w:pPr>
      <w:r>
        <w:rPr>
          <w:rFonts w:ascii="Times New Roman" w:cs="Times New Roman" w:eastAsia="Times New Roman" w:hAnsi="Times New Roman"/>
          <w:b/>
          <w:bCs/>
          <w:sz w:val="24"/>
          <w:szCs w:val="24"/>
        </w:rPr>
        <w:t xml:space="preserve">Topic: </w:t>
      </w:r>
      <w:r>
        <w:rPr>
          <w:rFonts w:ascii="Times New Roman" w:cs="Times New Roman" w:eastAsia="Times New Roman" w:hAnsi="Times New Roman"/>
          <w:sz w:val="24"/>
          <w:szCs w:val="24"/>
        </w:rPr>
        <w:t xml:space="preserve">Indigenous subsistence persistence and agency in colonial California — specifically, how Native Californian coastal peoples maintained, adapted, and continued their traditional food practices during and after the Spanish mission period (roughly 1769–1833), rather than abandoning them under colonial pressure. The core argument, drawn from five sources, is that the archaeological record shows Native people as active agents making real choices, not passive victims of cultural erasure.</w:t>
      </w:r>
    </w:p>
    <w:p>
      <w:pPr>
        <w:spacing w:after="80" w:before="0" w:line="240"/>
        <w:ind/>
        <w:jc w:val="left"/>
      </w:pPr>
      <w:r>
        <w:rPr>
          <w:rFonts w:ascii="Times New Roman" w:cs="Times New Roman" w:eastAsia="Times New Roman" w:hAnsi="Times New Roman"/>
          <w:b/>
          <w:bCs/>
          <w:sz w:val="24"/>
          <w:szCs w:val="24"/>
        </w:rPr>
        <w:t xml:space="preserve">Source Pages (five dedicated tabs)</w:t>
      </w:r>
    </w:p>
    <w:p>
      <w:pPr>
        <w:spacing w:after="120" w:before="0" w:line="240"/>
        <w:ind w:firstLine="720"/>
        <w:jc w:val="left"/>
      </w:pPr>
      <w:r>
        <w:rPr>
          <w:rFonts w:ascii="Times New Roman" w:cs="Times New Roman" w:eastAsia="Times New Roman" w:hAnsi="Times New Roman"/>
          <w:sz w:val="24"/>
          <w:szCs w:val="24"/>
        </w:rPr>
        <w:t xml:space="preserve">Each source has its own tab on the site, introduced with a "classified dossier" block displaying the full citation prominently. Together the five pages present five distinct methodological lines of evidence that all converge on the same conclusion:</w:t>
      </w:r>
    </w:p>
    <w:p>
      <w:pPr>
        <w:spacing w:after="100" w:before="0" w:line="240"/>
        <w:ind w:firstLine="720"/>
        <w:jc w:val="left"/>
      </w:pPr>
      <w:r>
        <w:rPr>
          <w:rFonts w:ascii="Times New Roman" w:cs="Times New Roman" w:eastAsia="Times New Roman" w:hAnsi="Times New Roman"/>
          <w:b/>
          <w:bCs/>
          <w:sz w:val="24"/>
          <w:szCs w:val="24"/>
        </w:rPr>
        <w:t xml:space="preserve">Gamble (2015)</w:t>
      </w:r>
      <w:r>
        <w:rPr>
          <w:rFonts w:ascii="Times New Roman" w:cs="Times New Roman" w:eastAsia="Times New Roman" w:hAnsi="Times New Roman"/>
          <w:sz w:val="24"/>
          <w:szCs w:val="24"/>
        </w:rPr>
        <w:t xml:space="preserve"> — Faunal assemblages, steatite cooking vessels, and mortars from three post-contact Chumash villages show that traditional subsistence practices and feasting ceremonies continued as deliberate strategies for preserving social identity and political authority. Steatite vessel production did not decline under colonialism; it accelerated, with vessels growing larger and more elaborate in historical-period deposits (Gamble 2015:118–120).</w:t>
      </w:r>
    </w:p>
    <w:p>
      <w:pPr>
        <w:spacing w:after="100" w:before="0" w:line="240"/>
        <w:ind w:firstLine="720"/>
        <w:jc w:val="left"/>
      </w:pPr>
      <w:r>
        <w:rPr>
          <w:rFonts w:ascii="Times New Roman" w:cs="Times New Roman" w:eastAsia="Times New Roman" w:hAnsi="Times New Roman"/>
          <w:b/>
          <w:bCs/>
          <w:sz w:val="24"/>
          <w:szCs w:val="24"/>
        </w:rPr>
        <w:t xml:space="preserve">Eerkens et al. (2025)</w:t>
      </w:r>
      <w:r>
        <w:rPr>
          <w:rFonts w:ascii="Times New Roman" w:cs="Times New Roman" w:eastAsia="Times New Roman" w:hAnsi="Times New Roman"/>
          <w:sz w:val="24"/>
          <w:szCs w:val="24"/>
        </w:rPr>
        <w:t xml:space="preserve"> — Dental calculus proteomics (LC-MS) on fifteen Ohlone individuals from a California mission outpost detected deer, otter, and beaver proteins in virtually every individual, confirming continued reliance on traditionally hunted game under mission supervision. Nicotine appeared across all age groups, indicating tobacco use — of deep spiritual significance — survived mission oversight (Eerkens et al. 2025: chapters 7–8).</w:t>
      </w:r>
    </w:p>
    <w:p>
      <w:pPr>
        <w:spacing w:after="100" w:before="0" w:line="240"/>
        <w:ind w:firstLine="720"/>
        <w:jc w:val="left"/>
      </w:pPr>
      <w:r>
        <w:rPr>
          <w:rFonts w:ascii="Times New Roman" w:cs="Times New Roman" w:eastAsia="Times New Roman" w:hAnsi="Times New Roman"/>
          <w:b/>
          <w:bCs/>
          <w:sz w:val="24"/>
          <w:szCs w:val="24"/>
        </w:rPr>
        <w:t xml:space="preserve">Reddy (2015)</w:t>
      </w:r>
      <w:r>
        <w:rPr>
          <w:rFonts w:ascii="Times New Roman" w:cs="Times New Roman" w:eastAsia="Times New Roman" w:hAnsi="Times New Roman"/>
          <w:sz w:val="24"/>
          <w:szCs w:val="24"/>
        </w:rPr>
        <w:t xml:space="preserve"> — Analysis of over 400,000 carbonized seeds from Mission Period sites in the Los Angeles Basin shows that native wild grasses (Maygrass 67.9%, Little Barley 13.4%) dominate plant assemblages across all context types, including mourning ceremonies and feasting middens. Introduced European crops constitute under 1% of the most sacred contexts, suggesting deliberate cultural logic rather than limited access (Reddy 2015:54–60).</w:t>
      </w:r>
    </w:p>
    <w:p>
      <w:pPr>
        <w:spacing w:after="100" w:before="0" w:line="240"/>
        <w:ind w:firstLine="720"/>
        <w:jc w:val="left"/>
      </w:pPr>
      <w:r>
        <w:rPr>
          <w:rFonts w:ascii="Times New Roman" w:cs="Times New Roman" w:eastAsia="Times New Roman" w:hAnsi="Times New Roman"/>
          <w:b/>
          <w:bCs/>
          <w:sz w:val="24"/>
          <w:szCs w:val="24"/>
        </w:rPr>
        <w:t xml:space="preserve">Schneider (2015)</w:t>
      </w:r>
      <w:r>
        <w:rPr>
          <w:rFonts w:ascii="Times New Roman" w:cs="Times New Roman" w:eastAsia="Times New Roman" w:hAnsi="Times New Roman"/>
          <w:sz w:val="24"/>
          <w:szCs w:val="24"/>
        </w:rPr>
        <w:t xml:space="preserve"> — Landscape archaeology at shellmound sites on the Marin Peninsula, combined with AMS radiocarbon dating, documents occupation extending into the mission period by Coast Miwok communities who fled missions or avoided them entirely. Fish bone assemblages and the deliberate absence of European trade goods at these "Indigenous hinterland" sites demonstrate intentional maintenance of pre-contact subsistence patterns beyond colonial reach (Schneider 2015:697–710).</w:t>
      </w:r>
    </w:p>
    <w:p>
      <w:pPr>
        <w:spacing w:after="200" w:before="0" w:line="240"/>
        <w:ind w:firstLine="720"/>
        <w:jc w:val="left"/>
      </w:pPr>
      <w:r>
        <w:rPr>
          <w:rFonts w:ascii="Times New Roman" w:cs="Times New Roman" w:eastAsia="Times New Roman" w:hAnsi="Times New Roman"/>
          <w:b/>
          <w:bCs/>
          <w:sz w:val="24"/>
          <w:szCs w:val="24"/>
        </w:rPr>
        <w:t xml:space="preserve">Curry (2022)</w:t>
      </w:r>
      <w:r>
        <w:rPr>
          <w:rFonts w:ascii="Times New Roman" w:cs="Times New Roman" w:eastAsia="Times New Roman" w:hAnsi="Times New Roman"/>
          <w:sz w:val="24"/>
          <w:szCs w:val="24"/>
        </w:rPr>
        <w:t xml:space="preserve"> — Journalistic synthesis drawing on interviews with active researchers. Obsidian at Mission Santa Clara was chemically traced to the Napa Valley and Sierra Nevada (100–300 miles away), confirming pre-contact exchange networks persisted under missionary supervision. People also knapped European bottle glass and porcelain into traditionally shaped projectile points — colonial waste remade into Indigenous technology (Curry 2022).</w:t>
      </w:r>
    </w:p>
    <w:p>
      <w:pPr>
        <w:spacing w:after="80" w:before="0" w:line="240"/>
        <w:ind/>
        <w:jc w:val="left"/>
      </w:pPr>
      <w:r>
        <w:rPr>
          <w:rFonts w:ascii="Times New Roman" w:cs="Times New Roman" w:eastAsia="Times New Roman" w:hAnsi="Times New Roman"/>
          <w:b/>
          <w:bCs/>
          <w:sz w:val="24"/>
          <w:szCs w:val="24"/>
        </w:rPr>
        <w:t xml:space="preserve">Popup Ads</w:t>
      </w:r>
    </w:p>
    <w:p>
      <w:pPr>
        <w:spacing w:after="120" w:before="0" w:line="240"/>
        <w:ind w:firstLine="720"/>
        <w:jc w:val="left"/>
      </w:pPr>
      <w:r>
        <w:rPr>
          <w:rFonts w:ascii="Times New Roman" w:cs="Times New Roman" w:eastAsia="Times New Roman" w:hAnsi="Times New Roman"/>
          <w:sz w:val="24"/>
          <w:szCs w:val="24"/>
        </w:rPr>
        <w:t xml:space="preserve">The site includes five timed popup ads styled as Windows 98 dialog boxes, each parodying a recognizable early-internet ad genre (prize alert, e-commerce deal, virus warning, real estate, breaking news). The joke in all five is the same: the most outrageous-sounding claim is the one that is peer-reviewed and documented. Each popup references a specific finding from one source:</w:t>
      </w:r>
    </w:p>
    <w:p>
      <w:pPr>
        <w:spacing w:after="80" w:before="0" w:line="240"/>
        <w:ind w:firstLine="720"/>
        <w:jc w:val="left"/>
      </w:pPr>
      <w:r>
        <w:rPr>
          <w:rFonts w:ascii="Times New Roman" w:cs="Times New Roman" w:eastAsia="Times New Roman" w:hAnsi="Times New Roman"/>
          <w:b/>
          <w:bCs/>
          <w:sz w:val="24"/>
          <w:szCs w:val="24"/>
        </w:rPr>
        <w:t xml:space="preserve">Popup 1</w:t>
      </w:r>
      <w:r>
        <w:rPr>
          <w:rFonts w:ascii="Times New Roman" w:cs="Times New Roman" w:eastAsia="Times New Roman" w:hAnsi="Times New Roman"/>
          <w:sz w:val="24"/>
          <w:szCs w:val="24"/>
        </w:rPr>
        <w:t xml:space="preserve"> (prize alert) — "Free Steatite Cooking Vessel" — references Gamble (2015:118–120) on steatite vessel production accelerating post-contact.</w:t>
      </w:r>
    </w:p>
    <w:p>
      <w:pPr>
        <w:spacing w:after="80" w:before="0" w:line="240"/>
        <w:ind w:firstLine="720"/>
        <w:jc w:val="left"/>
      </w:pPr>
      <w:r>
        <w:rPr>
          <w:rFonts w:ascii="Times New Roman" w:cs="Times New Roman" w:eastAsia="Times New Roman" w:hAnsi="Times New Roman"/>
          <w:b/>
          <w:bCs/>
          <w:sz w:val="24"/>
          <w:szCs w:val="24"/>
        </w:rPr>
        <w:t xml:space="preserve">Popup 2</w:t>
      </w:r>
      <w:r>
        <w:rPr>
          <w:rFonts w:ascii="Times New Roman" w:cs="Times New Roman" w:eastAsia="Times New Roman" w:hAnsi="Times New Roman"/>
          <w:sz w:val="24"/>
          <w:szCs w:val="24"/>
        </w:rPr>
        <w:t xml:space="preserve"> (e-commerce) — "Ohlone Fish Market Daily Special" — references Eerkens et al. (2025, ch. 7) on proteins from traditionally hunted species found in dental calculus.</w:t>
      </w:r>
    </w:p>
    <w:p>
      <w:pPr>
        <w:spacing w:after="80" w:before="0" w:line="240"/>
        <w:ind w:firstLine="720"/>
        <w:jc w:val="left"/>
      </w:pPr>
      <w:r>
        <w:rPr>
          <w:rFonts w:ascii="Times New Roman" w:cs="Times New Roman" w:eastAsia="Times New Roman" w:hAnsi="Times New Roman"/>
          <w:b/>
          <w:bCs/>
          <w:sz w:val="24"/>
          <w:szCs w:val="24"/>
        </w:rPr>
        <w:t xml:space="preserve">Popup 3</w:t>
      </w:r>
      <w:r>
        <w:rPr>
          <w:rFonts w:ascii="Times New Roman" w:cs="Times New Roman" w:eastAsia="Times New Roman" w:hAnsi="Times New Roman"/>
          <w:sz w:val="24"/>
          <w:szCs w:val="24"/>
        </w:rPr>
        <w:t xml:space="preserve"> (virus warning) — "Are You Grinding Acorns the Wrong Way?" — references Reddy (2015:54–60) on wild plant species dominating sacred contexts.</w:t>
      </w:r>
    </w:p>
    <w:p>
      <w:pPr>
        <w:spacing w:after="80" w:before="0" w:line="240"/>
        <w:ind w:firstLine="720"/>
        <w:jc w:val="left"/>
      </w:pPr>
      <w:r>
        <w:rPr>
          <w:rFonts w:ascii="Times New Roman" w:cs="Times New Roman" w:eastAsia="Times New Roman" w:hAnsi="Times New Roman"/>
          <w:b/>
          <w:bCs/>
          <w:sz w:val="24"/>
          <w:szCs w:val="24"/>
        </w:rPr>
        <w:t xml:space="preserve">Popup 4</w:t>
      </w:r>
      <w:r>
        <w:rPr>
          <w:rFonts w:ascii="Times New Roman" w:cs="Times New Roman" w:eastAsia="Times New Roman" w:hAnsi="Times New Roman"/>
          <w:sz w:val="24"/>
          <w:szCs w:val="24"/>
        </w:rPr>
        <w:t xml:space="preserve"> (real estate) — "Escape to the Hinterlands" — references Schneider (2015:695–701) on Indigenous hinterlands beyond colonial surveillance.</w:t>
      </w:r>
    </w:p>
    <w:p>
      <w:pPr>
        <w:spacing w:after="80" w:before="0" w:line="240"/>
        <w:ind w:firstLine="720"/>
        <w:jc w:val="left"/>
      </w:pPr>
      <w:r>
        <w:rPr>
          <w:rFonts w:ascii="Times New Roman" w:cs="Times New Roman" w:eastAsia="Times New Roman" w:hAnsi="Times New Roman"/>
          <w:b/>
          <w:bCs/>
          <w:sz w:val="24"/>
          <w:szCs w:val="24"/>
        </w:rPr>
        <w:t xml:space="preserve">Popup 5</w:t>
      </w:r>
      <w:r>
        <w:rPr>
          <w:rFonts w:ascii="Times New Roman" w:cs="Times New Roman" w:eastAsia="Times New Roman" w:hAnsi="Times New Roman"/>
          <w:sz w:val="24"/>
          <w:szCs w:val="24"/>
        </w:rPr>
        <w:t xml:space="preserve"> (breaking news) — "Local Neophyte Slips Away to Fish" — references Curry (2022) on fish bones and obsidian sourced from ancestral locations far from missions.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2026-04-26T16:18:48.742Z</dcterms:created>
  <dcterms:modified xsi:type="dcterms:W3CDTF">2026-04-26T16:18:48.761Z</dcterms:modified>
</cp:coreProperties>
</file>

<file path=docProps/custom.xml><?xml version="1.0" encoding="utf-8"?>
<Properties xmlns="http://schemas.openxmlformats.org/officeDocument/2006/custom-properties" xmlns:vt="http://schemas.openxmlformats.org/officeDocument/2006/docPropsVTypes"/>
</file>