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31B8" w14:textId="5DFD8D44" w:rsidR="003442FE" w:rsidRPr="003B2FDD" w:rsidRDefault="00000000" w:rsidP="003B2FDD">
      <w:pPr>
        <w:pStyle w:val="Heading1"/>
        <w:jc w:val="center"/>
        <w:rPr>
          <w:color w:val="auto"/>
          <w:sz w:val="40"/>
          <w:szCs w:val="40"/>
        </w:rPr>
      </w:pPr>
      <w:bookmarkStart w:id="0" w:name="matts-texas-pc-study-guide---25-26"/>
      <w:r w:rsidRPr="003B2FDD">
        <w:rPr>
          <w:color w:val="auto"/>
          <w:sz w:val="40"/>
          <w:szCs w:val="40"/>
        </w:rPr>
        <w:t>Texas P&amp;C Study Guide - 25’-26’</w:t>
      </w:r>
    </w:p>
    <w:p w14:paraId="2220A63E" w14:textId="77777777" w:rsidR="003442FE" w:rsidRDefault="00000000" w:rsidP="003B2FDD">
      <w:pPr>
        <w:pStyle w:val="Heading2"/>
      </w:pPr>
      <w:bookmarkStart w:id="1" w:name="table-of-contents"/>
      <w:r>
        <w:t>Table of Contents</w:t>
      </w:r>
    </w:p>
    <w:tbl>
      <w:tblPr>
        <w:tblStyle w:val="Table"/>
        <w:tblW w:w="5000" w:type="pct"/>
        <w:tblLayout w:type="fixed"/>
        <w:tblLook w:val="0020" w:firstRow="1" w:lastRow="0" w:firstColumn="0" w:lastColumn="0" w:noHBand="0" w:noVBand="0"/>
      </w:tblPr>
      <w:tblGrid>
        <w:gridCol w:w="4680"/>
        <w:gridCol w:w="4680"/>
      </w:tblGrid>
      <w:tr w:rsidR="003442FE" w14:paraId="372DB7AD" w14:textId="77777777" w:rsidTr="003442FE">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96566A" w14:textId="77777777" w:rsidR="003442FE" w:rsidRDefault="00000000" w:rsidP="003B2FDD">
            <w:pPr>
              <w:pStyle w:val="Compact"/>
            </w:pPr>
            <w:r>
              <w:rPr>
                <w:sz w:val="18"/>
              </w:rPr>
              <w:t>Section</w:t>
            </w:r>
          </w:p>
        </w:tc>
        <w:tc>
          <w:tcPr>
            <w:tcW w:w="3960" w:type="dxa"/>
          </w:tcPr>
          <w:p w14:paraId="777DFBB1" w14:textId="77777777" w:rsidR="003442FE" w:rsidRDefault="00000000" w:rsidP="003B2FDD">
            <w:pPr>
              <w:pStyle w:val="Compact"/>
            </w:pPr>
            <w:r>
              <w:rPr>
                <w:sz w:val="18"/>
              </w:rPr>
              <w:t>Covers</w:t>
            </w:r>
          </w:p>
        </w:tc>
      </w:tr>
      <w:tr w:rsidR="003442FE" w14:paraId="24D6A527" w14:textId="77777777">
        <w:tc>
          <w:tcPr>
            <w:tcW w:w="3960" w:type="dxa"/>
          </w:tcPr>
          <w:p w14:paraId="6FEC43C8" w14:textId="77777777" w:rsidR="003442FE" w:rsidRDefault="00000000" w:rsidP="003B2FDD">
            <w:pPr>
              <w:pStyle w:val="Compact"/>
            </w:pPr>
            <w:r>
              <w:rPr>
                <w:sz w:val="18"/>
              </w:rPr>
              <w:t>Insurance basics</w:t>
            </w:r>
          </w:p>
        </w:tc>
        <w:tc>
          <w:tcPr>
            <w:tcW w:w="3960" w:type="dxa"/>
          </w:tcPr>
          <w:p w14:paraId="55F14AFD" w14:textId="77777777" w:rsidR="003442FE" w:rsidRDefault="00000000" w:rsidP="003B2FDD">
            <w:pPr>
              <w:pStyle w:val="Compact"/>
            </w:pPr>
            <w:r>
              <w:rPr>
                <w:sz w:val="18"/>
              </w:rPr>
              <w:t>Insurance, risk, exposure, premium, indemnity, subrogation</w:t>
            </w:r>
          </w:p>
        </w:tc>
      </w:tr>
      <w:tr w:rsidR="003442FE" w14:paraId="42B9F6BA" w14:textId="77777777">
        <w:tc>
          <w:tcPr>
            <w:tcW w:w="3960" w:type="dxa"/>
          </w:tcPr>
          <w:p w14:paraId="598A8975" w14:textId="77777777" w:rsidR="003442FE" w:rsidRDefault="00000000" w:rsidP="003B2FDD">
            <w:pPr>
              <w:pStyle w:val="Compact"/>
            </w:pPr>
            <w:r>
              <w:rPr>
                <w:sz w:val="18"/>
              </w:rPr>
              <w:t>Hazards, perils, losses, valuation</w:t>
            </w:r>
          </w:p>
        </w:tc>
        <w:tc>
          <w:tcPr>
            <w:tcW w:w="3960" w:type="dxa"/>
          </w:tcPr>
          <w:p w14:paraId="32C82180" w14:textId="77777777" w:rsidR="003442FE" w:rsidRDefault="00000000" w:rsidP="003B2FDD">
            <w:pPr>
              <w:pStyle w:val="Compact"/>
            </w:pPr>
            <w:r>
              <w:rPr>
                <w:sz w:val="18"/>
              </w:rPr>
              <w:t>Hazards/perils, direct/indirect loss, ACV, replacement cost, coinsurance</w:t>
            </w:r>
          </w:p>
        </w:tc>
      </w:tr>
      <w:tr w:rsidR="003442FE" w14:paraId="6F8F36E8" w14:textId="77777777">
        <w:tc>
          <w:tcPr>
            <w:tcW w:w="3960" w:type="dxa"/>
          </w:tcPr>
          <w:p w14:paraId="733B257E" w14:textId="77777777" w:rsidR="003442FE" w:rsidRDefault="00000000" w:rsidP="003B2FDD">
            <w:pPr>
              <w:pStyle w:val="Compact"/>
            </w:pPr>
            <w:r>
              <w:rPr>
                <w:sz w:val="18"/>
              </w:rPr>
              <w:t>Liability, causation, damages</w:t>
            </w:r>
          </w:p>
        </w:tc>
        <w:tc>
          <w:tcPr>
            <w:tcW w:w="3960" w:type="dxa"/>
          </w:tcPr>
          <w:p w14:paraId="3F1A5081" w14:textId="77777777" w:rsidR="003442FE" w:rsidRDefault="00000000" w:rsidP="003B2FDD">
            <w:pPr>
              <w:pStyle w:val="Compact"/>
            </w:pPr>
            <w:r>
              <w:rPr>
                <w:sz w:val="18"/>
              </w:rPr>
              <w:t>Negligence, proximate cause, occurrence, comparative negligence concepts</w:t>
            </w:r>
          </w:p>
        </w:tc>
      </w:tr>
      <w:tr w:rsidR="003442FE" w14:paraId="34573FC5" w14:textId="77777777">
        <w:tc>
          <w:tcPr>
            <w:tcW w:w="3960" w:type="dxa"/>
          </w:tcPr>
          <w:p w14:paraId="643A5E83" w14:textId="77777777" w:rsidR="003442FE" w:rsidRDefault="00000000" w:rsidP="003B2FDD">
            <w:pPr>
              <w:pStyle w:val="Compact"/>
            </w:pPr>
            <w:r>
              <w:rPr>
                <w:sz w:val="18"/>
              </w:rPr>
              <w:t>Temporary coverage / policy changes</w:t>
            </w:r>
          </w:p>
        </w:tc>
        <w:tc>
          <w:tcPr>
            <w:tcW w:w="3960" w:type="dxa"/>
          </w:tcPr>
          <w:p w14:paraId="2E48A7B9" w14:textId="77777777" w:rsidR="003442FE" w:rsidRDefault="00000000" w:rsidP="003B2FDD">
            <w:pPr>
              <w:pStyle w:val="Compact"/>
            </w:pPr>
            <w:r>
              <w:rPr>
                <w:sz w:val="18"/>
              </w:rPr>
              <w:t>Binders, endorsements, blanket/specific insurance</w:t>
            </w:r>
          </w:p>
        </w:tc>
      </w:tr>
      <w:tr w:rsidR="003442FE" w14:paraId="041A0681" w14:textId="77777777">
        <w:tc>
          <w:tcPr>
            <w:tcW w:w="3960" w:type="dxa"/>
          </w:tcPr>
          <w:p w14:paraId="1236410F" w14:textId="77777777" w:rsidR="003442FE" w:rsidRDefault="00000000" w:rsidP="003B2FDD">
            <w:pPr>
              <w:pStyle w:val="Compact"/>
            </w:pPr>
            <w:r>
              <w:rPr>
                <w:sz w:val="18"/>
              </w:rPr>
              <w:t>Policy structure and provisions</w:t>
            </w:r>
          </w:p>
        </w:tc>
        <w:tc>
          <w:tcPr>
            <w:tcW w:w="3960" w:type="dxa"/>
          </w:tcPr>
          <w:p w14:paraId="466AA3C8" w14:textId="77777777" w:rsidR="003442FE" w:rsidRDefault="00000000" w:rsidP="003B2FDD">
            <w:pPr>
              <w:pStyle w:val="Compact"/>
            </w:pPr>
            <w:r>
              <w:rPr>
                <w:sz w:val="18"/>
              </w:rPr>
              <w:t>DICE, insured status, duties after loss, claims provisions</w:t>
            </w:r>
          </w:p>
        </w:tc>
      </w:tr>
      <w:tr w:rsidR="003442FE" w14:paraId="05DB1B0C" w14:textId="77777777">
        <w:tc>
          <w:tcPr>
            <w:tcW w:w="3960" w:type="dxa"/>
          </w:tcPr>
          <w:p w14:paraId="757823FB" w14:textId="77777777" w:rsidR="003442FE" w:rsidRDefault="00000000" w:rsidP="003B2FDD">
            <w:pPr>
              <w:pStyle w:val="Compact"/>
            </w:pPr>
            <w:r>
              <w:rPr>
                <w:sz w:val="18"/>
              </w:rPr>
              <w:t>Contract law / fraud / underwriting</w:t>
            </w:r>
          </w:p>
        </w:tc>
        <w:tc>
          <w:tcPr>
            <w:tcW w:w="3960" w:type="dxa"/>
          </w:tcPr>
          <w:p w14:paraId="1D0938F7" w14:textId="77777777" w:rsidR="003442FE" w:rsidRDefault="00000000" w:rsidP="003B2FDD">
            <w:pPr>
              <w:pStyle w:val="Compact"/>
            </w:pPr>
            <w:r>
              <w:rPr>
                <w:sz w:val="18"/>
              </w:rPr>
              <w:t>Contract elements, representations, privacy, underwriting, TRIA</w:t>
            </w:r>
          </w:p>
        </w:tc>
      </w:tr>
      <w:tr w:rsidR="003442FE" w14:paraId="251E6FAD" w14:textId="77777777">
        <w:tc>
          <w:tcPr>
            <w:tcW w:w="3960" w:type="dxa"/>
          </w:tcPr>
          <w:p w14:paraId="41A9617E" w14:textId="77777777" w:rsidR="003442FE" w:rsidRDefault="00000000" w:rsidP="003B2FDD">
            <w:pPr>
              <w:pStyle w:val="Compact"/>
            </w:pPr>
            <w:r>
              <w:rPr>
                <w:sz w:val="18"/>
              </w:rPr>
              <w:t>Homeowners forms and coverages</w:t>
            </w:r>
          </w:p>
        </w:tc>
        <w:tc>
          <w:tcPr>
            <w:tcW w:w="3960" w:type="dxa"/>
          </w:tcPr>
          <w:p w14:paraId="1A0DF937" w14:textId="77777777" w:rsidR="003442FE" w:rsidRDefault="00000000" w:rsidP="003B2FDD">
            <w:pPr>
              <w:pStyle w:val="Compact"/>
            </w:pPr>
            <w:r>
              <w:rPr>
                <w:sz w:val="18"/>
              </w:rPr>
              <w:t>HO-2, HO-3, HO-4, HO-5, HO-6, HO-8; Coverage A-F</w:t>
            </w:r>
          </w:p>
        </w:tc>
      </w:tr>
      <w:tr w:rsidR="003442FE" w14:paraId="53EA2CD3" w14:textId="77777777">
        <w:tc>
          <w:tcPr>
            <w:tcW w:w="3960" w:type="dxa"/>
          </w:tcPr>
          <w:p w14:paraId="1BAEF845" w14:textId="77777777" w:rsidR="003442FE" w:rsidRDefault="00000000" w:rsidP="003B2FDD">
            <w:pPr>
              <w:pStyle w:val="Compact"/>
            </w:pPr>
            <w:r>
              <w:rPr>
                <w:sz w:val="18"/>
              </w:rPr>
              <w:t>Dwelling and property forms</w:t>
            </w:r>
          </w:p>
        </w:tc>
        <w:tc>
          <w:tcPr>
            <w:tcW w:w="3960" w:type="dxa"/>
          </w:tcPr>
          <w:p w14:paraId="2277404A" w14:textId="77777777" w:rsidR="003442FE" w:rsidRDefault="00000000" w:rsidP="003B2FDD">
            <w:pPr>
              <w:pStyle w:val="Compact"/>
            </w:pPr>
            <w:r>
              <w:rPr>
                <w:sz w:val="18"/>
              </w:rPr>
              <w:t>DP-1, DP-2, DP-3, commercial property, inland marine, BOP</w:t>
            </w:r>
          </w:p>
        </w:tc>
      </w:tr>
      <w:tr w:rsidR="003442FE" w14:paraId="18CB6CAC" w14:textId="77777777">
        <w:tc>
          <w:tcPr>
            <w:tcW w:w="3960" w:type="dxa"/>
          </w:tcPr>
          <w:p w14:paraId="59C6819A" w14:textId="77777777" w:rsidR="003442FE" w:rsidRDefault="00000000" w:rsidP="003B2FDD">
            <w:pPr>
              <w:pStyle w:val="Compact"/>
            </w:pPr>
            <w:r>
              <w:rPr>
                <w:sz w:val="18"/>
              </w:rPr>
              <w:t>Commercial casualty</w:t>
            </w:r>
          </w:p>
        </w:tc>
        <w:tc>
          <w:tcPr>
            <w:tcW w:w="3960" w:type="dxa"/>
          </w:tcPr>
          <w:p w14:paraId="2F66E0D1" w14:textId="77777777" w:rsidR="003442FE" w:rsidRDefault="00000000" w:rsidP="003B2FDD">
            <w:pPr>
              <w:pStyle w:val="Compact"/>
            </w:pPr>
            <w:r>
              <w:rPr>
                <w:sz w:val="18"/>
              </w:rPr>
              <w:t>CGL, BI/PD, products/completed operations, occurrence vs claims-made</w:t>
            </w:r>
          </w:p>
        </w:tc>
      </w:tr>
      <w:tr w:rsidR="003442FE" w14:paraId="612E1247" w14:textId="77777777">
        <w:tc>
          <w:tcPr>
            <w:tcW w:w="3960" w:type="dxa"/>
          </w:tcPr>
          <w:p w14:paraId="4F14C58B" w14:textId="77777777" w:rsidR="003442FE" w:rsidRDefault="00000000" w:rsidP="003B2FDD">
            <w:pPr>
              <w:pStyle w:val="Compact"/>
            </w:pPr>
            <w:r>
              <w:rPr>
                <w:sz w:val="18"/>
              </w:rPr>
              <w:t>Auto-insurance</w:t>
            </w:r>
          </w:p>
        </w:tc>
        <w:tc>
          <w:tcPr>
            <w:tcW w:w="3960" w:type="dxa"/>
          </w:tcPr>
          <w:p w14:paraId="6AEB5523" w14:textId="77777777" w:rsidR="003442FE" w:rsidRDefault="00000000" w:rsidP="003B2FDD">
            <w:pPr>
              <w:pStyle w:val="Compact"/>
            </w:pPr>
            <w:r>
              <w:rPr>
                <w:sz w:val="18"/>
              </w:rPr>
              <w:t>PAP, PIP, UM/UIM, collision, OTC, business auto, garagekeepers</w:t>
            </w:r>
          </w:p>
        </w:tc>
      </w:tr>
      <w:tr w:rsidR="003442FE" w14:paraId="2DB9D82E" w14:textId="77777777">
        <w:tc>
          <w:tcPr>
            <w:tcW w:w="3960" w:type="dxa"/>
          </w:tcPr>
          <w:p w14:paraId="3F8023A8" w14:textId="77777777" w:rsidR="003442FE" w:rsidRDefault="00000000" w:rsidP="003B2FDD">
            <w:pPr>
              <w:pStyle w:val="Compact"/>
            </w:pPr>
            <w:r>
              <w:rPr>
                <w:sz w:val="18"/>
              </w:rPr>
              <w:t>WC / crime / bonds / professional liability / umbrella</w:t>
            </w:r>
          </w:p>
        </w:tc>
        <w:tc>
          <w:tcPr>
            <w:tcW w:w="3960" w:type="dxa"/>
          </w:tcPr>
          <w:p w14:paraId="31E4B328" w14:textId="77777777" w:rsidR="003442FE" w:rsidRDefault="00000000" w:rsidP="003B2FDD">
            <w:pPr>
              <w:pStyle w:val="Compact"/>
            </w:pPr>
            <w:r>
              <w:rPr>
                <w:sz w:val="18"/>
              </w:rPr>
              <w:t>WC, crime, surety/fidelity, E&amp;O, D&amp;O, cyber, umbrella/excess</w:t>
            </w:r>
          </w:p>
        </w:tc>
      </w:tr>
      <w:tr w:rsidR="003442FE" w14:paraId="43FFBCFD" w14:textId="77777777">
        <w:tc>
          <w:tcPr>
            <w:tcW w:w="3960" w:type="dxa"/>
          </w:tcPr>
          <w:p w14:paraId="4DA71D99" w14:textId="77777777" w:rsidR="003442FE" w:rsidRDefault="00000000" w:rsidP="003B2FDD">
            <w:pPr>
              <w:pStyle w:val="Compact"/>
            </w:pPr>
            <w:r>
              <w:rPr>
                <w:sz w:val="18"/>
              </w:rPr>
              <w:t>Texas licensing and TDI authority</w:t>
            </w:r>
          </w:p>
        </w:tc>
        <w:tc>
          <w:tcPr>
            <w:tcW w:w="3960" w:type="dxa"/>
          </w:tcPr>
          <w:p w14:paraId="1F275BF6" w14:textId="77777777" w:rsidR="003442FE" w:rsidRDefault="00000000" w:rsidP="003B2FDD">
            <w:pPr>
              <w:pStyle w:val="Compact"/>
            </w:pPr>
            <w:r>
              <w:rPr>
                <w:sz w:val="18"/>
              </w:rPr>
              <w:t>Commissioner/TDI, license types, appointments, CE, penalties</w:t>
            </w:r>
          </w:p>
        </w:tc>
      </w:tr>
      <w:tr w:rsidR="003442FE" w14:paraId="4109F9B2" w14:textId="77777777">
        <w:tc>
          <w:tcPr>
            <w:tcW w:w="3960" w:type="dxa"/>
          </w:tcPr>
          <w:p w14:paraId="450220D5" w14:textId="77777777" w:rsidR="003442FE" w:rsidRDefault="00000000" w:rsidP="003B2FDD">
            <w:pPr>
              <w:pStyle w:val="Compact"/>
            </w:pPr>
            <w:r>
              <w:rPr>
                <w:sz w:val="18"/>
              </w:rPr>
              <w:t>Texas unfair practices and marketing</w:t>
            </w:r>
          </w:p>
        </w:tc>
        <w:tc>
          <w:tcPr>
            <w:tcW w:w="3960" w:type="dxa"/>
          </w:tcPr>
          <w:p w14:paraId="7DB26CEF" w14:textId="77777777" w:rsidR="003442FE" w:rsidRDefault="00000000" w:rsidP="003B2FDD">
            <w:pPr>
              <w:pStyle w:val="Compact"/>
            </w:pPr>
            <w:r>
              <w:rPr>
                <w:sz w:val="18"/>
              </w:rPr>
              <w:t>Rebating, twisting/misrepresentation, discrimination, fraud, rating practices</w:t>
            </w:r>
          </w:p>
        </w:tc>
      </w:tr>
      <w:tr w:rsidR="003442FE" w14:paraId="21AF8A51" w14:textId="77777777">
        <w:tc>
          <w:tcPr>
            <w:tcW w:w="3960" w:type="dxa"/>
          </w:tcPr>
          <w:p w14:paraId="36BCF8A8" w14:textId="77777777" w:rsidR="003442FE" w:rsidRDefault="00000000" w:rsidP="003B2FDD">
            <w:pPr>
              <w:pStyle w:val="Compact"/>
            </w:pPr>
            <w:r>
              <w:rPr>
                <w:sz w:val="18"/>
              </w:rPr>
              <w:t>Texas property rules</w:t>
            </w:r>
          </w:p>
        </w:tc>
        <w:tc>
          <w:tcPr>
            <w:tcW w:w="3960" w:type="dxa"/>
          </w:tcPr>
          <w:p w14:paraId="0A9C1A74" w14:textId="77777777" w:rsidR="003442FE" w:rsidRDefault="00000000" w:rsidP="003B2FDD">
            <w:pPr>
              <w:pStyle w:val="Compact"/>
            </w:pPr>
            <w:r>
              <w:rPr>
                <w:sz w:val="18"/>
              </w:rPr>
              <w:t>FAIR Plan, TWIA, residential property rules, prompt payment</w:t>
            </w:r>
          </w:p>
        </w:tc>
      </w:tr>
      <w:tr w:rsidR="003442FE" w14:paraId="468398FC" w14:textId="77777777">
        <w:tc>
          <w:tcPr>
            <w:tcW w:w="3960" w:type="dxa"/>
          </w:tcPr>
          <w:p w14:paraId="665A056A" w14:textId="77777777" w:rsidR="003442FE" w:rsidRDefault="00000000" w:rsidP="003B2FDD">
            <w:pPr>
              <w:pStyle w:val="Compact"/>
            </w:pPr>
            <w:r>
              <w:rPr>
                <w:sz w:val="18"/>
              </w:rPr>
              <w:t>Texas auto rules</w:t>
            </w:r>
          </w:p>
        </w:tc>
        <w:tc>
          <w:tcPr>
            <w:tcW w:w="3960" w:type="dxa"/>
          </w:tcPr>
          <w:p w14:paraId="268E91FF" w14:textId="77777777" w:rsidR="003442FE" w:rsidRDefault="00000000" w:rsidP="003B2FDD">
            <w:pPr>
              <w:pStyle w:val="Compact"/>
            </w:pPr>
            <w:r>
              <w:rPr>
                <w:sz w:val="18"/>
              </w:rPr>
              <w:t>Minimum limits, PIP, UM/UIM, auto cancellation/nonrenewal, TAIPA</w:t>
            </w:r>
          </w:p>
        </w:tc>
      </w:tr>
      <w:tr w:rsidR="003442FE" w14:paraId="4028AC3C" w14:textId="77777777">
        <w:tc>
          <w:tcPr>
            <w:tcW w:w="3960" w:type="dxa"/>
          </w:tcPr>
          <w:p w14:paraId="4190E1F9" w14:textId="77777777" w:rsidR="003442FE" w:rsidRDefault="00000000" w:rsidP="003B2FDD">
            <w:pPr>
              <w:pStyle w:val="Compact"/>
            </w:pPr>
            <w:r>
              <w:rPr>
                <w:sz w:val="18"/>
              </w:rPr>
              <w:t>Texas WC / organizations / claims</w:t>
            </w:r>
          </w:p>
        </w:tc>
        <w:tc>
          <w:tcPr>
            <w:tcW w:w="3960" w:type="dxa"/>
          </w:tcPr>
          <w:p w14:paraId="6E39F2E8" w14:textId="77777777" w:rsidR="003442FE" w:rsidRDefault="00000000" w:rsidP="003B2FDD">
            <w:pPr>
              <w:pStyle w:val="Compact"/>
            </w:pPr>
            <w:r>
              <w:rPr>
                <w:sz w:val="18"/>
              </w:rPr>
              <w:t>WC basics, guaranty association, JUA, claim timing, CLUE</w:t>
            </w:r>
          </w:p>
        </w:tc>
      </w:tr>
      <w:tr w:rsidR="003442FE" w14:paraId="0AD287D5" w14:textId="77777777">
        <w:tc>
          <w:tcPr>
            <w:tcW w:w="3960" w:type="dxa"/>
          </w:tcPr>
          <w:p w14:paraId="736460AC" w14:textId="77777777" w:rsidR="003442FE" w:rsidRDefault="00000000" w:rsidP="003B2FDD">
            <w:pPr>
              <w:pStyle w:val="Compact"/>
            </w:pPr>
            <w:r>
              <w:rPr>
                <w:sz w:val="18"/>
              </w:rPr>
              <w:t>Mixed application review</w:t>
            </w:r>
          </w:p>
        </w:tc>
        <w:tc>
          <w:tcPr>
            <w:tcW w:w="3960" w:type="dxa"/>
          </w:tcPr>
          <w:p w14:paraId="6CDD8F62" w14:textId="77777777" w:rsidR="003442FE" w:rsidRDefault="00000000" w:rsidP="003B2FDD">
            <w:pPr>
              <w:pStyle w:val="Compact"/>
            </w:pPr>
            <w:r>
              <w:rPr>
                <w:sz w:val="18"/>
              </w:rPr>
              <w:t>Mixed coverage/application examples and comparisons</w:t>
            </w:r>
          </w:p>
        </w:tc>
      </w:tr>
      <w:tr w:rsidR="003442FE" w14:paraId="3E3AFA85" w14:textId="77777777">
        <w:tc>
          <w:tcPr>
            <w:tcW w:w="3960" w:type="dxa"/>
          </w:tcPr>
          <w:p w14:paraId="49B1B924" w14:textId="77777777" w:rsidR="003442FE" w:rsidRDefault="00000000" w:rsidP="003B2FDD">
            <w:pPr>
              <w:pStyle w:val="Compact"/>
            </w:pPr>
            <w:r>
              <w:rPr>
                <w:sz w:val="18"/>
              </w:rPr>
              <w:t>Surplus lines overlap only</w:t>
            </w:r>
          </w:p>
        </w:tc>
        <w:tc>
          <w:tcPr>
            <w:tcW w:w="3960" w:type="dxa"/>
          </w:tcPr>
          <w:p w14:paraId="42186DD9" w14:textId="77777777" w:rsidR="003442FE" w:rsidRDefault="00000000" w:rsidP="003B2FDD">
            <w:pPr>
              <w:pStyle w:val="Compact"/>
            </w:pPr>
            <w:r>
              <w:rPr>
                <w:sz w:val="18"/>
              </w:rPr>
              <w:t>Only P&amp;C-agent-outline overlap; not separate Surplus Lines exam content</w:t>
            </w:r>
          </w:p>
        </w:tc>
      </w:tr>
      <w:tr w:rsidR="003442FE" w14:paraId="4EEA59BD" w14:textId="77777777">
        <w:tc>
          <w:tcPr>
            <w:tcW w:w="3960" w:type="dxa"/>
          </w:tcPr>
          <w:p w14:paraId="77A98E3D" w14:textId="77777777" w:rsidR="003442FE" w:rsidRDefault="00000000" w:rsidP="003B2FDD">
            <w:pPr>
              <w:pStyle w:val="Compact"/>
            </w:pPr>
            <w:r>
              <w:rPr>
                <w:sz w:val="18"/>
              </w:rPr>
              <w:t>Essential timelines</w:t>
            </w:r>
          </w:p>
        </w:tc>
        <w:tc>
          <w:tcPr>
            <w:tcW w:w="3960" w:type="dxa"/>
          </w:tcPr>
          <w:p w14:paraId="3EC2B6C4" w14:textId="77777777" w:rsidR="003442FE" w:rsidRDefault="00000000" w:rsidP="003B2FDD">
            <w:pPr>
              <w:pStyle w:val="Compact"/>
            </w:pPr>
            <w:r>
              <w:rPr>
                <w:sz w:val="18"/>
              </w:rPr>
              <w:t>Texas claim deadlines, cancellation/nonrenewal, license/CE windows, NFIP, CGL tails</w:t>
            </w:r>
          </w:p>
        </w:tc>
      </w:tr>
    </w:tbl>
    <w:p w14:paraId="3A23D371" w14:textId="049866F7" w:rsidR="003442FE" w:rsidRDefault="00000000" w:rsidP="003B2FDD">
      <w:pPr>
        <w:pStyle w:val="Heading2"/>
      </w:pPr>
      <w:bookmarkStart w:id="2" w:name="insurance-basics"/>
      <w:bookmarkEnd w:id="1"/>
      <w:r>
        <w:rPr>
          <w:highlight w:val="yellow"/>
        </w:rPr>
        <w:t>Insurance basics</w:t>
      </w:r>
    </w:p>
    <w:p w14:paraId="0B736242" w14:textId="77777777" w:rsidR="003442FE" w:rsidRDefault="00000000" w:rsidP="003B2FDD">
      <w:pPr>
        <w:pStyle w:val="Heading3"/>
      </w:pPr>
      <w:bookmarkStart w:id="3" w:name="insurance"/>
      <w:r>
        <w:t>Insurance</w:t>
      </w:r>
    </w:p>
    <w:p w14:paraId="648D2709" w14:textId="77777777" w:rsidR="003442FE" w:rsidRDefault="00000000" w:rsidP="003B2FDD">
      <w:pPr>
        <w:pStyle w:val="FirstParagraph"/>
      </w:pPr>
      <w:r>
        <w:t>Formal definition: a contractual risk-transfer mechanism. Elements: premium, covered risk, policy terms, insurer promise, and insured duties. Important because nearly every P&amp;C question assumes this risk-transfer purpose.</w:t>
      </w:r>
    </w:p>
    <w:p w14:paraId="161F72CB" w14:textId="77777777" w:rsidR="003442FE" w:rsidRDefault="00000000" w:rsidP="003B2FDD">
      <w:pPr>
        <w:pStyle w:val="Heading3"/>
      </w:pPr>
      <w:bookmarkStart w:id="4" w:name="law-of-large-numbers"/>
      <w:bookmarkEnd w:id="3"/>
      <w:r>
        <w:lastRenderedPageBreak/>
        <w:t>Law of Large Numbers</w:t>
      </w:r>
    </w:p>
    <w:p w14:paraId="4F838626" w14:textId="77777777" w:rsidR="003442FE" w:rsidRDefault="00000000" w:rsidP="003B2FDD">
      <w:pPr>
        <w:pStyle w:val="FirstParagraph"/>
      </w:pPr>
      <w:r>
        <w:t>Formal definition: as the number of similar exposure units increases, actual losses tend to approach expected losses. It matters for rating, underwriting, and spread of risk.</w:t>
      </w:r>
    </w:p>
    <w:p w14:paraId="03BE46AF" w14:textId="77777777" w:rsidR="003442FE" w:rsidRDefault="00000000" w:rsidP="003B2FDD">
      <w:pPr>
        <w:pStyle w:val="Heading3"/>
      </w:pPr>
      <w:bookmarkStart w:id="5" w:name="exposure-unit"/>
      <w:bookmarkEnd w:id="4"/>
      <w:r>
        <w:t>Exposure unit</w:t>
      </w:r>
    </w:p>
    <w:p w14:paraId="35AA6A1D" w14:textId="77777777" w:rsidR="003442FE" w:rsidRDefault="00000000" w:rsidP="003B2FDD">
      <w:pPr>
        <w:pStyle w:val="FirstParagraph"/>
      </w:pPr>
      <w:r>
        <w:t>An exposure unit is the measurable subject of insurance, such as a building, car, employee payroll, or liability operation. It is used to rate premiums and classify risk.</w:t>
      </w:r>
    </w:p>
    <w:p w14:paraId="65B59966" w14:textId="77777777" w:rsidR="003442FE" w:rsidRDefault="00000000" w:rsidP="003B2FDD">
      <w:pPr>
        <w:pStyle w:val="Heading3"/>
      </w:pPr>
      <w:bookmarkStart w:id="6" w:name="risk"/>
      <w:bookmarkEnd w:id="5"/>
      <w:r>
        <w:t>Risk</w:t>
      </w:r>
    </w:p>
    <w:p w14:paraId="02CAC71C" w14:textId="77777777" w:rsidR="003442FE" w:rsidRDefault="00000000" w:rsidP="003B2FDD">
      <w:pPr>
        <w:pStyle w:val="FirstParagraph"/>
      </w:pPr>
      <w:r>
        <w:t>Risk is the uncertainty that a loss may occur. In P&amp;C, insurers mainly handle pure risk, not speculative risk. Apply it when deciding whether something is insurable.</w:t>
      </w:r>
    </w:p>
    <w:p w14:paraId="3845239C" w14:textId="77777777" w:rsidR="003442FE" w:rsidRDefault="00000000" w:rsidP="003B2FDD">
      <w:pPr>
        <w:pStyle w:val="Heading3"/>
      </w:pPr>
      <w:bookmarkStart w:id="7" w:name="pure-risk"/>
      <w:bookmarkEnd w:id="6"/>
      <w:r>
        <w:t>Pure risk</w:t>
      </w:r>
    </w:p>
    <w:p w14:paraId="4F73F87B" w14:textId="77777777" w:rsidR="003442FE" w:rsidRDefault="00000000" w:rsidP="003B2FDD">
      <w:pPr>
        <w:pStyle w:val="FirstParagraph"/>
      </w:pPr>
      <w:r>
        <w:t>Pure risk has no chance of gain, only loss or no loss, such as fire damaging a house. It is generally insurable.</w:t>
      </w:r>
    </w:p>
    <w:p w14:paraId="2F106B3D" w14:textId="77777777" w:rsidR="003442FE" w:rsidRDefault="00000000" w:rsidP="003B2FDD">
      <w:pPr>
        <w:pStyle w:val="Heading3"/>
      </w:pPr>
      <w:bookmarkStart w:id="8" w:name="speculative-risk"/>
      <w:bookmarkEnd w:id="7"/>
      <w:r>
        <w:t>Speculative risk</w:t>
      </w:r>
    </w:p>
    <w:p w14:paraId="23EED3DC" w14:textId="77777777" w:rsidR="003442FE" w:rsidRDefault="00000000" w:rsidP="003B2FDD">
      <w:pPr>
        <w:pStyle w:val="FirstParagraph"/>
      </w:pPr>
      <w:r>
        <w:t>Speculative risk includes the chance of gain, such as investing or gambling. Insurers generally avoid it because it is not a fortuitous loss exposure.</w:t>
      </w:r>
    </w:p>
    <w:p w14:paraId="1C426A74" w14:textId="77777777" w:rsidR="003442FE" w:rsidRDefault="00000000" w:rsidP="003B2FDD">
      <w:pPr>
        <w:pStyle w:val="Heading3"/>
      </w:pPr>
      <w:bookmarkStart w:id="9" w:name="insurable-interest"/>
      <w:bookmarkEnd w:id="8"/>
      <w:r>
        <w:t>Insurable interest</w:t>
      </w:r>
    </w:p>
    <w:p w14:paraId="3AFA9B37" w14:textId="77777777" w:rsidR="003442FE" w:rsidRDefault="00000000" w:rsidP="003B2FDD">
      <w:pPr>
        <w:pStyle w:val="FirstParagraph"/>
      </w:pPr>
      <w:r>
        <w:t>Insurable interest means the insured would suffer financial loss if the insured property or exposure is damaged. In property insurance it generally must exist at the time of loss. Important because policies are not meant to be wagers.</w:t>
      </w:r>
    </w:p>
    <w:p w14:paraId="3B2153DD" w14:textId="77777777" w:rsidR="003442FE" w:rsidRDefault="00000000" w:rsidP="003B2FDD">
      <w:pPr>
        <w:pStyle w:val="Heading3"/>
      </w:pPr>
      <w:bookmarkStart w:id="10" w:name="adverse-selection"/>
      <w:bookmarkEnd w:id="9"/>
      <w:r>
        <w:t>Adverse selection</w:t>
      </w:r>
    </w:p>
    <w:p w14:paraId="089B18AF" w14:textId="77777777" w:rsidR="003442FE" w:rsidRDefault="00000000" w:rsidP="003B2FDD">
      <w:pPr>
        <w:pStyle w:val="FirstParagraph"/>
      </w:pPr>
      <w:r>
        <w:t>Adverse selection occurs when riskier applicants are more likely to buy or keep coverage. Underwriting, pricing, exclusions, and waiting periods control it.</w:t>
      </w:r>
    </w:p>
    <w:p w14:paraId="410EAB6B" w14:textId="77777777" w:rsidR="003442FE" w:rsidRDefault="00000000" w:rsidP="003B2FDD">
      <w:pPr>
        <w:pStyle w:val="Heading3"/>
      </w:pPr>
      <w:bookmarkStart w:id="11" w:name="spread-of-risk"/>
      <w:bookmarkEnd w:id="10"/>
      <w:r>
        <w:t>Spread of risk</w:t>
      </w:r>
    </w:p>
    <w:p w14:paraId="6AD30A66" w14:textId="77777777" w:rsidR="003442FE" w:rsidRDefault="00000000" w:rsidP="003B2FDD">
      <w:pPr>
        <w:pStyle w:val="FirstParagraph"/>
      </w:pPr>
      <w:r>
        <w:t>Spread of risk distributes potential loss across many insureds or geographic areas. It supports stable pricing and solvency.</w:t>
      </w:r>
    </w:p>
    <w:p w14:paraId="3D42E5CA" w14:textId="77777777" w:rsidR="003442FE" w:rsidRDefault="00000000" w:rsidP="003B2FDD">
      <w:pPr>
        <w:pStyle w:val="Heading3"/>
      </w:pPr>
      <w:bookmarkStart w:id="12" w:name="fortuitous-loss"/>
      <w:bookmarkEnd w:id="11"/>
      <w:r>
        <w:t>Fortuitous loss</w:t>
      </w:r>
    </w:p>
    <w:p w14:paraId="4A763E3D" w14:textId="77777777" w:rsidR="003442FE" w:rsidRDefault="00000000" w:rsidP="003B2FDD">
      <w:pPr>
        <w:pStyle w:val="FirstParagraph"/>
      </w:pPr>
      <w:r>
        <w:t>A fortuitous loss is unintended and not certain to occur. It is crucial because insurance is not designed to pay for intentional or inevitable damage.</w:t>
      </w:r>
    </w:p>
    <w:p w14:paraId="353E8B6B" w14:textId="77777777" w:rsidR="003442FE" w:rsidRDefault="00000000" w:rsidP="003B2FDD">
      <w:pPr>
        <w:pStyle w:val="Heading2"/>
      </w:pPr>
      <w:bookmarkStart w:id="13" w:name="hazards-perils-losses-valuation"/>
      <w:bookmarkEnd w:id="2"/>
      <w:bookmarkEnd w:id="12"/>
      <w:r>
        <w:rPr>
          <w:highlight w:val="yellow"/>
        </w:rPr>
        <w:lastRenderedPageBreak/>
        <w:t>Hazards, perils, losses, valuation</w:t>
      </w:r>
    </w:p>
    <w:p w14:paraId="3B7758DF" w14:textId="77777777" w:rsidR="003442FE" w:rsidRDefault="00000000" w:rsidP="003B2FDD">
      <w:pPr>
        <w:pStyle w:val="Heading3"/>
      </w:pPr>
      <w:bookmarkStart w:id="14" w:name="hazard"/>
      <w:r>
        <w:t>Hazard</w:t>
      </w:r>
    </w:p>
    <w:p w14:paraId="6C99240C" w14:textId="77777777" w:rsidR="003442FE" w:rsidRDefault="00000000" w:rsidP="003B2FDD">
      <w:pPr>
        <w:pStyle w:val="FirstParagraph"/>
      </w:pPr>
      <w:r>
        <w:t xml:space="preserve">A hazard is not the cause of loss itself; it makes a loss more likely or worse. Types on the outline include </w:t>
      </w:r>
      <w:r>
        <w:rPr>
          <w:b/>
          <w:bCs/>
        </w:rPr>
        <w:t>moral</w:t>
      </w:r>
      <w:r>
        <w:t xml:space="preserve">, </w:t>
      </w:r>
      <w:r>
        <w:rPr>
          <w:b/>
          <w:bCs/>
        </w:rPr>
        <w:t>morale</w:t>
      </w:r>
      <w:r>
        <w:t xml:space="preserve">, and </w:t>
      </w:r>
      <w:r>
        <w:rPr>
          <w:b/>
          <w:bCs/>
        </w:rPr>
        <w:t>physical hazards</w:t>
      </w:r>
      <w:r>
        <w:t>.</w:t>
      </w:r>
    </w:p>
    <w:p w14:paraId="4A08D3AC" w14:textId="77777777" w:rsidR="003442FE" w:rsidRDefault="00000000" w:rsidP="003B2FDD">
      <w:pPr>
        <w:pStyle w:val="Heading3"/>
      </w:pPr>
      <w:bookmarkStart w:id="15" w:name="moral-hazard"/>
      <w:bookmarkEnd w:id="14"/>
      <w:r>
        <w:t>Moral hazard</w:t>
      </w:r>
    </w:p>
    <w:p w14:paraId="4FAD5C4D" w14:textId="77777777" w:rsidR="003442FE" w:rsidRDefault="00000000" w:rsidP="003B2FDD">
      <w:pPr>
        <w:pStyle w:val="FirstParagraph"/>
      </w:pPr>
      <w:r>
        <w:t>Moral hazard is a character/intent problem: fraud, arson, or intentional misrepresentation. It matters because it may void coverage or trigger criminal/regulatory consequences.</w:t>
      </w:r>
    </w:p>
    <w:p w14:paraId="48BAE89D" w14:textId="77777777" w:rsidR="003442FE" w:rsidRDefault="00000000" w:rsidP="003B2FDD">
      <w:pPr>
        <w:pStyle w:val="Heading3"/>
      </w:pPr>
      <w:bookmarkStart w:id="16" w:name="morale-hazard"/>
      <w:bookmarkEnd w:id="15"/>
      <w:r>
        <w:t>Morale hazard</w:t>
      </w:r>
    </w:p>
    <w:p w14:paraId="457AA56D" w14:textId="77777777" w:rsidR="003442FE" w:rsidRDefault="00000000" w:rsidP="003B2FDD">
      <w:pPr>
        <w:pStyle w:val="FirstParagraph"/>
      </w:pPr>
      <w:r>
        <w:t>Morale hazard is a careless attitude, such as leaving a car unlocked because it is insured. It increases loss probability but lacks dishonest intent.</w:t>
      </w:r>
    </w:p>
    <w:p w14:paraId="0D293100" w14:textId="77777777" w:rsidR="003442FE" w:rsidRDefault="00000000" w:rsidP="003B2FDD">
      <w:pPr>
        <w:pStyle w:val="Heading3"/>
      </w:pPr>
      <w:bookmarkStart w:id="17" w:name="physical-hazard"/>
      <w:bookmarkEnd w:id="16"/>
      <w:r>
        <w:t>Physical hazard</w:t>
      </w:r>
    </w:p>
    <w:p w14:paraId="00497DC8" w14:textId="77777777" w:rsidR="003442FE" w:rsidRDefault="00000000" w:rsidP="003B2FDD">
      <w:pPr>
        <w:pStyle w:val="FirstParagraph"/>
      </w:pPr>
      <w:r>
        <w:t>Physical hazard is a physical condition, such as bad wiring, icy steps, or poor maintenance. Underwriters look for it when pricing or declining risks.</w:t>
      </w:r>
    </w:p>
    <w:p w14:paraId="1E6B1EA6" w14:textId="77777777" w:rsidR="003442FE" w:rsidRDefault="00000000" w:rsidP="003B2FDD">
      <w:pPr>
        <w:pStyle w:val="Heading3"/>
      </w:pPr>
      <w:bookmarkStart w:id="18" w:name="peril"/>
      <w:bookmarkEnd w:id="17"/>
      <w:r>
        <w:t>Peril</w:t>
      </w:r>
    </w:p>
    <w:p w14:paraId="0E839A9B" w14:textId="77777777" w:rsidR="003442FE" w:rsidRDefault="00000000" w:rsidP="003B2FDD">
      <w:pPr>
        <w:pStyle w:val="FirstParagraph"/>
      </w:pPr>
      <w:r>
        <w:t>A peril is the event that causes damage. Policy forms may cover named perils or open perils subject to exclusions.</w:t>
      </w:r>
    </w:p>
    <w:p w14:paraId="69CED511" w14:textId="77777777" w:rsidR="003442FE" w:rsidRDefault="00000000" w:rsidP="003B2FDD">
      <w:pPr>
        <w:pStyle w:val="Heading3"/>
      </w:pPr>
      <w:bookmarkStart w:id="19" w:name="named-perils-coverage"/>
      <w:bookmarkEnd w:id="18"/>
      <w:r>
        <w:t>Named perils coverage</w:t>
      </w:r>
    </w:p>
    <w:p w14:paraId="3ED0E62F" w14:textId="77777777" w:rsidR="003442FE" w:rsidRDefault="00000000" w:rsidP="003B2FDD">
      <w:pPr>
        <w:pStyle w:val="FirstParagraph"/>
      </w:pPr>
      <w:r>
        <w:t>Named perils coverage pays only when the loss is caused by a peril named in the form. It is common in basic or broad forms and personal property coverage in many policies.</w:t>
      </w:r>
    </w:p>
    <w:p w14:paraId="6F1B8053" w14:textId="77777777" w:rsidR="003442FE" w:rsidRDefault="00000000" w:rsidP="003B2FDD">
      <w:pPr>
        <w:pStyle w:val="Heading3"/>
      </w:pPr>
      <w:bookmarkStart w:id="20" w:name="open-perils-coverage"/>
      <w:bookmarkEnd w:id="19"/>
      <w:r>
        <w:t>Open perils coverage</w:t>
      </w:r>
    </w:p>
    <w:p w14:paraId="0D16D589" w14:textId="77777777" w:rsidR="003442FE" w:rsidRDefault="00000000" w:rsidP="003B2FDD">
      <w:pPr>
        <w:pStyle w:val="FirstParagraph"/>
      </w:pPr>
      <w:r>
        <w:t>Open perils, also called special form coverage, starts broad and then removes coverage through exclusions. It is often used for HO-3 dwelling coverage and DP-3 dwelling coverage.</w:t>
      </w:r>
    </w:p>
    <w:p w14:paraId="400A931B" w14:textId="77777777" w:rsidR="003442FE" w:rsidRDefault="00000000" w:rsidP="003B2FDD">
      <w:pPr>
        <w:pStyle w:val="Heading3"/>
      </w:pPr>
      <w:bookmarkStart w:id="21" w:name="loss"/>
      <w:bookmarkEnd w:id="20"/>
      <w:r>
        <w:t>Loss</w:t>
      </w:r>
    </w:p>
    <w:p w14:paraId="70BA3E55" w14:textId="77777777" w:rsidR="003442FE" w:rsidRDefault="00000000" w:rsidP="003B2FDD">
      <w:pPr>
        <w:pStyle w:val="FirstParagraph"/>
      </w:pPr>
      <w:r>
        <w:t>A loss is damage, destruction, liability, or financial injury. It can be direct or indirect.</w:t>
      </w:r>
    </w:p>
    <w:p w14:paraId="33F646AE" w14:textId="77777777" w:rsidR="003442FE" w:rsidRDefault="00000000" w:rsidP="003B2FDD">
      <w:pPr>
        <w:pStyle w:val="Heading3"/>
      </w:pPr>
      <w:bookmarkStart w:id="22" w:name="direct-loss"/>
      <w:bookmarkEnd w:id="21"/>
      <w:r>
        <w:t>Direct loss</w:t>
      </w:r>
    </w:p>
    <w:p w14:paraId="0A02482C" w14:textId="77777777" w:rsidR="003442FE" w:rsidRDefault="00000000" w:rsidP="003B2FDD">
      <w:pPr>
        <w:pStyle w:val="FirstParagraph"/>
      </w:pPr>
      <w:r>
        <w:t>Direct loss is the actual physical damage, such as fire damage to a building. Important because property policies first ask whether direct physical loss occurred.</w:t>
      </w:r>
    </w:p>
    <w:p w14:paraId="149773FD" w14:textId="77777777" w:rsidR="003442FE" w:rsidRDefault="00000000" w:rsidP="003B2FDD">
      <w:pPr>
        <w:pStyle w:val="Heading3"/>
      </w:pPr>
      <w:bookmarkStart w:id="23" w:name="indirect-loss"/>
      <w:bookmarkEnd w:id="22"/>
      <w:r>
        <w:t>Indirect loss</w:t>
      </w:r>
    </w:p>
    <w:p w14:paraId="114966A3" w14:textId="77777777" w:rsidR="003442FE" w:rsidRDefault="00000000" w:rsidP="003B2FDD">
      <w:pPr>
        <w:pStyle w:val="FirstParagraph"/>
      </w:pPr>
      <w:r>
        <w:t>Indirect loss follows from direct damage, such as loss of use, extra expense, or business income loss after a fire. It usually requires specific coverage.</w:t>
      </w:r>
    </w:p>
    <w:p w14:paraId="47F337C2" w14:textId="77777777" w:rsidR="003442FE" w:rsidRDefault="00000000" w:rsidP="003B2FDD">
      <w:pPr>
        <w:pStyle w:val="Heading3"/>
      </w:pPr>
      <w:bookmarkStart w:id="24" w:name="actual-cash-value-acv"/>
      <w:bookmarkEnd w:id="23"/>
      <w:r>
        <w:lastRenderedPageBreak/>
        <w:t>Actual cash value (ACV)</w:t>
      </w:r>
    </w:p>
    <w:p w14:paraId="58AEDE53" w14:textId="77777777" w:rsidR="003442FE" w:rsidRDefault="00000000" w:rsidP="003B2FDD">
      <w:pPr>
        <w:pStyle w:val="FirstParagraph"/>
      </w:pPr>
      <w:r>
        <w:t>ACV generally pays the cost to replace property with like kind and quality less depreciation. It is common for auto total losses and some property losses.</w:t>
      </w:r>
    </w:p>
    <w:p w14:paraId="4793EF9E" w14:textId="77777777" w:rsidR="003442FE" w:rsidRDefault="00000000" w:rsidP="003B2FDD">
      <w:pPr>
        <w:pStyle w:val="Heading3"/>
      </w:pPr>
      <w:bookmarkStart w:id="25" w:name="replacement-cost"/>
      <w:bookmarkEnd w:id="24"/>
      <w:r>
        <w:t>Replacement cost</w:t>
      </w:r>
    </w:p>
    <w:p w14:paraId="115C5598" w14:textId="77777777" w:rsidR="003442FE" w:rsidRDefault="00000000" w:rsidP="003B2FDD">
      <w:pPr>
        <w:pStyle w:val="FirstParagraph"/>
      </w:pPr>
      <w:r>
        <w:t>Replacement cost is broader than ACV because it does not reduce payment for depreciation when conditions are satisfied. It is critical in homeowners and commercial property.</w:t>
      </w:r>
    </w:p>
    <w:p w14:paraId="1E4C6FDA" w14:textId="77777777" w:rsidR="003442FE" w:rsidRDefault="00000000" w:rsidP="003B2FDD">
      <w:pPr>
        <w:pStyle w:val="Heading3"/>
      </w:pPr>
      <w:bookmarkStart w:id="26" w:name="market-value"/>
      <w:bookmarkEnd w:id="25"/>
      <w:r>
        <w:t>Market value</w:t>
      </w:r>
    </w:p>
    <w:p w14:paraId="756BCA8B" w14:textId="77777777" w:rsidR="003442FE" w:rsidRDefault="00000000" w:rsidP="003B2FDD">
      <w:pPr>
        <w:pStyle w:val="FirstParagraph"/>
      </w:pPr>
      <w:r>
        <w:t>Market value is the sale price between willing buyer and seller. It may include land, location, and market factors.</w:t>
      </w:r>
    </w:p>
    <w:p w14:paraId="43463A38" w14:textId="77777777" w:rsidR="003442FE" w:rsidRDefault="00000000" w:rsidP="003B2FDD">
      <w:pPr>
        <w:pStyle w:val="Heading3"/>
      </w:pPr>
      <w:bookmarkStart w:id="27" w:name="statedagreed-value"/>
      <w:bookmarkEnd w:id="26"/>
      <w:r>
        <w:t>Stated/agreed value</w:t>
      </w:r>
    </w:p>
    <w:p w14:paraId="78345CC5" w14:textId="77777777" w:rsidR="003442FE" w:rsidRDefault="00000000" w:rsidP="003B2FDD">
      <w:pPr>
        <w:pStyle w:val="FirstParagraph"/>
      </w:pPr>
      <w:r>
        <w:t>Stated or agreed value fixes the value shown in the policy or schedule, often for unique property. It matters for autos, fine arts, or specialty property.</w:t>
      </w:r>
    </w:p>
    <w:p w14:paraId="0BD7D706" w14:textId="77777777" w:rsidR="003442FE" w:rsidRDefault="00000000" w:rsidP="003B2FDD">
      <w:pPr>
        <w:pStyle w:val="Heading3"/>
      </w:pPr>
      <w:bookmarkStart w:id="28" w:name="salvage-value"/>
      <w:bookmarkEnd w:id="27"/>
      <w:r>
        <w:t>Salvage value</w:t>
      </w:r>
    </w:p>
    <w:p w14:paraId="7260B28E" w14:textId="77777777" w:rsidR="003442FE" w:rsidRDefault="00000000" w:rsidP="003B2FDD">
      <w:pPr>
        <w:pStyle w:val="FirstParagraph"/>
      </w:pPr>
      <w:r>
        <w:t>Salvage value is what damaged property is worth after the loss. Insurers may take salvage after paying the claim, reducing overall loss cost.</w:t>
      </w:r>
    </w:p>
    <w:p w14:paraId="02AEE654" w14:textId="77777777" w:rsidR="003442FE" w:rsidRDefault="00000000" w:rsidP="003B2FDD">
      <w:pPr>
        <w:pStyle w:val="Heading3"/>
      </w:pPr>
      <w:bookmarkStart w:id="29" w:name="depreciation"/>
      <w:bookmarkEnd w:id="28"/>
      <w:r>
        <w:t>Depreciation</w:t>
      </w:r>
    </w:p>
    <w:p w14:paraId="0AC6D7FF" w14:textId="77777777" w:rsidR="003442FE" w:rsidRDefault="00000000" w:rsidP="003B2FDD">
      <w:pPr>
        <w:pStyle w:val="FirstParagraph"/>
      </w:pPr>
      <w:r>
        <w:t>Depreciation is subtracted under ACV settlements. It is central to understanding why ACV checks are lower than replacement-cost estimates.</w:t>
      </w:r>
    </w:p>
    <w:p w14:paraId="0958FCF4" w14:textId="77777777" w:rsidR="003442FE" w:rsidRDefault="00000000" w:rsidP="003B2FDD">
      <w:pPr>
        <w:pStyle w:val="Heading3"/>
      </w:pPr>
      <w:bookmarkStart w:id="30" w:name="coinsurance"/>
      <w:bookmarkEnd w:id="29"/>
      <w:r>
        <w:t>Coinsurance</w:t>
      </w:r>
    </w:p>
    <w:p w14:paraId="35ECC04C" w14:textId="77777777" w:rsidR="003442FE" w:rsidRDefault="00000000" w:rsidP="003B2FDD">
      <w:pPr>
        <w:pStyle w:val="FirstParagraph"/>
      </w:pPr>
      <w:r>
        <w:t>Coinsurance encourages insurance to value. Formula idea: carried insurance divided by required insurance times the loss, minus deductible.</w:t>
      </w:r>
    </w:p>
    <w:p w14:paraId="5699FFE0" w14:textId="77777777" w:rsidR="003442FE" w:rsidRDefault="00000000" w:rsidP="003B2FDD">
      <w:pPr>
        <w:pStyle w:val="Heading3"/>
      </w:pPr>
      <w:bookmarkStart w:id="31" w:name="insurance-to-value"/>
      <w:bookmarkEnd w:id="30"/>
      <w:r>
        <w:t>Insurance to value</w:t>
      </w:r>
    </w:p>
    <w:p w14:paraId="6CFA0645" w14:textId="77777777" w:rsidR="003442FE" w:rsidRDefault="00000000" w:rsidP="003B2FDD">
      <w:pPr>
        <w:pStyle w:val="FirstParagraph"/>
      </w:pPr>
      <w:r>
        <w:t>Insurance to value supports adequate limits and avoids coinsurance penalties. It matters for replacement cost and commercial property.</w:t>
      </w:r>
    </w:p>
    <w:p w14:paraId="4ECF735C" w14:textId="77777777" w:rsidR="003442FE" w:rsidRDefault="00000000" w:rsidP="003B2FDD">
      <w:pPr>
        <w:pStyle w:val="Heading3"/>
      </w:pPr>
      <w:bookmarkStart w:id="32" w:name="deductible"/>
      <w:bookmarkEnd w:id="31"/>
      <w:r>
        <w:t>Deductible</w:t>
      </w:r>
    </w:p>
    <w:p w14:paraId="078978A7" w14:textId="77777777" w:rsidR="003442FE" w:rsidRDefault="00000000" w:rsidP="003B2FDD">
      <w:pPr>
        <w:pStyle w:val="FirstParagraph"/>
      </w:pPr>
      <w:r>
        <w:t>A deductible reduces claim payment and keeps small losses with the insured. Apply it after determining coverage and valuation.</w:t>
      </w:r>
    </w:p>
    <w:p w14:paraId="3FE6452E" w14:textId="77777777" w:rsidR="003442FE" w:rsidRDefault="00000000" w:rsidP="003B2FDD">
      <w:pPr>
        <w:pStyle w:val="Heading3"/>
      </w:pPr>
      <w:bookmarkStart w:id="33" w:name="policy-limit"/>
      <w:bookmarkEnd w:id="32"/>
      <w:r>
        <w:t>Policy limit</w:t>
      </w:r>
    </w:p>
    <w:p w14:paraId="7FF8DD7C" w14:textId="77777777" w:rsidR="003442FE" w:rsidRDefault="00000000" w:rsidP="003B2FDD">
      <w:pPr>
        <w:pStyle w:val="FirstParagraph"/>
      </w:pPr>
      <w:r>
        <w:t xml:space="preserve">Policy limits cap insurer liability. Types include </w:t>
      </w:r>
      <w:r>
        <w:rPr>
          <w:b/>
          <w:bCs/>
        </w:rPr>
        <w:t>per occurrence</w:t>
      </w:r>
      <w:r>
        <w:t xml:space="preserve">, </w:t>
      </w:r>
      <w:r>
        <w:rPr>
          <w:b/>
          <w:bCs/>
        </w:rPr>
        <w:t>per person</w:t>
      </w:r>
      <w:r>
        <w:t xml:space="preserve">, </w:t>
      </w:r>
      <w:r>
        <w:rPr>
          <w:b/>
          <w:bCs/>
        </w:rPr>
        <w:t>aggregate</w:t>
      </w:r>
      <w:r>
        <w:t xml:space="preserve">, and </w:t>
      </w:r>
      <w:r>
        <w:rPr>
          <w:b/>
          <w:bCs/>
        </w:rPr>
        <w:t>sublimits</w:t>
      </w:r>
      <w:r>
        <w:t>.</w:t>
      </w:r>
    </w:p>
    <w:p w14:paraId="0955CDD8" w14:textId="77777777" w:rsidR="003442FE" w:rsidRDefault="00000000" w:rsidP="003B2FDD">
      <w:pPr>
        <w:pStyle w:val="Heading3"/>
      </w:pPr>
      <w:bookmarkStart w:id="34" w:name="sublimit"/>
      <w:bookmarkEnd w:id="33"/>
      <w:r>
        <w:lastRenderedPageBreak/>
        <w:t>Sublimit</w:t>
      </w:r>
    </w:p>
    <w:p w14:paraId="3BC68B3F" w14:textId="77777777" w:rsidR="003442FE" w:rsidRDefault="00000000" w:rsidP="003B2FDD">
      <w:pPr>
        <w:pStyle w:val="FirstParagraph"/>
      </w:pPr>
      <w:r>
        <w:t>A sublimit narrows coverage for a particular category, such as jewelry, money, debris removal, or mold. It matters because the declarations limit may not be the amount available for every loss.</w:t>
      </w:r>
    </w:p>
    <w:p w14:paraId="4AD8B711" w14:textId="77777777" w:rsidR="003442FE" w:rsidRDefault="00000000" w:rsidP="003B2FDD">
      <w:pPr>
        <w:pStyle w:val="Heading2"/>
      </w:pPr>
      <w:bookmarkStart w:id="35" w:name="liability-causation-damages"/>
      <w:bookmarkEnd w:id="13"/>
      <w:bookmarkEnd w:id="34"/>
      <w:r>
        <w:rPr>
          <w:highlight w:val="yellow"/>
        </w:rPr>
        <w:t>Liability, causation, damages</w:t>
      </w:r>
    </w:p>
    <w:p w14:paraId="76F3F671" w14:textId="77777777" w:rsidR="003442FE" w:rsidRDefault="00000000" w:rsidP="003B2FDD">
      <w:pPr>
        <w:pStyle w:val="Heading3"/>
      </w:pPr>
      <w:bookmarkStart w:id="36" w:name="proximate-cause"/>
      <w:r>
        <w:t>Proximate cause</w:t>
      </w:r>
    </w:p>
    <w:p w14:paraId="08424324" w14:textId="77777777" w:rsidR="003442FE" w:rsidRDefault="00000000" w:rsidP="003B2FDD">
      <w:pPr>
        <w:pStyle w:val="FirstParagraph"/>
      </w:pPr>
      <w:r>
        <w:t>Proximate cause determines which peril legally caused the loss when multiple events are involved. It matters in coverage disputes.</w:t>
      </w:r>
    </w:p>
    <w:p w14:paraId="711679BE" w14:textId="77777777" w:rsidR="003442FE" w:rsidRDefault="00000000" w:rsidP="003B2FDD">
      <w:pPr>
        <w:pStyle w:val="Heading3"/>
      </w:pPr>
      <w:bookmarkStart w:id="37" w:name="concurrent-causation"/>
      <w:bookmarkEnd w:id="36"/>
      <w:r>
        <w:t>Concurrent causation</w:t>
      </w:r>
    </w:p>
    <w:p w14:paraId="06495AAC" w14:textId="77777777" w:rsidR="003442FE" w:rsidRDefault="00000000" w:rsidP="003B2FDD">
      <w:pPr>
        <w:pStyle w:val="FirstParagraph"/>
      </w:pPr>
      <w:r>
        <w:t>Concurrent causation appears when covered and excluded causes combine. Policies may include anti-concurrent causation language to bar coverage when an excluded peril contributes.</w:t>
      </w:r>
    </w:p>
    <w:p w14:paraId="47283AA5" w14:textId="77777777" w:rsidR="003442FE" w:rsidRDefault="00000000" w:rsidP="003B2FDD">
      <w:pPr>
        <w:pStyle w:val="Heading3"/>
      </w:pPr>
      <w:bookmarkStart w:id="38" w:name="indemnity"/>
      <w:bookmarkEnd w:id="37"/>
      <w:r>
        <w:t>Indemnity</w:t>
      </w:r>
    </w:p>
    <w:p w14:paraId="6D5EB4B0" w14:textId="77777777" w:rsidR="003442FE" w:rsidRDefault="00000000" w:rsidP="003B2FDD">
      <w:pPr>
        <w:pStyle w:val="FirstParagraph"/>
      </w:pPr>
      <w:r>
        <w:t>Indemnity prevents profit from loss. It underlies ACV, replacement-cost conditions, subrogation, and insurable interest.</w:t>
      </w:r>
    </w:p>
    <w:p w14:paraId="6546C197" w14:textId="77777777" w:rsidR="003442FE" w:rsidRDefault="00000000" w:rsidP="003B2FDD">
      <w:pPr>
        <w:pStyle w:val="Heading3"/>
      </w:pPr>
      <w:bookmarkStart w:id="39" w:name="liability"/>
      <w:bookmarkEnd w:id="38"/>
      <w:r>
        <w:t>Liability</w:t>
      </w:r>
    </w:p>
    <w:p w14:paraId="667DAF38" w14:textId="77777777" w:rsidR="003442FE" w:rsidRDefault="00000000" w:rsidP="003B2FDD">
      <w:pPr>
        <w:pStyle w:val="FirstParagraph"/>
      </w:pPr>
      <w:r>
        <w:t>Liability is legal responsibility arising from negligence, statute, contract, or certain strict/absolute duties. Casualty insurance pays covered sums the insured is legally obligated to pay.</w:t>
      </w:r>
    </w:p>
    <w:p w14:paraId="7EB7F0B9" w14:textId="77777777" w:rsidR="003442FE" w:rsidRDefault="00000000" w:rsidP="003B2FDD">
      <w:pPr>
        <w:pStyle w:val="Heading3"/>
      </w:pPr>
      <w:bookmarkStart w:id="40" w:name="absolute-liability"/>
      <w:bookmarkEnd w:id="39"/>
      <w:r>
        <w:t>Absolute liability</w:t>
      </w:r>
    </w:p>
    <w:p w14:paraId="719AF34C" w14:textId="77777777" w:rsidR="003442FE" w:rsidRDefault="00000000" w:rsidP="003B2FDD">
      <w:pPr>
        <w:pStyle w:val="FirstParagraph"/>
      </w:pPr>
      <w:r>
        <w:t>Absolute liability is imposed because the activity is inherently dangerous, regardless of care used. Examples often include blasting or keeping dangerous animals.</w:t>
      </w:r>
    </w:p>
    <w:p w14:paraId="6074A1D2" w14:textId="77777777" w:rsidR="003442FE" w:rsidRDefault="00000000" w:rsidP="003B2FDD">
      <w:pPr>
        <w:pStyle w:val="Heading3"/>
      </w:pPr>
      <w:bookmarkStart w:id="41" w:name="strict-liability"/>
      <w:bookmarkEnd w:id="40"/>
      <w:r>
        <w:t>Strict liability</w:t>
      </w:r>
    </w:p>
    <w:p w14:paraId="7570CED3" w14:textId="77777777" w:rsidR="003442FE" w:rsidRDefault="00000000" w:rsidP="003B2FDD">
      <w:pPr>
        <w:pStyle w:val="FirstParagraph"/>
      </w:pPr>
      <w:r>
        <w:t>Strict liability focuses on responsibility without needing to prove breach of ordinary care. It matters in product claims.</w:t>
      </w:r>
    </w:p>
    <w:p w14:paraId="03BB772E" w14:textId="77777777" w:rsidR="003442FE" w:rsidRDefault="00000000" w:rsidP="003B2FDD">
      <w:pPr>
        <w:pStyle w:val="Heading3"/>
      </w:pPr>
      <w:bookmarkStart w:id="42" w:name="vicarious-liability"/>
      <w:bookmarkEnd w:id="41"/>
      <w:r>
        <w:t>Vicarious liability</w:t>
      </w:r>
    </w:p>
    <w:p w14:paraId="49D7E35F" w14:textId="77777777" w:rsidR="003442FE" w:rsidRDefault="00000000" w:rsidP="003B2FDD">
      <w:pPr>
        <w:pStyle w:val="FirstParagraph"/>
      </w:pPr>
      <w:r>
        <w:t>Vicarious liability shifts responsibility because of a legal relationship. It is common in business auto, employers liability, and general liability.</w:t>
      </w:r>
    </w:p>
    <w:p w14:paraId="7A3A8E2C" w14:textId="77777777" w:rsidR="003442FE" w:rsidRDefault="00000000" w:rsidP="003B2FDD">
      <w:pPr>
        <w:pStyle w:val="Heading3"/>
      </w:pPr>
      <w:bookmarkStart w:id="43" w:name="negligence"/>
      <w:bookmarkEnd w:id="42"/>
      <w:r>
        <w:t>Negligence</w:t>
      </w:r>
    </w:p>
    <w:p w14:paraId="336D25F2" w14:textId="77777777" w:rsidR="003442FE" w:rsidRDefault="00000000" w:rsidP="003B2FDD">
      <w:pPr>
        <w:pStyle w:val="FirstParagraph"/>
      </w:pPr>
      <w:r>
        <w:t>Elements usually tested: duty, breach, proximate cause, and damages. It is central to liability claims.</w:t>
      </w:r>
    </w:p>
    <w:p w14:paraId="7D558768" w14:textId="77777777" w:rsidR="003442FE" w:rsidRDefault="00000000" w:rsidP="003B2FDD">
      <w:pPr>
        <w:pStyle w:val="Heading3"/>
      </w:pPr>
      <w:bookmarkStart w:id="44" w:name="duty-of-care"/>
      <w:bookmarkEnd w:id="43"/>
      <w:r>
        <w:lastRenderedPageBreak/>
        <w:t>Duty of care</w:t>
      </w:r>
    </w:p>
    <w:p w14:paraId="5538A075" w14:textId="77777777" w:rsidR="003442FE" w:rsidRDefault="00000000" w:rsidP="003B2FDD">
      <w:pPr>
        <w:pStyle w:val="FirstParagraph"/>
      </w:pPr>
      <w:r>
        <w:t>Duty is the first negligence element. Without a duty, no negligence liability arises.</w:t>
      </w:r>
    </w:p>
    <w:p w14:paraId="7870961F" w14:textId="77777777" w:rsidR="003442FE" w:rsidRDefault="00000000" w:rsidP="003B2FDD">
      <w:pPr>
        <w:pStyle w:val="Heading3"/>
      </w:pPr>
      <w:bookmarkStart w:id="45" w:name="breach-of-duty"/>
      <w:bookmarkEnd w:id="44"/>
      <w:r>
        <w:t>Breach of duty</w:t>
      </w:r>
    </w:p>
    <w:p w14:paraId="123C1980" w14:textId="77777777" w:rsidR="003442FE" w:rsidRDefault="00000000" w:rsidP="003B2FDD">
      <w:pPr>
        <w:pStyle w:val="FirstParagraph"/>
      </w:pPr>
      <w:r>
        <w:t>Breach is the unreasonable act or omission. It matters because a duty alone is not enough for negligence.</w:t>
      </w:r>
    </w:p>
    <w:p w14:paraId="26AB0F41" w14:textId="77777777" w:rsidR="003442FE" w:rsidRDefault="00000000" w:rsidP="003B2FDD">
      <w:pPr>
        <w:pStyle w:val="Heading3"/>
      </w:pPr>
      <w:bookmarkStart w:id="46" w:name="damages"/>
      <w:bookmarkEnd w:id="45"/>
      <w:r>
        <w:t>Damages</w:t>
      </w:r>
    </w:p>
    <w:p w14:paraId="0B74FC98" w14:textId="77777777" w:rsidR="003442FE" w:rsidRDefault="00000000" w:rsidP="003B2FDD">
      <w:pPr>
        <w:pStyle w:val="FirstParagraph"/>
      </w:pPr>
      <w:r>
        <w:t xml:space="preserve">Damages are the financial or legal harm claimed. Types include </w:t>
      </w:r>
      <w:r>
        <w:rPr>
          <w:b/>
          <w:bCs/>
        </w:rPr>
        <w:t>compensatory</w:t>
      </w:r>
      <w:r>
        <w:t xml:space="preserve"> and </w:t>
      </w:r>
      <w:r>
        <w:rPr>
          <w:b/>
          <w:bCs/>
        </w:rPr>
        <w:t>punitive</w:t>
      </w:r>
      <w:r>
        <w:t>.</w:t>
      </w:r>
    </w:p>
    <w:p w14:paraId="220B0DBD" w14:textId="77777777" w:rsidR="003442FE" w:rsidRDefault="00000000" w:rsidP="003B2FDD">
      <w:pPr>
        <w:pStyle w:val="Heading3"/>
      </w:pPr>
      <w:bookmarkStart w:id="47" w:name="compensatory-damages"/>
      <w:bookmarkEnd w:id="46"/>
      <w:r>
        <w:t>Compensatory damages</w:t>
      </w:r>
    </w:p>
    <w:p w14:paraId="1D1AE02F" w14:textId="77777777" w:rsidR="003442FE" w:rsidRDefault="00000000" w:rsidP="003B2FDD">
      <w:pPr>
        <w:pStyle w:val="FirstParagraph"/>
      </w:pPr>
      <w:r>
        <w:t xml:space="preserve">Compensatory damages make the claimant whole. Types include </w:t>
      </w:r>
      <w:r>
        <w:rPr>
          <w:b/>
          <w:bCs/>
        </w:rPr>
        <w:t>special damages</w:t>
      </w:r>
      <w:r>
        <w:t xml:space="preserve"> and </w:t>
      </w:r>
      <w:r>
        <w:rPr>
          <w:b/>
          <w:bCs/>
        </w:rPr>
        <w:t>general damages</w:t>
      </w:r>
      <w:r>
        <w:t>.</w:t>
      </w:r>
    </w:p>
    <w:p w14:paraId="2B171A5B" w14:textId="77777777" w:rsidR="003442FE" w:rsidRDefault="00000000" w:rsidP="003B2FDD">
      <w:pPr>
        <w:pStyle w:val="Heading3"/>
      </w:pPr>
      <w:bookmarkStart w:id="48" w:name="general-damages"/>
      <w:bookmarkEnd w:id="47"/>
      <w:r>
        <w:t>General damages</w:t>
      </w:r>
    </w:p>
    <w:p w14:paraId="305AE023" w14:textId="77777777" w:rsidR="003442FE" w:rsidRDefault="00000000" w:rsidP="003B2FDD">
      <w:pPr>
        <w:pStyle w:val="FirstParagraph"/>
      </w:pPr>
      <w:r>
        <w:t>General damages compensate intangible harms. They are harder to measure than special damages.</w:t>
      </w:r>
    </w:p>
    <w:p w14:paraId="295578B5" w14:textId="77777777" w:rsidR="003442FE" w:rsidRDefault="00000000" w:rsidP="003B2FDD">
      <w:pPr>
        <w:pStyle w:val="Heading3"/>
      </w:pPr>
      <w:bookmarkStart w:id="49" w:name="special-damages"/>
      <w:bookmarkEnd w:id="48"/>
      <w:r>
        <w:t>Special damages</w:t>
      </w:r>
    </w:p>
    <w:p w14:paraId="4F047100" w14:textId="77777777" w:rsidR="003442FE" w:rsidRDefault="00000000" w:rsidP="003B2FDD">
      <w:pPr>
        <w:pStyle w:val="FirstParagraph"/>
      </w:pPr>
      <w:r>
        <w:t>Special damages can be documented with bills, receipts, or wage records. They are a main component of liability claim valuation.</w:t>
      </w:r>
    </w:p>
    <w:p w14:paraId="786FDE25" w14:textId="77777777" w:rsidR="003442FE" w:rsidRDefault="00000000" w:rsidP="003B2FDD">
      <w:pPr>
        <w:pStyle w:val="Heading3"/>
      </w:pPr>
      <w:bookmarkStart w:id="50" w:name="punitive-damages"/>
      <w:bookmarkEnd w:id="49"/>
      <w:r>
        <w:t>Punitive damages</w:t>
      </w:r>
    </w:p>
    <w:p w14:paraId="76AA26C7" w14:textId="77777777" w:rsidR="003442FE" w:rsidRDefault="00000000" w:rsidP="003B2FDD">
      <w:pPr>
        <w:pStyle w:val="FirstParagraph"/>
      </w:pPr>
      <w:r>
        <w:t>Punitive damages are not primarily to reimburse the claimant. Coverage may be limited or prohibited by policy wording or law.</w:t>
      </w:r>
    </w:p>
    <w:p w14:paraId="789E8B83" w14:textId="77777777" w:rsidR="003442FE" w:rsidRDefault="00000000" w:rsidP="003B2FDD">
      <w:pPr>
        <w:pStyle w:val="Heading2"/>
      </w:pPr>
      <w:bookmarkStart w:id="51" w:name="temporary-coverage-policy-changes"/>
      <w:bookmarkEnd w:id="35"/>
      <w:bookmarkEnd w:id="50"/>
      <w:r>
        <w:rPr>
          <w:highlight w:val="yellow"/>
        </w:rPr>
        <w:t>Temporary coverage / policy changes</w:t>
      </w:r>
    </w:p>
    <w:p w14:paraId="755B1E18" w14:textId="77777777" w:rsidR="003442FE" w:rsidRDefault="00000000" w:rsidP="003B2FDD">
      <w:pPr>
        <w:pStyle w:val="Heading3"/>
      </w:pPr>
      <w:bookmarkStart w:id="52" w:name="binder"/>
      <w:r>
        <w:t>Binder</w:t>
      </w:r>
    </w:p>
    <w:p w14:paraId="439E6226" w14:textId="77777777" w:rsidR="003442FE" w:rsidRDefault="00000000" w:rsidP="003B2FDD">
      <w:pPr>
        <w:pStyle w:val="FirstParagraph"/>
      </w:pPr>
      <w:r>
        <w:t>A binder provides temporary coverage subject to its terms and effective dates. It is important because coverage may begin before the policy is delivered.</w:t>
      </w:r>
    </w:p>
    <w:p w14:paraId="2E282725" w14:textId="77777777" w:rsidR="003442FE" w:rsidRDefault="00000000" w:rsidP="003B2FDD">
      <w:pPr>
        <w:pStyle w:val="Heading3"/>
      </w:pPr>
      <w:bookmarkStart w:id="53" w:name="endorsement"/>
      <w:bookmarkEnd w:id="52"/>
      <w:r>
        <w:t>Endorsement</w:t>
      </w:r>
    </w:p>
    <w:p w14:paraId="55727A07" w14:textId="77777777" w:rsidR="003442FE" w:rsidRDefault="00000000" w:rsidP="003B2FDD">
      <w:pPr>
        <w:pStyle w:val="FirstParagraph"/>
      </w:pPr>
      <w:r>
        <w:t>An endorsement changes the policy. It can broaden or restrict coverage and often controls over conflicting printed form language.</w:t>
      </w:r>
    </w:p>
    <w:p w14:paraId="23C0323D" w14:textId="77777777" w:rsidR="003442FE" w:rsidRDefault="00000000" w:rsidP="003B2FDD">
      <w:pPr>
        <w:pStyle w:val="Heading3"/>
      </w:pPr>
      <w:bookmarkStart w:id="54" w:name="blanket-insurance"/>
      <w:bookmarkEnd w:id="53"/>
      <w:r>
        <w:t>Blanket insurance</w:t>
      </w:r>
    </w:p>
    <w:p w14:paraId="1F5423E1" w14:textId="77777777" w:rsidR="003442FE" w:rsidRDefault="00000000" w:rsidP="003B2FDD">
      <w:pPr>
        <w:pStyle w:val="FirstParagraph"/>
      </w:pPr>
      <w:r>
        <w:t>Blanket coverage uses one limit over multiple items, locations, or property types. It provides flexibility but requires accurate values.</w:t>
      </w:r>
    </w:p>
    <w:p w14:paraId="79F140C8" w14:textId="77777777" w:rsidR="003442FE" w:rsidRDefault="00000000" w:rsidP="003B2FDD">
      <w:pPr>
        <w:pStyle w:val="Heading3"/>
      </w:pPr>
      <w:bookmarkStart w:id="55" w:name="specific-insurance"/>
      <w:bookmarkEnd w:id="54"/>
      <w:r>
        <w:lastRenderedPageBreak/>
        <w:t>Specific insurance</w:t>
      </w:r>
    </w:p>
    <w:p w14:paraId="374F34E3" w14:textId="77777777" w:rsidR="003442FE" w:rsidRDefault="00000000" w:rsidP="003B2FDD">
      <w:pPr>
        <w:pStyle w:val="FirstParagraph"/>
      </w:pPr>
      <w:r>
        <w:t>Specific insurance limits coverage item by item or location by location. It is less flexible than blanket coverage but clearer for valuation.</w:t>
      </w:r>
    </w:p>
    <w:p w14:paraId="74ACC898" w14:textId="77777777" w:rsidR="003442FE" w:rsidRDefault="00000000" w:rsidP="003B2FDD">
      <w:pPr>
        <w:pStyle w:val="Heading2"/>
      </w:pPr>
      <w:bookmarkStart w:id="56" w:name="policy-structure-and-provisions"/>
      <w:bookmarkEnd w:id="51"/>
      <w:bookmarkEnd w:id="55"/>
      <w:r>
        <w:rPr>
          <w:highlight w:val="yellow"/>
        </w:rPr>
        <w:t>Policy structure and provisions</w:t>
      </w:r>
    </w:p>
    <w:p w14:paraId="23987125" w14:textId="77777777" w:rsidR="003442FE" w:rsidRDefault="00000000" w:rsidP="003B2FDD">
      <w:pPr>
        <w:pStyle w:val="Heading3"/>
      </w:pPr>
      <w:bookmarkStart w:id="57" w:name="declarations"/>
      <w:r>
        <w:t>Declarations</w:t>
      </w:r>
    </w:p>
    <w:p w14:paraId="2A397115" w14:textId="77777777" w:rsidR="003442FE" w:rsidRDefault="00000000" w:rsidP="003B2FDD">
      <w:pPr>
        <w:pStyle w:val="FirstParagraph"/>
      </w:pPr>
      <w:r>
        <w:t>Declarations are the policy’s information page. Use them first to identify who, what, when, and how much.</w:t>
      </w:r>
    </w:p>
    <w:p w14:paraId="78B407E5" w14:textId="77777777" w:rsidR="003442FE" w:rsidRDefault="00000000" w:rsidP="003B2FDD">
      <w:pPr>
        <w:pStyle w:val="Heading3"/>
      </w:pPr>
      <w:bookmarkStart w:id="58" w:name="insuring-agreement"/>
      <w:bookmarkEnd w:id="57"/>
      <w:r>
        <w:t>Insuring agreement</w:t>
      </w:r>
    </w:p>
    <w:p w14:paraId="2D9FD128" w14:textId="77777777" w:rsidR="003442FE" w:rsidRDefault="00000000" w:rsidP="003B2FDD">
      <w:pPr>
        <w:pStyle w:val="FirstParagraph"/>
      </w:pPr>
      <w:r>
        <w:t>The insuring agreement grants coverage, subject to conditions and exclusions. It answers the first question: what does the insurer promise?</w:t>
      </w:r>
    </w:p>
    <w:p w14:paraId="6727B3D6" w14:textId="77777777" w:rsidR="003442FE" w:rsidRDefault="00000000" w:rsidP="003B2FDD">
      <w:pPr>
        <w:pStyle w:val="Heading3"/>
      </w:pPr>
      <w:bookmarkStart w:id="59" w:name="conditions"/>
      <w:bookmarkEnd w:id="58"/>
      <w:r>
        <w:t>Conditions</w:t>
      </w:r>
    </w:p>
    <w:p w14:paraId="792AFD71" w14:textId="77777777" w:rsidR="003442FE" w:rsidRDefault="00000000" w:rsidP="003B2FDD">
      <w:pPr>
        <w:pStyle w:val="FirstParagraph"/>
      </w:pPr>
      <w:r>
        <w:t>Conditions include duties after loss, premium, cancellation, concealment, cooperation, and legal action conditions. Failure to satisfy a condition can affect coverage.</w:t>
      </w:r>
    </w:p>
    <w:p w14:paraId="0149DD0D" w14:textId="77777777" w:rsidR="003442FE" w:rsidRDefault="00000000" w:rsidP="003B2FDD">
      <w:pPr>
        <w:pStyle w:val="Heading3"/>
      </w:pPr>
      <w:bookmarkStart w:id="60" w:name="exclusions"/>
      <w:bookmarkEnd w:id="59"/>
      <w:r>
        <w:t>Exclusions</w:t>
      </w:r>
    </w:p>
    <w:p w14:paraId="09B1FF16" w14:textId="77777777" w:rsidR="003442FE" w:rsidRDefault="00000000" w:rsidP="003B2FDD">
      <w:pPr>
        <w:pStyle w:val="FirstParagraph"/>
      </w:pPr>
      <w:r>
        <w:t>Exclusions narrow coverage that might otherwise exist. Always read exclusions after the insuring agreement.</w:t>
      </w:r>
    </w:p>
    <w:p w14:paraId="0C93ADC9" w14:textId="77777777" w:rsidR="003442FE" w:rsidRDefault="00000000" w:rsidP="003B2FDD">
      <w:pPr>
        <w:pStyle w:val="Heading3"/>
      </w:pPr>
      <w:bookmarkStart w:id="61" w:name="limitations"/>
      <w:bookmarkEnd w:id="60"/>
      <w:r>
        <w:t>Limitations</w:t>
      </w:r>
    </w:p>
    <w:p w14:paraId="187EBF3E" w14:textId="77777777" w:rsidR="003442FE" w:rsidRDefault="00000000" w:rsidP="003B2FDD">
      <w:pPr>
        <w:pStyle w:val="FirstParagraph"/>
      </w:pPr>
      <w:r>
        <w:t>Limitations reduce or qualify coverage. Examples include sublimits, time limits, vacancy limits, and territory restrictions.</w:t>
      </w:r>
    </w:p>
    <w:p w14:paraId="517B66BB" w14:textId="77777777" w:rsidR="003442FE" w:rsidRDefault="00000000" w:rsidP="003B2FDD">
      <w:pPr>
        <w:pStyle w:val="Heading3"/>
      </w:pPr>
      <w:bookmarkStart w:id="62" w:name="definition-of-insured"/>
      <w:bookmarkEnd w:id="61"/>
      <w:r>
        <w:t>Definition of insured</w:t>
      </w:r>
    </w:p>
    <w:p w14:paraId="0620F4C8" w14:textId="77777777" w:rsidR="003442FE" w:rsidRDefault="00000000" w:rsidP="003B2FDD">
      <w:pPr>
        <w:pStyle w:val="FirstParagraph"/>
      </w:pPr>
      <w:r>
        <w:t>Definition of insured determines who receives protection, including named insureds, resident relatives, employees, permissive users, or organizations depending on policy type.</w:t>
      </w:r>
    </w:p>
    <w:p w14:paraId="395B5A8C" w14:textId="77777777" w:rsidR="003442FE" w:rsidRDefault="00000000" w:rsidP="003B2FDD">
      <w:pPr>
        <w:pStyle w:val="Heading3"/>
      </w:pPr>
      <w:bookmarkStart w:id="63" w:name="first-named-insured"/>
      <w:bookmarkEnd w:id="62"/>
      <w:r>
        <w:t>First named insured</w:t>
      </w:r>
    </w:p>
    <w:p w14:paraId="00AD880D" w14:textId="77777777" w:rsidR="003442FE" w:rsidRDefault="00000000" w:rsidP="003B2FDD">
      <w:pPr>
        <w:pStyle w:val="FirstParagraph"/>
      </w:pPr>
      <w:r>
        <w:t>The first named insured often receives notices, pays premiums, and controls certain policy changes. This is critical in commercial policies.</w:t>
      </w:r>
    </w:p>
    <w:p w14:paraId="1C491060" w14:textId="77777777" w:rsidR="003442FE" w:rsidRDefault="00000000" w:rsidP="003B2FDD">
      <w:pPr>
        <w:pStyle w:val="Heading3"/>
      </w:pPr>
      <w:bookmarkStart w:id="64" w:name="additional-insured"/>
      <w:bookmarkEnd w:id="63"/>
      <w:r>
        <w:t>Additional insured</w:t>
      </w:r>
    </w:p>
    <w:p w14:paraId="3A05E873" w14:textId="77777777" w:rsidR="003442FE" w:rsidRDefault="00000000" w:rsidP="003B2FDD">
      <w:pPr>
        <w:pStyle w:val="FirstParagraph"/>
      </w:pPr>
      <w:r>
        <w:t>An additional insured is not the original policyholder but receives specified protection. Often used in contracts.</w:t>
      </w:r>
    </w:p>
    <w:p w14:paraId="0FB36440" w14:textId="77777777" w:rsidR="003442FE" w:rsidRDefault="00000000" w:rsidP="003B2FDD">
      <w:pPr>
        <w:pStyle w:val="Heading3"/>
      </w:pPr>
      <w:bookmarkStart w:id="65" w:name="named-insured"/>
      <w:bookmarkEnd w:id="64"/>
      <w:r>
        <w:t>Named insured</w:t>
      </w:r>
    </w:p>
    <w:p w14:paraId="7019AC96" w14:textId="77777777" w:rsidR="003442FE" w:rsidRDefault="00000000" w:rsidP="003B2FDD">
      <w:pPr>
        <w:pStyle w:val="FirstParagraph"/>
      </w:pPr>
      <w:r>
        <w:t>The named insured has the broadest policy rights and duties. In personal lines this may include spouse/resident spouse depending on form.</w:t>
      </w:r>
    </w:p>
    <w:p w14:paraId="23FEDF52" w14:textId="77777777" w:rsidR="003442FE" w:rsidRDefault="00000000" w:rsidP="003B2FDD">
      <w:pPr>
        <w:pStyle w:val="Heading3"/>
      </w:pPr>
      <w:bookmarkStart w:id="66" w:name="duties-after-loss"/>
      <w:bookmarkEnd w:id="65"/>
      <w:r>
        <w:lastRenderedPageBreak/>
        <w:t>Duties after loss</w:t>
      </w:r>
    </w:p>
    <w:p w14:paraId="03CA04C4" w14:textId="77777777" w:rsidR="003442FE" w:rsidRDefault="00000000" w:rsidP="003B2FDD">
      <w:pPr>
        <w:pStyle w:val="FirstParagraph"/>
      </w:pPr>
      <w:r>
        <w:t>Duties after loss are conditions that help the insurer investigate and adjust claims. Failure can prejudice coverage.</w:t>
      </w:r>
    </w:p>
    <w:p w14:paraId="78257A9D" w14:textId="77777777" w:rsidR="003442FE" w:rsidRDefault="00000000" w:rsidP="003B2FDD">
      <w:pPr>
        <w:pStyle w:val="Heading3"/>
      </w:pPr>
      <w:bookmarkStart w:id="67" w:name="proof-of-loss"/>
      <w:bookmarkEnd w:id="66"/>
      <w:r>
        <w:t>Proof of loss</w:t>
      </w:r>
    </w:p>
    <w:p w14:paraId="50DDC7B4" w14:textId="77777777" w:rsidR="003442FE" w:rsidRDefault="00000000" w:rsidP="003B2FDD">
      <w:pPr>
        <w:pStyle w:val="FirstParagraph"/>
      </w:pPr>
      <w:r>
        <w:t>Proof of loss gives the insurer detailed claim information. It matters because claim deadlines and payment obligations may depend on requested information.</w:t>
      </w:r>
    </w:p>
    <w:p w14:paraId="6743292B" w14:textId="77777777" w:rsidR="003442FE" w:rsidRDefault="00000000" w:rsidP="003B2FDD">
      <w:pPr>
        <w:pStyle w:val="Heading3"/>
      </w:pPr>
      <w:bookmarkStart w:id="68" w:name="notice-of-claim"/>
      <w:bookmarkEnd w:id="67"/>
      <w:r>
        <w:t>Notice of claim</w:t>
      </w:r>
    </w:p>
    <w:p w14:paraId="168F3C3A" w14:textId="77777777" w:rsidR="003442FE" w:rsidRDefault="00000000" w:rsidP="003B2FDD">
      <w:pPr>
        <w:pStyle w:val="FirstParagraph"/>
      </w:pPr>
      <w:r>
        <w:t>Notice of claim triggers the insurer’s investigation and claim deadlines. Policies usually require notice as soon as practical.</w:t>
      </w:r>
    </w:p>
    <w:p w14:paraId="10063C3D" w14:textId="77777777" w:rsidR="003442FE" w:rsidRDefault="00000000" w:rsidP="003B2FDD">
      <w:pPr>
        <w:pStyle w:val="Heading3"/>
      </w:pPr>
      <w:bookmarkStart w:id="69" w:name="appraisal"/>
      <w:bookmarkEnd w:id="68"/>
      <w:r>
        <w:t>Appraisal</w:t>
      </w:r>
    </w:p>
    <w:p w14:paraId="5A41A85B" w14:textId="77777777" w:rsidR="003442FE" w:rsidRDefault="00000000" w:rsidP="003B2FDD">
      <w:pPr>
        <w:pStyle w:val="FirstParagraph"/>
      </w:pPr>
      <w:r>
        <w:t>Appraisal is for amount-of-loss disputes, not coverage disputes. Each side usually selects an appraiser; an umpire resolves differences.</w:t>
      </w:r>
    </w:p>
    <w:p w14:paraId="23E48DBE" w14:textId="77777777" w:rsidR="003442FE" w:rsidRDefault="00000000" w:rsidP="003B2FDD">
      <w:pPr>
        <w:pStyle w:val="Heading3"/>
      </w:pPr>
      <w:bookmarkStart w:id="70" w:name="other-insurance-provision"/>
      <w:bookmarkEnd w:id="69"/>
      <w:r>
        <w:t>Other insurance provision</w:t>
      </w:r>
    </w:p>
    <w:p w14:paraId="121E6DF8" w14:textId="77777777" w:rsidR="003442FE" w:rsidRDefault="00000000" w:rsidP="003B2FDD">
      <w:pPr>
        <w:pStyle w:val="FirstParagraph"/>
      </w:pPr>
      <w:r>
        <w:t>Other insurance provisions prevent duplicate recovery and coordinate primary, excess, or pro rata payment. Important for overlapping policies.</w:t>
      </w:r>
    </w:p>
    <w:p w14:paraId="346D828F" w14:textId="77777777" w:rsidR="003442FE" w:rsidRDefault="00000000" w:rsidP="003B2FDD">
      <w:pPr>
        <w:pStyle w:val="Heading3"/>
      </w:pPr>
      <w:bookmarkStart w:id="71" w:name="subrogation"/>
      <w:bookmarkEnd w:id="70"/>
      <w:r>
        <w:t>Subrogation</w:t>
      </w:r>
    </w:p>
    <w:p w14:paraId="68367C04" w14:textId="77777777" w:rsidR="003442FE" w:rsidRDefault="00000000" w:rsidP="003B2FDD">
      <w:pPr>
        <w:pStyle w:val="FirstParagraph"/>
      </w:pPr>
      <w:r>
        <w:t>Subrogation supports indemnity by preventing double recovery and shifting loss to the responsible party. Insureds must not impair this right.</w:t>
      </w:r>
    </w:p>
    <w:p w14:paraId="0D409E04" w14:textId="77777777" w:rsidR="003442FE" w:rsidRDefault="00000000" w:rsidP="003B2FDD">
      <w:pPr>
        <w:pStyle w:val="Heading3"/>
      </w:pPr>
      <w:bookmarkStart w:id="72" w:name="mortgagee-rights"/>
      <w:bookmarkEnd w:id="71"/>
      <w:r>
        <w:t>Mortgagee rights</w:t>
      </w:r>
    </w:p>
    <w:p w14:paraId="02FABCE6" w14:textId="77777777" w:rsidR="003442FE" w:rsidRDefault="00000000" w:rsidP="003B2FDD">
      <w:pPr>
        <w:pStyle w:val="FirstParagraph"/>
      </w:pPr>
      <w:r>
        <w:t>Mortgagee clauses protect the lender named in the policy. The mortgagee may need to comply with duties after notice.</w:t>
      </w:r>
    </w:p>
    <w:p w14:paraId="682D74EE" w14:textId="77777777" w:rsidR="003442FE" w:rsidRDefault="00000000" w:rsidP="003B2FDD">
      <w:pPr>
        <w:pStyle w:val="Heading3"/>
      </w:pPr>
      <w:bookmarkStart w:id="73" w:name="supplementary-payments"/>
      <w:bookmarkEnd w:id="72"/>
      <w:r>
        <w:t>Supplementary payments</w:t>
      </w:r>
    </w:p>
    <w:p w14:paraId="32EBC334" w14:textId="77777777" w:rsidR="003442FE" w:rsidRDefault="00000000" w:rsidP="003B2FDD">
      <w:pPr>
        <w:pStyle w:val="FirstParagraph"/>
      </w:pPr>
      <w:r>
        <w:t>Supplementary payments support defense and claim handling. They may be outside limits in many forms, but always check wording.</w:t>
      </w:r>
    </w:p>
    <w:p w14:paraId="19AC6C39" w14:textId="77777777" w:rsidR="003442FE" w:rsidRDefault="00000000" w:rsidP="003B2FDD">
      <w:pPr>
        <w:pStyle w:val="Heading3"/>
      </w:pPr>
      <w:bookmarkStart w:id="74" w:name="consent-to-settle"/>
      <w:bookmarkEnd w:id="73"/>
      <w:r>
        <w:t>Consent to settle</w:t>
      </w:r>
    </w:p>
    <w:p w14:paraId="06C08161" w14:textId="77777777" w:rsidR="003442FE" w:rsidRDefault="00000000" w:rsidP="003B2FDD">
      <w:pPr>
        <w:pStyle w:val="FirstParagraph"/>
      </w:pPr>
      <w:r>
        <w:t>Consent-to-settle provisions affect who controls settlement. They matter when reputation or professional judgment is involved.</w:t>
      </w:r>
    </w:p>
    <w:p w14:paraId="22302255" w14:textId="77777777" w:rsidR="003442FE" w:rsidRDefault="00000000" w:rsidP="003B2FDD">
      <w:pPr>
        <w:pStyle w:val="Heading3"/>
      </w:pPr>
      <w:bookmarkStart w:id="75" w:name="territory"/>
      <w:bookmarkEnd w:id="74"/>
      <w:r>
        <w:t>Territory</w:t>
      </w:r>
    </w:p>
    <w:p w14:paraId="2BA1E448" w14:textId="77777777" w:rsidR="003442FE" w:rsidRDefault="00000000" w:rsidP="003B2FDD">
      <w:pPr>
        <w:pStyle w:val="FirstParagraph"/>
      </w:pPr>
      <w:r>
        <w:t>Territory states the coverage area, such as the United States, its territories/possessions, Puerto Rico, and Canada in many personal auto forms.</w:t>
      </w:r>
    </w:p>
    <w:p w14:paraId="7CBF69FB" w14:textId="77777777" w:rsidR="003442FE" w:rsidRDefault="00000000" w:rsidP="003B2FDD">
      <w:pPr>
        <w:pStyle w:val="Heading3"/>
      </w:pPr>
      <w:bookmarkStart w:id="76" w:name="occurrence"/>
      <w:bookmarkEnd w:id="75"/>
      <w:r>
        <w:lastRenderedPageBreak/>
        <w:t>Occurrence</w:t>
      </w:r>
    </w:p>
    <w:p w14:paraId="5651BB7E" w14:textId="77777777" w:rsidR="003442FE" w:rsidRDefault="00000000" w:rsidP="003B2FDD">
      <w:pPr>
        <w:pStyle w:val="FirstParagraph"/>
      </w:pPr>
      <w:r>
        <w:t>Occurrence triggers many liability policies. It is central to CGL and homeowners liability.</w:t>
      </w:r>
    </w:p>
    <w:p w14:paraId="1892AD9D" w14:textId="77777777" w:rsidR="003442FE" w:rsidRDefault="00000000" w:rsidP="003B2FDD">
      <w:pPr>
        <w:pStyle w:val="Heading3"/>
      </w:pPr>
      <w:bookmarkStart w:id="77" w:name="policy-period"/>
      <w:bookmarkEnd w:id="76"/>
      <w:r>
        <w:t>Policy period</w:t>
      </w:r>
    </w:p>
    <w:p w14:paraId="4E1B1589" w14:textId="77777777" w:rsidR="003442FE" w:rsidRDefault="00000000" w:rsidP="003B2FDD">
      <w:pPr>
        <w:pStyle w:val="FirstParagraph"/>
      </w:pPr>
      <w:r>
        <w:t>Policy period controls whether a loss falls within coverage timing. Claims-made and occurrence forms treat timing differently.</w:t>
      </w:r>
    </w:p>
    <w:p w14:paraId="0015F6C6" w14:textId="77777777" w:rsidR="003442FE" w:rsidRDefault="00000000" w:rsidP="003B2FDD">
      <w:pPr>
        <w:pStyle w:val="Heading3"/>
      </w:pPr>
      <w:bookmarkStart w:id="78" w:name="cancellation"/>
      <w:bookmarkEnd w:id="77"/>
      <w:r>
        <w:t>Cancellation</w:t>
      </w:r>
    </w:p>
    <w:p w14:paraId="65A8C0C6" w14:textId="77777777" w:rsidR="003442FE" w:rsidRDefault="00000000" w:rsidP="003B2FDD">
      <w:pPr>
        <w:pStyle w:val="FirstParagraph"/>
      </w:pPr>
      <w:r>
        <w:t>Cancellation terminates coverage midterm by the insurer or insured under policy and legal rules. It often requires notice and may trigger return premium.</w:t>
      </w:r>
    </w:p>
    <w:p w14:paraId="15F86AA3" w14:textId="77777777" w:rsidR="003442FE" w:rsidRDefault="00000000" w:rsidP="003B2FDD">
      <w:pPr>
        <w:pStyle w:val="Heading3"/>
      </w:pPr>
      <w:bookmarkStart w:id="79" w:name="nonrenewal"/>
      <w:bookmarkEnd w:id="78"/>
      <w:r>
        <w:t>Nonrenewal</w:t>
      </w:r>
    </w:p>
    <w:p w14:paraId="761FB63E" w14:textId="77777777" w:rsidR="003442FE" w:rsidRDefault="00000000" w:rsidP="003B2FDD">
      <w:pPr>
        <w:pStyle w:val="FirstParagraph"/>
      </w:pPr>
      <w:r>
        <w:t>Nonrenewal is not midterm termination; it happens at expiration. Texas rules often require notice and permissible reasons depending on coverage.</w:t>
      </w:r>
    </w:p>
    <w:p w14:paraId="399F7038" w14:textId="77777777" w:rsidR="003442FE" w:rsidRDefault="00000000" w:rsidP="003B2FDD">
      <w:pPr>
        <w:pStyle w:val="Heading3"/>
      </w:pPr>
      <w:bookmarkStart w:id="80" w:name="vacancy"/>
      <w:bookmarkEnd w:id="79"/>
      <w:r>
        <w:t>Vacancy</w:t>
      </w:r>
    </w:p>
    <w:p w14:paraId="34A0EC63" w14:textId="77777777" w:rsidR="003442FE" w:rsidRDefault="00000000" w:rsidP="003B2FDD">
      <w:pPr>
        <w:pStyle w:val="FirstParagraph"/>
      </w:pPr>
      <w:r>
        <w:t>Vacancy can suspend or limit coverage after a specified period because risk of vandalism, water damage, and theft increases.</w:t>
      </w:r>
    </w:p>
    <w:p w14:paraId="1C9955DA" w14:textId="77777777" w:rsidR="003442FE" w:rsidRDefault="00000000" w:rsidP="003B2FDD">
      <w:pPr>
        <w:pStyle w:val="Heading3"/>
      </w:pPr>
      <w:bookmarkStart w:id="81" w:name="unoccupancy"/>
      <w:bookmarkEnd w:id="80"/>
      <w:r>
        <w:t>Unoccupancy</w:t>
      </w:r>
    </w:p>
    <w:p w14:paraId="417F5567" w14:textId="77777777" w:rsidR="003442FE" w:rsidRDefault="00000000" w:rsidP="003B2FDD">
      <w:pPr>
        <w:pStyle w:val="FirstParagraph"/>
      </w:pPr>
      <w:r>
        <w:t>Unoccupancy is less severe than vacancy. Policies may treat each differently.</w:t>
      </w:r>
    </w:p>
    <w:p w14:paraId="4CFC15A7" w14:textId="77777777" w:rsidR="003442FE" w:rsidRDefault="00000000" w:rsidP="003B2FDD">
      <w:pPr>
        <w:pStyle w:val="Heading2"/>
      </w:pPr>
      <w:bookmarkStart w:id="82" w:name="contract-law-fraud-underwriting"/>
      <w:bookmarkEnd w:id="56"/>
      <w:bookmarkEnd w:id="81"/>
      <w:r>
        <w:rPr>
          <w:highlight w:val="yellow"/>
        </w:rPr>
        <w:t>Contract law / fraud / underwriting</w:t>
      </w:r>
    </w:p>
    <w:p w14:paraId="7DD77B36" w14:textId="77777777" w:rsidR="003442FE" w:rsidRDefault="00000000" w:rsidP="003B2FDD">
      <w:pPr>
        <w:pStyle w:val="Heading3"/>
      </w:pPr>
      <w:bookmarkStart w:id="83" w:name="elements-of-a-contract"/>
      <w:r>
        <w:t>Elements of a contract</w:t>
      </w:r>
    </w:p>
    <w:p w14:paraId="4E9EB4C3" w14:textId="77777777" w:rsidR="003442FE" w:rsidRDefault="00000000" w:rsidP="003B2FDD">
      <w:pPr>
        <w:pStyle w:val="FirstParagraph"/>
      </w:pPr>
      <w:r>
        <w:t>A valid contract generally requires offer/acceptance, consideration, competent parties, and legal purpose. Insurance policies are contracts, so these elements matter.</w:t>
      </w:r>
    </w:p>
    <w:p w14:paraId="39897747" w14:textId="77777777" w:rsidR="003442FE" w:rsidRDefault="00000000" w:rsidP="003B2FDD">
      <w:pPr>
        <w:pStyle w:val="Heading3"/>
      </w:pPr>
      <w:bookmarkStart w:id="84" w:name="offer-and-acceptance"/>
      <w:bookmarkEnd w:id="83"/>
      <w:r>
        <w:t>Offer and acceptance</w:t>
      </w:r>
    </w:p>
    <w:p w14:paraId="69B1C1D9" w14:textId="77777777" w:rsidR="003442FE" w:rsidRDefault="00000000" w:rsidP="003B2FDD">
      <w:pPr>
        <w:pStyle w:val="FirstParagraph"/>
      </w:pPr>
      <w:r>
        <w:t>In insurance, the application and premium may be an offer, and issuance/binding may be acceptance depending on facts.</w:t>
      </w:r>
    </w:p>
    <w:p w14:paraId="6366809D" w14:textId="77777777" w:rsidR="003442FE" w:rsidRDefault="00000000" w:rsidP="003B2FDD">
      <w:pPr>
        <w:pStyle w:val="Heading3"/>
      </w:pPr>
      <w:bookmarkStart w:id="85" w:name="consideration"/>
      <w:bookmarkEnd w:id="84"/>
      <w:r>
        <w:t>Consideration</w:t>
      </w:r>
    </w:p>
    <w:p w14:paraId="6E60FE9E" w14:textId="77777777" w:rsidR="003442FE" w:rsidRDefault="00000000" w:rsidP="003B2FDD">
      <w:pPr>
        <w:pStyle w:val="FirstParagraph"/>
      </w:pPr>
      <w:r>
        <w:t>Consideration supports the contract. The insured provides premium and representations; the insurer provides promises of coverage.</w:t>
      </w:r>
    </w:p>
    <w:p w14:paraId="1A14EFB5" w14:textId="77777777" w:rsidR="003442FE" w:rsidRDefault="00000000" w:rsidP="003B2FDD">
      <w:pPr>
        <w:pStyle w:val="Heading3"/>
      </w:pPr>
      <w:bookmarkStart w:id="86" w:name="competent-parties"/>
      <w:bookmarkEnd w:id="85"/>
      <w:r>
        <w:t>Competent parties</w:t>
      </w:r>
    </w:p>
    <w:p w14:paraId="303CB36B" w14:textId="77777777" w:rsidR="003442FE" w:rsidRDefault="00000000" w:rsidP="003B2FDD">
      <w:pPr>
        <w:pStyle w:val="FirstParagraph"/>
      </w:pPr>
      <w:r>
        <w:t>Competent parties means the parties can legally enter the agreement. It matters for enforceability.</w:t>
      </w:r>
    </w:p>
    <w:p w14:paraId="23BBE059" w14:textId="77777777" w:rsidR="003442FE" w:rsidRDefault="00000000" w:rsidP="003B2FDD">
      <w:pPr>
        <w:pStyle w:val="Heading3"/>
      </w:pPr>
      <w:bookmarkStart w:id="87" w:name="legal-purpose"/>
      <w:bookmarkEnd w:id="86"/>
      <w:r>
        <w:lastRenderedPageBreak/>
        <w:t>Legal purpose</w:t>
      </w:r>
    </w:p>
    <w:p w14:paraId="799A6CF4" w14:textId="77777777" w:rsidR="003442FE" w:rsidRDefault="00000000" w:rsidP="003B2FDD">
      <w:pPr>
        <w:pStyle w:val="FirstParagraph"/>
      </w:pPr>
      <w:r>
        <w:t>Legal purpose prevents enforcement of illegal agreements. Insurance must cover legitimate insurable interests, not wagers or illegal acts.</w:t>
      </w:r>
    </w:p>
    <w:p w14:paraId="3452B671" w14:textId="77777777" w:rsidR="003442FE" w:rsidRDefault="00000000" w:rsidP="003B2FDD">
      <w:pPr>
        <w:pStyle w:val="Heading3"/>
      </w:pPr>
      <w:bookmarkStart w:id="88" w:name="contract-of-adhesion"/>
      <w:bookmarkEnd w:id="87"/>
      <w:r>
        <w:t>Contract of adhesion</w:t>
      </w:r>
    </w:p>
    <w:p w14:paraId="642DD2CF" w14:textId="77777777" w:rsidR="003442FE" w:rsidRDefault="00000000" w:rsidP="003B2FDD">
      <w:pPr>
        <w:pStyle w:val="FirstParagraph"/>
      </w:pPr>
      <w:r>
        <w:t>Insurance policies are contracts of adhesion because the insured generally accepts the insurer’s wording as offered. This matters for interpretation.</w:t>
      </w:r>
    </w:p>
    <w:p w14:paraId="4CFD2D29" w14:textId="77777777" w:rsidR="003442FE" w:rsidRDefault="00000000" w:rsidP="003B2FDD">
      <w:pPr>
        <w:pStyle w:val="Heading3"/>
      </w:pPr>
      <w:bookmarkStart w:id="89" w:name="aleatory-contract"/>
      <w:bookmarkEnd w:id="88"/>
      <w:r>
        <w:t>Aleatory contract</w:t>
      </w:r>
    </w:p>
    <w:p w14:paraId="27BA4F32" w14:textId="77777777" w:rsidR="003442FE" w:rsidRDefault="00000000" w:rsidP="003B2FDD">
      <w:pPr>
        <w:pStyle w:val="FirstParagraph"/>
      </w:pPr>
      <w:r>
        <w:t>Aleatory means performance depends on chance and exchanged values can be unequal. Important for understanding insurance as risk transfer.</w:t>
      </w:r>
    </w:p>
    <w:p w14:paraId="317CE7B7" w14:textId="77777777" w:rsidR="003442FE" w:rsidRDefault="00000000" w:rsidP="003B2FDD">
      <w:pPr>
        <w:pStyle w:val="Heading3"/>
      </w:pPr>
      <w:bookmarkStart w:id="90" w:name="unilateral-contract"/>
      <w:bookmarkEnd w:id="89"/>
      <w:r>
        <w:t>Unilateral contract</w:t>
      </w:r>
    </w:p>
    <w:p w14:paraId="1FD213F3" w14:textId="77777777" w:rsidR="003442FE" w:rsidRDefault="00000000" w:rsidP="003B2FDD">
      <w:pPr>
        <w:pStyle w:val="FirstParagraph"/>
      </w:pPr>
      <w:r>
        <w:t>Insurance is unilateral because the insured does not promise to have a loss, but the insurer promises to pay covered losses if conditions are met.</w:t>
      </w:r>
    </w:p>
    <w:p w14:paraId="59541B28" w14:textId="77777777" w:rsidR="003442FE" w:rsidRDefault="00000000" w:rsidP="003B2FDD">
      <w:pPr>
        <w:pStyle w:val="Heading3"/>
      </w:pPr>
      <w:bookmarkStart w:id="91" w:name="conditional-contract"/>
      <w:bookmarkEnd w:id="90"/>
      <w:r>
        <w:t>Conditional contract</w:t>
      </w:r>
    </w:p>
    <w:p w14:paraId="0AA2AB1F" w14:textId="77777777" w:rsidR="003442FE" w:rsidRDefault="00000000" w:rsidP="003B2FDD">
      <w:pPr>
        <w:pStyle w:val="FirstParagraph"/>
      </w:pPr>
      <w:r>
        <w:t>Conditional means duties and conditions must be met, such as notice and proof of loss.</w:t>
      </w:r>
    </w:p>
    <w:p w14:paraId="1D8B72B8" w14:textId="77777777" w:rsidR="003442FE" w:rsidRDefault="00000000" w:rsidP="003B2FDD">
      <w:pPr>
        <w:pStyle w:val="Heading3"/>
      </w:pPr>
      <w:bookmarkStart w:id="92" w:name="warranty"/>
      <w:bookmarkEnd w:id="91"/>
      <w:r>
        <w:t>Warranty</w:t>
      </w:r>
    </w:p>
    <w:p w14:paraId="09BCC800" w14:textId="77777777" w:rsidR="003442FE" w:rsidRDefault="00000000" w:rsidP="003B2FDD">
      <w:pPr>
        <w:pStyle w:val="FirstParagraph"/>
      </w:pPr>
      <w:r>
        <w:t>A warranty is stronger than a representation and may void coverage if breached, depending on law and wording.</w:t>
      </w:r>
    </w:p>
    <w:p w14:paraId="2A516298" w14:textId="77777777" w:rsidR="003442FE" w:rsidRDefault="00000000" w:rsidP="003B2FDD">
      <w:pPr>
        <w:pStyle w:val="Heading3"/>
      </w:pPr>
      <w:bookmarkStart w:id="93" w:name="representation"/>
      <w:bookmarkEnd w:id="92"/>
      <w:r>
        <w:t>Representation</w:t>
      </w:r>
    </w:p>
    <w:p w14:paraId="0F403CB6" w14:textId="77777777" w:rsidR="003442FE" w:rsidRDefault="00000000" w:rsidP="003B2FDD">
      <w:pPr>
        <w:pStyle w:val="FirstParagraph"/>
      </w:pPr>
      <w:r>
        <w:t>A representation should be truthful and material. False material representations can affect coverage or licensing.</w:t>
      </w:r>
    </w:p>
    <w:p w14:paraId="2E65BD47" w14:textId="77777777" w:rsidR="003442FE" w:rsidRDefault="00000000" w:rsidP="003B2FDD">
      <w:pPr>
        <w:pStyle w:val="Heading3"/>
      </w:pPr>
      <w:bookmarkStart w:id="94" w:name="misrepresentation"/>
      <w:bookmarkEnd w:id="93"/>
      <w:r>
        <w:t>Misrepresentation</w:t>
      </w:r>
    </w:p>
    <w:p w14:paraId="101B1840" w14:textId="77777777" w:rsidR="003442FE" w:rsidRDefault="00000000" w:rsidP="003B2FDD">
      <w:pPr>
        <w:pStyle w:val="FirstParagraph"/>
      </w:pPr>
      <w:r>
        <w:t>Misrepresentation can void coverage, trigger claim denial, or constitute an unfair trade practice depending on context. Important for Texas marketing rules.</w:t>
      </w:r>
    </w:p>
    <w:p w14:paraId="7A7DFF5A" w14:textId="77777777" w:rsidR="003442FE" w:rsidRDefault="00000000" w:rsidP="003B2FDD">
      <w:pPr>
        <w:pStyle w:val="Heading3"/>
      </w:pPr>
      <w:bookmarkStart w:id="95" w:name="concealment"/>
      <w:bookmarkEnd w:id="94"/>
      <w:r>
        <w:t>Concealment</w:t>
      </w:r>
    </w:p>
    <w:p w14:paraId="4EBA1110" w14:textId="77777777" w:rsidR="003442FE" w:rsidRDefault="00000000" w:rsidP="003B2FDD">
      <w:pPr>
        <w:pStyle w:val="FirstParagraph"/>
      </w:pPr>
      <w:r>
        <w:t>Concealment hides material information and can affect policy validity or claim payment. It matters in applications and claims.</w:t>
      </w:r>
    </w:p>
    <w:p w14:paraId="532D65E8" w14:textId="77777777" w:rsidR="003442FE" w:rsidRDefault="00000000" w:rsidP="003B2FDD">
      <w:pPr>
        <w:pStyle w:val="Heading3"/>
      </w:pPr>
      <w:bookmarkStart w:id="96" w:name="fraud"/>
      <w:bookmarkEnd w:id="95"/>
      <w:r>
        <w:t>Fraud</w:t>
      </w:r>
    </w:p>
    <w:p w14:paraId="0FAB5FFB" w14:textId="77777777" w:rsidR="003442FE" w:rsidRDefault="00000000" w:rsidP="003B2FDD">
      <w:pPr>
        <w:pStyle w:val="FirstParagraph"/>
      </w:pPr>
      <w:r>
        <w:t>Insurance fraud can be civil, criminal, and regulatory. It includes staged losses, false claims, and fake information.</w:t>
      </w:r>
    </w:p>
    <w:p w14:paraId="3C8DECD6" w14:textId="77777777" w:rsidR="003442FE" w:rsidRDefault="00000000" w:rsidP="003B2FDD">
      <w:pPr>
        <w:pStyle w:val="Heading3"/>
      </w:pPr>
      <w:bookmarkStart w:id="97" w:name="underwriting"/>
      <w:bookmarkEnd w:id="96"/>
      <w:r>
        <w:lastRenderedPageBreak/>
        <w:t>Underwriting</w:t>
      </w:r>
    </w:p>
    <w:p w14:paraId="2BC3A09D" w14:textId="77777777" w:rsidR="003442FE" w:rsidRDefault="00000000" w:rsidP="003B2FDD">
      <w:pPr>
        <w:pStyle w:val="FirstParagraph"/>
      </w:pPr>
      <w:r>
        <w:t>Underwriting classifies risk, identifies hazards, and sets eligibility, terms, and premium. Sources may include applications, inspections, loss history, MVR, credit-based insurance score, or CLUE.</w:t>
      </w:r>
    </w:p>
    <w:p w14:paraId="0AF57CD5" w14:textId="77777777" w:rsidR="003442FE" w:rsidRDefault="00000000" w:rsidP="003B2FDD">
      <w:pPr>
        <w:pStyle w:val="Heading3"/>
      </w:pPr>
      <w:bookmarkStart w:id="98" w:name="fair-credit-reporting-act-fcra"/>
      <w:bookmarkEnd w:id="97"/>
      <w:r>
        <w:t>Fair Credit Reporting Act (FCRA)</w:t>
      </w:r>
    </w:p>
    <w:p w14:paraId="06C2AA09" w14:textId="77777777" w:rsidR="003442FE" w:rsidRDefault="00000000" w:rsidP="003B2FDD">
      <w:pPr>
        <w:pStyle w:val="FirstParagraph"/>
      </w:pPr>
      <w:r>
        <w:t>FCRA applies to consumer reports such as credit, MVR, and investigative reports. It requires disclosures/adverse-action procedures.</w:t>
      </w:r>
    </w:p>
    <w:p w14:paraId="7501C6A6" w14:textId="77777777" w:rsidR="003442FE" w:rsidRDefault="00000000" w:rsidP="003B2FDD">
      <w:pPr>
        <w:pStyle w:val="Heading3"/>
      </w:pPr>
      <w:bookmarkStart w:id="99" w:name="gramm-leach-bliley-act-glba"/>
      <w:bookmarkEnd w:id="98"/>
      <w:r>
        <w:t>Gramm-Leach-Bliley Act (GLBA)</w:t>
      </w:r>
    </w:p>
    <w:p w14:paraId="602ED506" w14:textId="77777777" w:rsidR="003442FE" w:rsidRDefault="00000000" w:rsidP="003B2FDD">
      <w:pPr>
        <w:pStyle w:val="FirstParagraph"/>
      </w:pPr>
      <w:r>
        <w:t>GLBA privacy rules govern how financial institutions, including insurers, handle nonpublic personal information.</w:t>
      </w:r>
    </w:p>
    <w:p w14:paraId="7FAF37CB" w14:textId="77777777" w:rsidR="003442FE" w:rsidRDefault="00000000" w:rsidP="003B2FDD">
      <w:pPr>
        <w:pStyle w:val="Heading3"/>
      </w:pPr>
      <w:bookmarkStart w:id="100" w:name="application"/>
      <w:bookmarkEnd w:id="99"/>
      <w:r>
        <w:t>Application</w:t>
      </w:r>
    </w:p>
    <w:p w14:paraId="7FFC672B" w14:textId="77777777" w:rsidR="003442FE" w:rsidRDefault="00000000" w:rsidP="003B2FDD">
      <w:pPr>
        <w:pStyle w:val="FirstParagraph"/>
      </w:pPr>
      <w:r>
        <w:t>The application is a key underwriting source and may become part of the policy. Accuracy matters because statements can be representations.</w:t>
      </w:r>
    </w:p>
    <w:p w14:paraId="110EE9B7" w14:textId="77777777" w:rsidR="003442FE" w:rsidRDefault="00000000" w:rsidP="003B2FDD">
      <w:pPr>
        <w:pStyle w:val="Heading3"/>
      </w:pPr>
      <w:bookmarkStart w:id="101" w:name="deposit-premium"/>
      <w:bookmarkEnd w:id="100"/>
      <w:r>
        <w:t>Deposit premium</w:t>
      </w:r>
    </w:p>
    <w:p w14:paraId="0428C629" w14:textId="77777777" w:rsidR="003442FE" w:rsidRDefault="00000000" w:rsidP="003B2FDD">
      <w:pPr>
        <w:pStyle w:val="FirstParagraph"/>
      </w:pPr>
      <w:r>
        <w:t>Deposit premium is common in commercial policies rated on payroll, sales, or receipts. It is later adjusted by audit.</w:t>
      </w:r>
    </w:p>
    <w:p w14:paraId="2B46BA9C" w14:textId="77777777" w:rsidR="003442FE" w:rsidRDefault="00000000" w:rsidP="003B2FDD">
      <w:pPr>
        <w:pStyle w:val="Heading3"/>
      </w:pPr>
      <w:bookmarkStart w:id="102" w:name="premium-audit"/>
      <w:bookmarkEnd w:id="101"/>
      <w:r>
        <w:t>Premium audit</w:t>
      </w:r>
    </w:p>
    <w:p w14:paraId="5371B07D" w14:textId="77777777" w:rsidR="003442FE" w:rsidRDefault="00000000" w:rsidP="003B2FDD">
      <w:pPr>
        <w:pStyle w:val="FirstParagraph"/>
      </w:pPr>
      <w:r>
        <w:t>Premium audits make adjustable premiums accurate. They are common in workers compensation, general liability, and commercial auto.</w:t>
      </w:r>
    </w:p>
    <w:p w14:paraId="4B8C7FA1" w14:textId="77777777" w:rsidR="003442FE" w:rsidRDefault="00000000" w:rsidP="003B2FDD">
      <w:pPr>
        <w:pStyle w:val="Heading3"/>
      </w:pPr>
      <w:bookmarkStart w:id="103" w:name="certificate-of-insurance"/>
      <w:bookmarkEnd w:id="102"/>
      <w:r>
        <w:t>Certificate of insurance</w:t>
      </w:r>
    </w:p>
    <w:p w14:paraId="6809239F" w14:textId="77777777" w:rsidR="003442FE" w:rsidRDefault="00000000" w:rsidP="003B2FDD">
      <w:pPr>
        <w:pStyle w:val="FirstParagraph"/>
      </w:pPr>
      <w:r>
        <w:t>A certificate summarizes coverage, limits, and insurer information for third parties. It does not create coverage beyond the policy.</w:t>
      </w:r>
    </w:p>
    <w:p w14:paraId="41A86653" w14:textId="77777777" w:rsidR="003442FE" w:rsidRDefault="00000000" w:rsidP="003B2FDD">
      <w:pPr>
        <w:pStyle w:val="Heading3"/>
      </w:pPr>
      <w:bookmarkStart w:id="104" w:name="terrorism-risk-insurance-act-tria"/>
      <w:bookmarkEnd w:id="103"/>
      <w:r>
        <w:t>Terrorism Risk Insurance Act (TRIA)</w:t>
      </w:r>
    </w:p>
    <w:p w14:paraId="746A56A4" w14:textId="77777777" w:rsidR="003442FE" w:rsidRDefault="00000000" w:rsidP="003B2FDD">
      <w:pPr>
        <w:pStyle w:val="FirstParagraph"/>
      </w:pPr>
      <w:r>
        <w:t>TRIA is a federal terrorism insurance backstop for certain commercial lines. Insurers must follow disclosure and offer requirements.</w:t>
      </w:r>
    </w:p>
    <w:p w14:paraId="2E8ABF46" w14:textId="77777777" w:rsidR="003442FE" w:rsidRDefault="00000000" w:rsidP="003B2FDD">
      <w:pPr>
        <w:pStyle w:val="Heading2"/>
      </w:pPr>
      <w:bookmarkStart w:id="105" w:name="homeowners-forms-and-coverages"/>
      <w:bookmarkEnd w:id="82"/>
      <w:bookmarkEnd w:id="104"/>
      <w:r>
        <w:rPr>
          <w:highlight w:val="yellow"/>
        </w:rPr>
        <w:t>Homeowners forms and coverages</w:t>
      </w:r>
    </w:p>
    <w:p w14:paraId="1BD8B746" w14:textId="77777777" w:rsidR="003442FE" w:rsidRDefault="00000000" w:rsidP="003B2FDD">
      <w:pPr>
        <w:pStyle w:val="Heading3"/>
      </w:pPr>
      <w:bookmarkStart w:id="106" w:name="ho-2-broad-form"/>
      <w:r>
        <w:t>HO-2 Broad Form</w:t>
      </w:r>
    </w:p>
    <w:p w14:paraId="63FBBFE9" w14:textId="77777777" w:rsidR="003442FE" w:rsidRDefault="00000000" w:rsidP="003B2FDD">
      <w:pPr>
        <w:pStyle w:val="FirstParagraph"/>
      </w:pPr>
      <w:r>
        <w:t xml:space="preserve">HO-2 covers </w:t>
      </w:r>
      <w:r>
        <w:rPr>
          <w:b/>
          <w:bCs/>
        </w:rPr>
        <w:t>dwelling and personal property</w:t>
      </w:r>
      <w:r>
        <w:t xml:space="preserve"> for </w:t>
      </w:r>
      <w:r>
        <w:rPr>
          <w:b/>
          <w:bCs/>
        </w:rPr>
        <w:t>listed broad-form perils</w:t>
      </w:r>
      <w:r>
        <w:t xml:space="preserve">. Important as a </w:t>
      </w:r>
      <w:r>
        <w:rPr>
          <w:b/>
          <w:bCs/>
        </w:rPr>
        <w:t>named-perils</w:t>
      </w:r>
      <w:r>
        <w:t xml:space="preserve"> contrast to HO-3.</w:t>
      </w:r>
    </w:p>
    <w:p w14:paraId="4BFE326C" w14:textId="77777777" w:rsidR="003442FE" w:rsidRDefault="00000000" w:rsidP="003B2FDD">
      <w:pPr>
        <w:pStyle w:val="Heading3"/>
      </w:pPr>
      <w:bookmarkStart w:id="107" w:name="ho-3-special-form"/>
      <w:bookmarkEnd w:id="106"/>
      <w:r>
        <w:lastRenderedPageBreak/>
        <w:t>HO-3 Special Form</w:t>
      </w:r>
    </w:p>
    <w:p w14:paraId="71E13ED6" w14:textId="77777777" w:rsidR="003442FE" w:rsidRDefault="00000000" w:rsidP="003B2FDD">
      <w:pPr>
        <w:pStyle w:val="FirstParagraph"/>
      </w:pPr>
      <w:r>
        <w:t xml:space="preserve">HO-3 is essential: </w:t>
      </w:r>
      <w:r>
        <w:rPr>
          <w:b/>
          <w:bCs/>
        </w:rPr>
        <w:t>Coverage A dwelling</w:t>
      </w:r>
      <w:r>
        <w:t xml:space="preserve"> is generally </w:t>
      </w:r>
      <w:r>
        <w:rPr>
          <w:b/>
          <w:bCs/>
        </w:rPr>
        <w:t>open perils</w:t>
      </w:r>
      <w:r>
        <w:t xml:space="preserve"> subject to exclusions, while </w:t>
      </w:r>
      <w:r>
        <w:rPr>
          <w:b/>
          <w:bCs/>
        </w:rPr>
        <w:t>Coverage C personal property</w:t>
      </w:r>
      <w:r>
        <w:t xml:space="preserve"> is </w:t>
      </w:r>
      <w:r>
        <w:rPr>
          <w:b/>
          <w:bCs/>
        </w:rPr>
        <w:t>named perils</w:t>
      </w:r>
      <w:r>
        <w:t>.</w:t>
      </w:r>
    </w:p>
    <w:p w14:paraId="69347D45" w14:textId="77777777" w:rsidR="003442FE" w:rsidRDefault="00000000" w:rsidP="003B2FDD">
      <w:pPr>
        <w:pStyle w:val="Heading3"/>
      </w:pPr>
      <w:bookmarkStart w:id="108" w:name="ho-4-contents-broad-form"/>
      <w:bookmarkEnd w:id="107"/>
      <w:r>
        <w:t>HO-4 Contents Broad Form</w:t>
      </w:r>
    </w:p>
    <w:p w14:paraId="1DB69EB4" w14:textId="77777777" w:rsidR="003442FE" w:rsidRDefault="00000000" w:rsidP="003B2FDD">
      <w:pPr>
        <w:pStyle w:val="FirstParagraph"/>
      </w:pPr>
      <w:r>
        <w:t xml:space="preserve">HO-4 is </w:t>
      </w:r>
      <w:r>
        <w:rPr>
          <w:b/>
          <w:bCs/>
        </w:rPr>
        <w:t>renters insurance</w:t>
      </w:r>
      <w:r>
        <w:t xml:space="preserve">. It covers the </w:t>
      </w:r>
      <w:r>
        <w:rPr>
          <w:b/>
          <w:bCs/>
        </w:rPr>
        <w:t>tenant’s personal property</w:t>
      </w:r>
      <w:r>
        <w:t>, loss of use, personal liability, and medical payments.</w:t>
      </w:r>
    </w:p>
    <w:p w14:paraId="01F322AE" w14:textId="77777777" w:rsidR="003442FE" w:rsidRDefault="00000000" w:rsidP="003B2FDD">
      <w:pPr>
        <w:pStyle w:val="Heading3"/>
      </w:pPr>
      <w:bookmarkStart w:id="109" w:name="ho-5-comprehensive-form"/>
      <w:bookmarkEnd w:id="108"/>
      <w:r>
        <w:t>HO-5 Comprehensive Form</w:t>
      </w:r>
    </w:p>
    <w:p w14:paraId="67862508" w14:textId="77777777" w:rsidR="003442FE" w:rsidRDefault="00000000" w:rsidP="003B2FDD">
      <w:pPr>
        <w:pStyle w:val="FirstParagraph"/>
      </w:pPr>
      <w:r>
        <w:t xml:space="preserve">HO-5 is broader than HO-3 because </w:t>
      </w:r>
      <w:r>
        <w:rPr>
          <w:b/>
          <w:bCs/>
        </w:rPr>
        <w:t>personal property</w:t>
      </w:r>
      <w:r>
        <w:t xml:space="preserve"> is generally </w:t>
      </w:r>
      <w:r>
        <w:rPr>
          <w:b/>
          <w:bCs/>
        </w:rPr>
        <w:t>open perils</w:t>
      </w:r>
      <w:r>
        <w:t>, subject to exclusions. It is important for form-comparison questions.</w:t>
      </w:r>
    </w:p>
    <w:p w14:paraId="20478A1D" w14:textId="77777777" w:rsidR="003442FE" w:rsidRDefault="00000000" w:rsidP="003B2FDD">
      <w:pPr>
        <w:pStyle w:val="Heading3"/>
      </w:pPr>
      <w:bookmarkStart w:id="110" w:name="ho-6-unit-owners-form"/>
      <w:bookmarkEnd w:id="109"/>
      <w:r>
        <w:t>HO-6 Unit-Owners Form</w:t>
      </w:r>
    </w:p>
    <w:p w14:paraId="738A3BB8" w14:textId="77777777" w:rsidR="003442FE" w:rsidRDefault="00000000" w:rsidP="003B2FDD">
      <w:pPr>
        <w:pStyle w:val="FirstParagraph"/>
      </w:pPr>
      <w:r>
        <w:t xml:space="preserve">HO-6 is for </w:t>
      </w:r>
      <w:r>
        <w:rPr>
          <w:b/>
          <w:bCs/>
        </w:rPr>
        <w:t>condominiums</w:t>
      </w:r>
      <w:r>
        <w:t xml:space="preserve"> and covers personal property, liability, loss of use, and building items the unit owner is responsible for under the </w:t>
      </w:r>
      <w:r>
        <w:rPr>
          <w:b/>
          <w:bCs/>
        </w:rPr>
        <w:t>condo agreement</w:t>
      </w:r>
      <w:r>
        <w:t>.</w:t>
      </w:r>
    </w:p>
    <w:p w14:paraId="19220319" w14:textId="77777777" w:rsidR="003442FE" w:rsidRDefault="00000000" w:rsidP="003B2FDD">
      <w:pPr>
        <w:pStyle w:val="Heading3"/>
      </w:pPr>
      <w:bookmarkStart w:id="111" w:name="ho-8-modified-coverage-form"/>
      <w:bookmarkEnd w:id="110"/>
      <w:r>
        <w:t>HO-8 Modified Coverage Form</w:t>
      </w:r>
    </w:p>
    <w:p w14:paraId="48DD964C" w14:textId="77777777" w:rsidR="003442FE" w:rsidRDefault="00000000" w:rsidP="003B2FDD">
      <w:pPr>
        <w:pStyle w:val="FirstParagraph"/>
      </w:pPr>
      <w:r>
        <w:t xml:space="preserve">HO-8 is designed for </w:t>
      </w:r>
      <w:r>
        <w:rPr>
          <w:b/>
          <w:bCs/>
        </w:rPr>
        <w:t>older homes</w:t>
      </w:r>
      <w:r>
        <w:t xml:space="preserve"> and often uses </w:t>
      </w:r>
      <w:r>
        <w:rPr>
          <w:b/>
          <w:bCs/>
        </w:rPr>
        <w:t>modified/functional repair cost</w:t>
      </w:r>
      <w:r>
        <w:t xml:space="preserve"> concepts. It is narrower than HO-3 and commonly </w:t>
      </w:r>
      <w:r>
        <w:rPr>
          <w:b/>
          <w:bCs/>
        </w:rPr>
        <w:t>named peril</w:t>
      </w:r>
      <w:r>
        <w:t>.</w:t>
      </w:r>
    </w:p>
    <w:p w14:paraId="77DBAEA2" w14:textId="77777777" w:rsidR="003442FE" w:rsidRDefault="00000000" w:rsidP="003B2FDD">
      <w:pPr>
        <w:pStyle w:val="Heading3"/>
      </w:pPr>
      <w:bookmarkStart w:id="112" w:name="coverage-a---dwelling"/>
      <w:bookmarkEnd w:id="111"/>
      <w:r>
        <w:t>Coverage A - Dwelling</w:t>
      </w:r>
    </w:p>
    <w:p w14:paraId="41C77290" w14:textId="77777777" w:rsidR="003442FE" w:rsidRDefault="00000000" w:rsidP="003B2FDD">
      <w:pPr>
        <w:pStyle w:val="FirstParagraph"/>
      </w:pPr>
      <w:r>
        <w:t>Coverage A insures the dwelling and attached structures. It drives many other percentage-based limits. Example: a kitchen fire damages the main house and attached garage.</w:t>
      </w:r>
    </w:p>
    <w:p w14:paraId="1B82E5F1" w14:textId="77777777" w:rsidR="003442FE" w:rsidRDefault="00000000" w:rsidP="003B2FDD">
      <w:pPr>
        <w:pStyle w:val="Heading3"/>
      </w:pPr>
      <w:bookmarkStart w:id="113" w:name="coverage-b---other-structures"/>
      <w:bookmarkEnd w:id="112"/>
      <w:r>
        <w:t>Coverage B - Other Structures</w:t>
      </w:r>
    </w:p>
    <w:p w14:paraId="07BC0A0C" w14:textId="77777777" w:rsidR="003442FE" w:rsidRDefault="00000000" w:rsidP="003B2FDD">
      <w:pPr>
        <w:pStyle w:val="FirstParagraph"/>
      </w:pPr>
      <w:r>
        <w:t>Coverage B covers structures separated from the dwelling by clear space. Often excluded or limited if used for business. Example: a detached garage, shed, or fence is damaged by a covered windstorm.</w:t>
      </w:r>
    </w:p>
    <w:p w14:paraId="53DA2A60" w14:textId="77777777" w:rsidR="003442FE" w:rsidRDefault="00000000" w:rsidP="003B2FDD">
      <w:pPr>
        <w:pStyle w:val="Heading3"/>
      </w:pPr>
      <w:bookmarkStart w:id="114" w:name="coverage-c---personal-property"/>
      <w:bookmarkEnd w:id="113"/>
      <w:r>
        <w:t>Coverage C - Personal Property</w:t>
      </w:r>
    </w:p>
    <w:p w14:paraId="739891AB" w14:textId="77777777" w:rsidR="003442FE" w:rsidRDefault="00000000" w:rsidP="003B2FDD">
      <w:pPr>
        <w:pStyle w:val="FirstParagraph"/>
      </w:pPr>
      <w:r>
        <w:t>Coverage C covers personal property, often worldwide but with limits for certain categories and off-premises property. Example: furniture, clothing, or electronics are stolen or damaged by a covered peril, subject to limits and special limits.</w:t>
      </w:r>
    </w:p>
    <w:p w14:paraId="3F19436F" w14:textId="77777777" w:rsidR="003442FE" w:rsidRDefault="00000000" w:rsidP="003B2FDD">
      <w:pPr>
        <w:pStyle w:val="Heading3"/>
      </w:pPr>
      <w:bookmarkStart w:id="115" w:name="coverage-d---loss-of-use"/>
      <w:bookmarkEnd w:id="114"/>
      <w:r>
        <w:t>Coverage D - Loss of Use</w:t>
      </w:r>
    </w:p>
    <w:p w14:paraId="473CCBF8" w14:textId="77777777" w:rsidR="003442FE" w:rsidRDefault="00000000" w:rsidP="003B2FDD">
      <w:pPr>
        <w:pStyle w:val="FirstParagraph"/>
      </w:pPr>
      <w:r>
        <w:t>Coverage D handles indirect loss from covered property damage. It matters when the insured must live elsewhere. Example: hotel and increased meal costs after a covered fire makes the home temporarily unfit to live in.</w:t>
      </w:r>
    </w:p>
    <w:p w14:paraId="0269D059" w14:textId="77777777" w:rsidR="003442FE" w:rsidRDefault="00000000" w:rsidP="003B2FDD">
      <w:pPr>
        <w:pStyle w:val="Heading3"/>
      </w:pPr>
      <w:bookmarkStart w:id="116" w:name="coverage-e---personal-liability"/>
      <w:bookmarkEnd w:id="115"/>
      <w:r>
        <w:lastRenderedPageBreak/>
        <w:t>Coverage E - Personal Liability</w:t>
      </w:r>
    </w:p>
    <w:p w14:paraId="306AA559" w14:textId="77777777" w:rsidR="003442FE" w:rsidRDefault="00000000" w:rsidP="003B2FDD">
      <w:pPr>
        <w:pStyle w:val="FirstParagraph"/>
      </w:pPr>
      <w:r>
        <w:t>Coverage E is third-party liability coverage. It may include defense. Example: the insured is sued after a visitor is injured because of the insured’s alleged negligence.</w:t>
      </w:r>
    </w:p>
    <w:p w14:paraId="065617F6" w14:textId="77777777" w:rsidR="003442FE" w:rsidRDefault="00000000" w:rsidP="003B2FDD">
      <w:pPr>
        <w:pStyle w:val="Heading3"/>
      </w:pPr>
      <w:bookmarkStart w:id="117" w:name="coverage-f---medical-payments-to-others"/>
      <w:bookmarkEnd w:id="116"/>
      <w:r>
        <w:t>Coverage F - Medical Payments to Others</w:t>
      </w:r>
    </w:p>
    <w:p w14:paraId="2FE1ED91" w14:textId="77777777" w:rsidR="003442FE" w:rsidRDefault="00000000" w:rsidP="003B2FDD">
      <w:pPr>
        <w:pStyle w:val="FirstParagraph"/>
      </w:pPr>
      <w:r>
        <w:t>Coverage F is goodwill/no-fault medical payments coverage for others, not the insured’s household. Example: a guest has minor medical expenses after being hurt at the insured location, regardless of fault, up to the policy limit.</w:t>
      </w:r>
    </w:p>
    <w:p w14:paraId="0963AC2B" w14:textId="77777777" w:rsidR="003442FE" w:rsidRDefault="00000000" w:rsidP="003B2FDD">
      <w:pPr>
        <w:pStyle w:val="Heading2"/>
      </w:pPr>
      <w:bookmarkStart w:id="118" w:name="dwelling-and-property-forms"/>
      <w:bookmarkEnd w:id="105"/>
      <w:bookmarkEnd w:id="117"/>
      <w:r>
        <w:rPr>
          <w:highlight w:val="yellow"/>
        </w:rPr>
        <w:t>Dwelling and property forms</w:t>
      </w:r>
    </w:p>
    <w:p w14:paraId="4FD0B4F4" w14:textId="77777777" w:rsidR="003442FE" w:rsidRDefault="00000000" w:rsidP="003B2FDD">
      <w:pPr>
        <w:pStyle w:val="Heading3"/>
      </w:pPr>
      <w:bookmarkStart w:id="119" w:name="dp-1-basic-form"/>
      <w:r>
        <w:t>DP-1 Basic Form</w:t>
      </w:r>
    </w:p>
    <w:p w14:paraId="14BACB7C" w14:textId="77777777" w:rsidR="003442FE" w:rsidRDefault="00000000" w:rsidP="003B2FDD">
      <w:pPr>
        <w:pStyle w:val="FirstParagraph"/>
      </w:pPr>
      <w:r>
        <w:t xml:space="preserve">DP-1 generally covers </w:t>
      </w:r>
      <w:r>
        <w:rPr>
          <w:b/>
          <w:bCs/>
        </w:rPr>
        <w:t>basic named perils</w:t>
      </w:r>
      <w:r>
        <w:t xml:space="preserve"> and may settle losses more narrowly unless endorsed. Important as the minimum dwelling form.</w:t>
      </w:r>
    </w:p>
    <w:p w14:paraId="5D1D1B87" w14:textId="77777777" w:rsidR="003442FE" w:rsidRDefault="00000000" w:rsidP="003B2FDD">
      <w:pPr>
        <w:pStyle w:val="Heading3"/>
      </w:pPr>
      <w:bookmarkStart w:id="120" w:name="dp-2-broad-form"/>
      <w:bookmarkEnd w:id="119"/>
      <w:r>
        <w:t>DP-2 Broad Form</w:t>
      </w:r>
    </w:p>
    <w:p w14:paraId="40B5EED2" w14:textId="77777777" w:rsidR="003442FE" w:rsidRDefault="00000000" w:rsidP="003B2FDD">
      <w:pPr>
        <w:pStyle w:val="FirstParagraph"/>
      </w:pPr>
      <w:r>
        <w:t xml:space="preserve">DP-2 is a </w:t>
      </w:r>
      <w:r>
        <w:rPr>
          <w:b/>
          <w:bCs/>
        </w:rPr>
        <w:t>named-perils broad form</w:t>
      </w:r>
      <w:r>
        <w:t>. It is more protective than DP-1 and may include perils such as falling objects or weight of ice/snow depending on form.</w:t>
      </w:r>
    </w:p>
    <w:p w14:paraId="1E97D3E5" w14:textId="77777777" w:rsidR="003442FE" w:rsidRDefault="00000000" w:rsidP="003B2FDD">
      <w:pPr>
        <w:pStyle w:val="Heading3"/>
      </w:pPr>
      <w:bookmarkStart w:id="121" w:name="dp-3-special-form"/>
      <w:bookmarkEnd w:id="120"/>
      <w:r>
        <w:t>DP-3 Special Form</w:t>
      </w:r>
    </w:p>
    <w:p w14:paraId="41A8B75B" w14:textId="77777777" w:rsidR="003442FE" w:rsidRDefault="00000000" w:rsidP="003B2FDD">
      <w:pPr>
        <w:pStyle w:val="FirstParagraph"/>
      </w:pPr>
      <w:r>
        <w:t xml:space="preserve">DP-3 is the broadest standard dwelling form, commonly used for </w:t>
      </w:r>
      <w:r>
        <w:rPr>
          <w:b/>
          <w:bCs/>
        </w:rPr>
        <w:t>rental dwellings</w:t>
      </w:r>
      <w:r>
        <w:t xml:space="preserve">. It covers the </w:t>
      </w:r>
      <w:r>
        <w:rPr>
          <w:b/>
          <w:bCs/>
        </w:rPr>
        <w:t>building open perils</w:t>
      </w:r>
      <w:r>
        <w:t xml:space="preserve"> while personal property may remain named perils.</w:t>
      </w:r>
    </w:p>
    <w:p w14:paraId="008EFC9F" w14:textId="77777777" w:rsidR="003442FE" w:rsidRDefault="00000000" w:rsidP="003B2FDD">
      <w:pPr>
        <w:pStyle w:val="Heading3"/>
      </w:pPr>
      <w:bookmarkStart w:id="122" w:name="dwelling-policy"/>
      <w:bookmarkEnd w:id="121"/>
      <w:r>
        <w:t>Dwelling policy</w:t>
      </w:r>
    </w:p>
    <w:p w14:paraId="087E1C15" w14:textId="77777777" w:rsidR="003442FE" w:rsidRDefault="00000000" w:rsidP="003B2FDD">
      <w:pPr>
        <w:pStyle w:val="FirstParagraph"/>
      </w:pPr>
      <w:r>
        <w:t>Dwelling policies focus on property coverage for dwellings and may not automatically package the same liability and personal property protections as homeowners.</w:t>
      </w:r>
    </w:p>
    <w:p w14:paraId="69080D92" w14:textId="77777777" w:rsidR="003442FE" w:rsidRDefault="00000000" w:rsidP="003B2FDD">
      <w:pPr>
        <w:pStyle w:val="Heading3"/>
      </w:pPr>
      <w:bookmarkStart w:id="123" w:name="commercial-package-policy-cpp"/>
      <w:bookmarkEnd w:id="122"/>
      <w:r>
        <w:t>Commercial Package Policy (CPP)</w:t>
      </w:r>
    </w:p>
    <w:p w14:paraId="74FD8B5D" w14:textId="77777777" w:rsidR="003442FE" w:rsidRDefault="00000000" w:rsidP="003B2FDD">
      <w:pPr>
        <w:pStyle w:val="FirstParagraph"/>
      </w:pPr>
      <w:r>
        <w:t>A CPP packages commercial coverage parts such as property, general liability, inland marine, crime, or auto. It is flexible for businesses.</w:t>
      </w:r>
    </w:p>
    <w:p w14:paraId="3DD877E8" w14:textId="77777777" w:rsidR="003442FE" w:rsidRDefault="00000000" w:rsidP="003B2FDD">
      <w:pPr>
        <w:pStyle w:val="Heading3"/>
      </w:pPr>
      <w:bookmarkStart w:id="124" w:name="commercial-property-coverage"/>
      <w:bookmarkEnd w:id="123"/>
      <w:r>
        <w:t>Commercial property coverage</w:t>
      </w:r>
    </w:p>
    <w:p w14:paraId="347CC258" w14:textId="77777777" w:rsidR="003442FE" w:rsidRDefault="00000000" w:rsidP="003B2FDD">
      <w:pPr>
        <w:pStyle w:val="FirstParagraph"/>
      </w:pPr>
      <w:r>
        <w:t>Commercial property coverage is first-party coverage for business property. It commonly uses building and business personal property forms plus causes of loss forms.</w:t>
      </w:r>
    </w:p>
    <w:p w14:paraId="31387340" w14:textId="77777777" w:rsidR="003442FE" w:rsidRDefault="00000000" w:rsidP="003B2FDD">
      <w:pPr>
        <w:pStyle w:val="Heading3"/>
      </w:pPr>
      <w:bookmarkStart w:id="125" w:name="Xb0edd687bf56a284641d31c8c0ac44e0876ee94"/>
      <w:bookmarkEnd w:id="124"/>
      <w:r>
        <w:t>Building and Personal Property Coverage Form</w:t>
      </w:r>
    </w:p>
    <w:p w14:paraId="5DAA2A73" w14:textId="77777777" w:rsidR="003442FE" w:rsidRDefault="00000000" w:rsidP="003B2FDD">
      <w:pPr>
        <w:pStyle w:val="FirstParagraph"/>
      </w:pPr>
      <w:r>
        <w:t>This form is the core commercial property form. It defines covered property, property not covered, limits, and valuation.</w:t>
      </w:r>
    </w:p>
    <w:p w14:paraId="642B7390" w14:textId="77777777" w:rsidR="003442FE" w:rsidRDefault="00000000" w:rsidP="003B2FDD">
      <w:pPr>
        <w:pStyle w:val="Heading3"/>
      </w:pPr>
      <w:bookmarkStart w:id="126" w:name="business-personal-property-bpp"/>
      <w:bookmarkEnd w:id="125"/>
      <w:r>
        <w:lastRenderedPageBreak/>
        <w:t>Business personal property (BPP)</w:t>
      </w:r>
    </w:p>
    <w:p w14:paraId="71FD49D4" w14:textId="77777777" w:rsidR="003442FE" w:rsidRDefault="00000000" w:rsidP="003B2FDD">
      <w:pPr>
        <w:pStyle w:val="FirstParagraph"/>
      </w:pPr>
      <w:r>
        <w:t>BPP is movable property used in the business. It is usually covered at or near the described premises subject to limits.</w:t>
      </w:r>
    </w:p>
    <w:p w14:paraId="1D064726" w14:textId="77777777" w:rsidR="003442FE" w:rsidRDefault="00000000" w:rsidP="003B2FDD">
      <w:pPr>
        <w:pStyle w:val="Heading3"/>
      </w:pPr>
      <w:bookmarkStart w:id="127" w:name="property-of-others"/>
      <w:bookmarkEnd w:id="126"/>
      <w:r>
        <w:t>Property of others</w:t>
      </w:r>
    </w:p>
    <w:p w14:paraId="14E43D79" w14:textId="77777777" w:rsidR="003442FE" w:rsidRDefault="00000000" w:rsidP="003B2FDD">
      <w:pPr>
        <w:pStyle w:val="FirstParagraph"/>
      </w:pPr>
      <w:r>
        <w:t>Property of others may be covered under commercial property forms but often requires careful limits and valuation.</w:t>
      </w:r>
    </w:p>
    <w:p w14:paraId="1316F512" w14:textId="77777777" w:rsidR="003442FE" w:rsidRDefault="00000000" w:rsidP="003B2FDD">
      <w:pPr>
        <w:pStyle w:val="Heading3"/>
      </w:pPr>
      <w:bookmarkStart w:id="128" w:name="basic-causes-of-loss-form"/>
      <w:bookmarkEnd w:id="127"/>
      <w:r>
        <w:t>Basic Causes of Loss Form</w:t>
      </w:r>
    </w:p>
    <w:p w14:paraId="72C46A29" w14:textId="77777777" w:rsidR="003442FE" w:rsidRDefault="00000000" w:rsidP="003B2FDD">
      <w:pPr>
        <w:pStyle w:val="FirstParagraph"/>
      </w:pPr>
      <w:r>
        <w:t xml:space="preserve">Basic causes commonly include </w:t>
      </w:r>
      <w:r>
        <w:rPr>
          <w:b/>
          <w:bCs/>
        </w:rPr>
        <w:t>fire</w:t>
      </w:r>
      <w:r>
        <w:t xml:space="preserve">, </w:t>
      </w:r>
      <w:r>
        <w:rPr>
          <w:b/>
          <w:bCs/>
        </w:rPr>
        <w:t>lightning</w:t>
      </w:r>
      <w:r>
        <w:t xml:space="preserve">, </w:t>
      </w:r>
      <w:r>
        <w:rPr>
          <w:b/>
          <w:bCs/>
        </w:rPr>
        <w:t>explosion</w:t>
      </w:r>
      <w:r>
        <w:t xml:space="preserve">, </w:t>
      </w:r>
      <w:r>
        <w:rPr>
          <w:b/>
          <w:bCs/>
        </w:rPr>
        <w:t>windstorm/hail</w:t>
      </w:r>
      <w:r>
        <w:t xml:space="preserve">, </w:t>
      </w:r>
      <w:r>
        <w:rPr>
          <w:b/>
          <w:bCs/>
        </w:rPr>
        <w:t>smoke</w:t>
      </w:r>
      <w:r>
        <w:t xml:space="preserve">, </w:t>
      </w:r>
      <w:r>
        <w:rPr>
          <w:b/>
          <w:bCs/>
        </w:rPr>
        <w:t>aircraft/vehicles</w:t>
      </w:r>
      <w:r>
        <w:t xml:space="preserve">, </w:t>
      </w:r>
      <w:r>
        <w:rPr>
          <w:b/>
          <w:bCs/>
        </w:rPr>
        <w:t>riot/civil commotion</w:t>
      </w:r>
      <w:r>
        <w:t xml:space="preserve">, </w:t>
      </w:r>
      <w:r>
        <w:rPr>
          <w:b/>
          <w:bCs/>
        </w:rPr>
        <w:t>vandalism</w:t>
      </w:r>
      <w:r>
        <w:t xml:space="preserve">, </w:t>
      </w:r>
      <w:r>
        <w:rPr>
          <w:b/>
          <w:bCs/>
        </w:rPr>
        <w:t>sprinkler leakage</w:t>
      </w:r>
      <w:r>
        <w:t xml:space="preserve">, </w:t>
      </w:r>
      <w:r>
        <w:rPr>
          <w:b/>
          <w:bCs/>
        </w:rPr>
        <w:t>sinkhole collapse</w:t>
      </w:r>
      <w:r>
        <w:t xml:space="preserve">, and </w:t>
      </w:r>
      <w:r>
        <w:rPr>
          <w:b/>
          <w:bCs/>
        </w:rPr>
        <w:t>volcanic action</w:t>
      </w:r>
      <w:r>
        <w:t xml:space="preserve"> depending on form.</w:t>
      </w:r>
    </w:p>
    <w:p w14:paraId="742990B1" w14:textId="77777777" w:rsidR="003442FE" w:rsidRDefault="00000000" w:rsidP="003B2FDD">
      <w:pPr>
        <w:pStyle w:val="Heading3"/>
      </w:pPr>
      <w:bookmarkStart w:id="129" w:name="broad-causes-of-loss-form"/>
      <w:bookmarkEnd w:id="128"/>
      <w:r>
        <w:t>Broad Causes of Loss Form</w:t>
      </w:r>
    </w:p>
    <w:p w14:paraId="79A0C26B" w14:textId="77777777" w:rsidR="003442FE" w:rsidRDefault="00000000" w:rsidP="003B2FDD">
      <w:pPr>
        <w:pStyle w:val="FirstParagraph"/>
      </w:pPr>
      <w:r>
        <w:t xml:space="preserve">Broad form is still named perils but wider than basic. Common additions may include </w:t>
      </w:r>
      <w:r>
        <w:rPr>
          <w:b/>
          <w:bCs/>
        </w:rPr>
        <w:t>falling objects</w:t>
      </w:r>
      <w:r>
        <w:t xml:space="preserve">, </w:t>
      </w:r>
      <w:r>
        <w:rPr>
          <w:b/>
          <w:bCs/>
        </w:rPr>
        <w:t>weight of snow/ice/sleet</w:t>
      </w:r>
      <w:r>
        <w:t xml:space="preserve">, and </w:t>
      </w:r>
      <w:r>
        <w:rPr>
          <w:b/>
          <w:bCs/>
        </w:rPr>
        <w:t>water damage from certain systems</w:t>
      </w:r>
      <w:r>
        <w:t>.</w:t>
      </w:r>
    </w:p>
    <w:p w14:paraId="274F8745" w14:textId="77777777" w:rsidR="003442FE" w:rsidRDefault="00000000" w:rsidP="003B2FDD">
      <w:pPr>
        <w:pStyle w:val="Heading3"/>
      </w:pPr>
      <w:bookmarkStart w:id="130" w:name="special-causes-of-loss-form"/>
      <w:bookmarkEnd w:id="129"/>
      <w:r>
        <w:t>Special Causes of Loss Form</w:t>
      </w:r>
    </w:p>
    <w:p w14:paraId="31053A68" w14:textId="77777777" w:rsidR="003442FE" w:rsidRDefault="00000000" w:rsidP="003B2FDD">
      <w:pPr>
        <w:pStyle w:val="FirstParagraph"/>
      </w:pPr>
      <w:r>
        <w:t>Special form is the broad/open-perils commercial property form. Always apply exclusions after the broad grant.</w:t>
      </w:r>
    </w:p>
    <w:p w14:paraId="309E878A" w14:textId="77777777" w:rsidR="003442FE" w:rsidRDefault="00000000" w:rsidP="003B2FDD">
      <w:pPr>
        <w:pStyle w:val="Heading3"/>
      </w:pPr>
      <w:bookmarkStart w:id="131" w:name="business-income-coverage"/>
      <w:bookmarkEnd w:id="130"/>
      <w:r>
        <w:t>Business income coverage</w:t>
      </w:r>
    </w:p>
    <w:p w14:paraId="4CC29837" w14:textId="77777777" w:rsidR="003442FE" w:rsidRDefault="00000000" w:rsidP="003B2FDD">
      <w:pPr>
        <w:pStyle w:val="FirstParagraph"/>
      </w:pPr>
      <w:r>
        <w:t>Business income is indirect loss coverage. It requires covered direct physical loss causing suspension during the period of restoration.</w:t>
      </w:r>
    </w:p>
    <w:p w14:paraId="60566313" w14:textId="77777777" w:rsidR="003442FE" w:rsidRDefault="00000000" w:rsidP="003B2FDD">
      <w:pPr>
        <w:pStyle w:val="Heading3"/>
      </w:pPr>
      <w:bookmarkStart w:id="132" w:name="extra-expense-coverage"/>
      <w:bookmarkEnd w:id="131"/>
      <w:r>
        <w:t>Extra expense coverage</w:t>
      </w:r>
    </w:p>
    <w:p w14:paraId="6D23BBB9" w14:textId="77777777" w:rsidR="003442FE" w:rsidRDefault="00000000" w:rsidP="003B2FDD">
      <w:pPr>
        <w:pStyle w:val="FirstParagraph"/>
      </w:pPr>
      <w:r>
        <w:t>Extra expense helps a business continue operations, such as renting temporary space or equipment. It may reduce business income loss.</w:t>
      </w:r>
    </w:p>
    <w:p w14:paraId="0EE590A9" w14:textId="77777777" w:rsidR="003442FE" w:rsidRDefault="00000000" w:rsidP="003B2FDD">
      <w:pPr>
        <w:pStyle w:val="Heading3"/>
      </w:pPr>
      <w:bookmarkStart w:id="133" w:name="equipment-breakdown-coverage"/>
      <w:bookmarkEnd w:id="132"/>
      <w:r>
        <w:t>Equipment breakdown coverage</w:t>
      </w:r>
    </w:p>
    <w:p w14:paraId="17EB5EF7" w14:textId="77777777" w:rsidR="003442FE" w:rsidRDefault="00000000" w:rsidP="003B2FDD">
      <w:pPr>
        <w:pStyle w:val="FirstParagraph"/>
      </w:pPr>
      <w:r>
        <w:t>Equipment breakdown fills gaps left by standard property forms for mechanical/electrical pressure breakdowns. It can include property damage, business income, and spoilage options.</w:t>
      </w:r>
    </w:p>
    <w:p w14:paraId="3BA6ECB8" w14:textId="77777777" w:rsidR="003442FE" w:rsidRDefault="00000000" w:rsidP="003B2FDD">
      <w:pPr>
        <w:pStyle w:val="Heading3"/>
      </w:pPr>
      <w:bookmarkStart w:id="134" w:name="builders-risk-coverage"/>
      <w:bookmarkEnd w:id="133"/>
      <w:r>
        <w:t>Builders risk coverage</w:t>
      </w:r>
    </w:p>
    <w:p w14:paraId="0DD41129" w14:textId="77777777" w:rsidR="003442FE" w:rsidRDefault="00000000" w:rsidP="003B2FDD">
      <w:pPr>
        <w:pStyle w:val="FirstParagraph"/>
      </w:pPr>
      <w:r>
        <w:t>Builders risk covers property during construction, often including materials, fixtures, and temporary structures. It usually ends when construction is complete or the property is occupied.</w:t>
      </w:r>
    </w:p>
    <w:p w14:paraId="1BA2FBDB" w14:textId="77777777" w:rsidR="003442FE" w:rsidRDefault="00000000" w:rsidP="003B2FDD">
      <w:pPr>
        <w:pStyle w:val="Heading3"/>
      </w:pPr>
      <w:bookmarkStart w:id="135" w:name="businessowners-policy-bop"/>
      <w:bookmarkEnd w:id="134"/>
      <w:r>
        <w:lastRenderedPageBreak/>
        <w:t>Businessowners Policy (BOP)</w:t>
      </w:r>
    </w:p>
    <w:p w14:paraId="56A4CF9B" w14:textId="77777777" w:rsidR="003442FE" w:rsidRDefault="00000000" w:rsidP="003B2FDD">
      <w:pPr>
        <w:pStyle w:val="FirstParagraph"/>
      </w:pPr>
      <w:r>
        <w:t>BOP is a streamlined package with property, business income/extra expense, and liability features. Eligibility depends on business type, size, and risk.</w:t>
      </w:r>
    </w:p>
    <w:p w14:paraId="0BBD5F5A" w14:textId="77777777" w:rsidR="003442FE" w:rsidRDefault="00000000" w:rsidP="003B2FDD">
      <w:pPr>
        <w:pStyle w:val="Heading3"/>
      </w:pPr>
      <w:bookmarkStart w:id="136" w:name="inland-marine-insurance"/>
      <w:bookmarkEnd w:id="135"/>
      <w:r>
        <w:t>Inland marine insurance</w:t>
      </w:r>
    </w:p>
    <w:p w14:paraId="7AFFC4B3" w14:textId="77777777" w:rsidR="003442FE" w:rsidRDefault="00000000" w:rsidP="003B2FDD">
      <w:pPr>
        <w:pStyle w:val="FirstParagraph"/>
      </w:pPr>
      <w:r>
        <w:t>Inland marine fills gaps for mobile or specialized property. It often uses floaters.</w:t>
      </w:r>
    </w:p>
    <w:p w14:paraId="412A1265" w14:textId="77777777" w:rsidR="003442FE" w:rsidRDefault="00000000" w:rsidP="003B2FDD">
      <w:pPr>
        <w:pStyle w:val="Heading3"/>
      </w:pPr>
      <w:bookmarkStart w:id="137" w:name="personal-articles-floater"/>
      <w:bookmarkEnd w:id="136"/>
      <w:r>
        <w:t>Personal Articles Floater</w:t>
      </w:r>
    </w:p>
    <w:p w14:paraId="061080D7" w14:textId="77777777" w:rsidR="003442FE" w:rsidRDefault="00000000" w:rsidP="003B2FDD">
      <w:pPr>
        <w:pStyle w:val="FirstParagraph"/>
      </w:pPr>
      <w:r>
        <w:t>A personal articles floater provides broader scheduled coverage for valuable items that may be limited under homeowners.</w:t>
      </w:r>
    </w:p>
    <w:p w14:paraId="422B6AE8" w14:textId="77777777" w:rsidR="003442FE" w:rsidRDefault="00000000" w:rsidP="003B2FDD">
      <w:pPr>
        <w:pStyle w:val="Heading3"/>
      </w:pPr>
      <w:bookmarkStart w:id="138" w:name="commercial-property-floater"/>
      <w:bookmarkEnd w:id="137"/>
      <w:r>
        <w:t>Commercial property floater</w:t>
      </w:r>
    </w:p>
    <w:p w14:paraId="16B125F8" w14:textId="77777777" w:rsidR="003442FE" w:rsidRDefault="00000000" w:rsidP="003B2FDD">
      <w:pPr>
        <w:pStyle w:val="FirstParagraph"/>
      </w:pPr>
      <w:r>
        <w:t>Commercial floaters cover mobile property such as contractors equipment, installation property, or accounts receivable depending on form.</w:t>
      </w:r>
    </w:p>
    <w:p w14:paraId="250A4CD9" w14:textId="77777777" w:rsidR="003442FE" w:rsidRDefault="00000000" w:rsidP="003B2FDD">
      <w:pPr>
        <w:pStyle w:val="Heading3"/>
      </w:pPr>
      <w:bookmarkStart w:id="139" w:name="national-flood-insurance-program-nfip"/>
      <w:bookmarkEnd w:id="138"/>
      <w:r>
        <w:t>National Flood Insurance Program (NFIP)</w:t>
      </w:r>
    </w:p>
    <w:p w14:paraId="1732EBB0" w14:textId="77777777" w:rsidR="003442FE" w:rsidRDefault="00000000" w:rsidP="003B2FDD">
      <w:pPr>
        <w:pStyle w:val="FirstParagraph"/>
      </w:pPr>
      <w:r>
        <w:t>NFIP provides flood insurance because standard property policies commonly exclude flood. Important in Texas because flood is a major catastrophic exposure.</w:t>
      </w:r>
    </w:p>
    <w:p w14:paraId="17888406" w14:textId="77777777" w:rsidR="003442FE" w:rsidRDefault="00000000" w:rsidP="003B2FDD">
      <w:pPr>
        <w:pStyle w:val="Heading3"/>
      </w:pPr>
      <w:bookmarkStart w:id="140" w:name="flood"/>
      <w:bookmarkEnd w:id="139"/>
      <w:r>
        <w:t>Flood</w:t>
      </w:r>
    </w:p>
    <w:p w14:paraId="6B3D9FC9" w14:textId="77777777" w:rsidR="003442FE" w:rsidRDefault="00000000" w:rsidP="003B2FDD">
      <w:pPr>
        <w:pStyle w:val="FirstParagraph"/>
      </w:pPr>
      <w:r>
        <w:t>Flood is commonly excluded under homeowners and commercial property policies unless flood coverage is purchased. Parameters matter because seepage, sewer backup, and pipe burst are different concepts.</w:t>
      </w:r>
    </w:p>
    <w:p w14:paraId="3627D868" w14:textId="77777777" w:rsidR="003442FE" w:rsidRDefault="00000000" w:rsidP="003B2FDD">
      <w:pPr>
        <w:pStyle w:val="Heading3"/>
      </w:pPr>
      <w:bookmarkStart w:id="141" w:name="earthquake-coverage"/>
      <w:bookmarkEnd w:id="140"/>
      <w:r>
        <w:t>Earthquake coverage</w:t>
      </w:r>
    </w:p>
    <w:p w14:paraId="31A5E752" w14:textId="77777777" w:rsidR="003442FE" w:rsidRDefault="00000000" w:rsidP="003B2FDD">
      <w:pPr>
        <w:pStyle w:val="FirstParagraph"/>
      </w:pPr>
      <w:r>
        <w:t>Earthquake is commonly excluded in standard property forms and requires endorsement or separate policy. It can include volcanic eruption in some contexts but policy wording controls.</w:t>
      </w:r>
    </w:p>
    <w:p w14:paraId="44A810F3" w14:textId="77777777" w:rsidR="003442FE" w:rsidRDefault="00000000" w:rsidP="003B2FDD">
      <w:pPr>
        <w:pStyle w:val="Heading3"/>
      </w:pPr>
      <w:bookmarkStart w:id="142" w:name="mobile-home-coverage"/>
      <w:bookmarkEnd w:id="141"/>
      <w:r>
        <w:t>Mobile home coverage</w:t>
      </w:r>
    </w:p>
    <w:p w14:paraId="7E9F2426" w14:textId="77777777" w:rsidR="003442FE" w:rsidRDefault="00000000" w:rsidP="003B2FDD">
      <w:pPr>
        <w:pStyle w:val="FirstParagraph"/>
      </w:pPr>
      <w:r>
        <w:t>Mobile home policies adapt homeowners concepts to mobile/manufactured housing. Important because eligibility and valuation differ from standard homes.</w:t>
      </w:r>
    </w:p>
    <w:p w14:paraId="3A3AB8E5" w14:textId="77777777" w:rsidR="003442FE" w:rsidRDefault="00000000" w:rsidP="003B2FDD">
      <w:pPr>
        <w:pStyle w:val="Heading3"/>
      </w:pPr>
      <w:bookmarkStart w:id="143" w:name="watercraft-coverage"/>
      <w:bookmarkEnd w:id="142"/>
      <w:r>
        <w:t>Watercraft coverage</w:t>
      </w:r>
    </w:p>
    <w:p w14:paraId="79D40307" w14:textId="77777777" w:rsidR="003442FE" w:rsidRDefault="00000000" w:rsidP="003B2FDD">
      <w:pPr>
        <w:pStyle w:val="FirstParagraph"/>
      </w:pPr>
      <w:r>
        <w:t>Watercraft coverage may be by endorsement or separate policy, especially for larger boats or higher horsepower.</w:t>
      </w:r>
    </w:p>
    <w:p w14:paraId="55851B94" w14:textId="77777777" w:rsidR="003442FE" w:rsidRDefault="00000000" w:rsidP="003B2FDD">
      <w:pPr>
        <w:pStyle w:val="Heading3"/>
      </w:pPr>
      <w:bookmarkStart w:id="144" w:name="farm-owners-coverage"/>
      <w:bookmarkEnd w:id="143"/>
      <w:r>
        <w:t>Farm owners coverage</w:t>
      </w:r>
    </w:p>
    <w:p w14:paraId="6E7FD64D" w14:textId="77777777" w:rsidR="003442FE" w:rsidRDefault="00000000" w:rsidP="003B2FDD">
      <w:pPr>
        <w:pStyle w:val="FirstParagraph"/>
      </w:pPr>
      <w:r>
        <w:t>Farm owners policies combine personal and farm property/liability exposures.</w:t>
      </w:r>
    </w:p>
    <w:p w14:paraId="394D4A80" w14:textId="77777777" w:rsidR="003442FE" w:rsidRDefault="00000000" w:rsidP="003B2FDD">
      <w:pPr>
        <w:pStyle w:val="Heading3"/>
      </w:pPr>
      <w:bookmarkStart w:id="145" w:name="windstorm-coverage"/>
      <w:bookmarkEnd w:id="144"/>
      <w:r>
        <w:lastRenderedPageBreak/>
        <w:t>Windstorm coverage</w:t>
      </w:r>
    </w:p>
    <w:p w14:paraId="652FD429" w14:textId="77777777" w:rsidR="003442FE" w:rsidRDefault="00000000" w:rsidP="003B2FDD">
      <w:pPr>
        <w:pStyle w:val="FirstParagraph"/>
      </w:pPr>
      <w:r>
        <w:t>Windstorm covers wind/hail damage when included or separately purchased. In coastal Texas, standard policies may exclude wind/hail and TWIA may be needed.</w:t>
      </w:r>
    </w:p>
    <w:p w14:paraId="76EB038E" w14:textId="77777777" w:rsidR="003442FE" w:rsidRDefault="00000000" w:rsidP="003B2FDD">
      <w:pPr>
        <w:pStyle w:val="Heading3"/>
      </w:pPr>
      <w:bookmarkStart w:id="146" w:name="cyber-first-party-coverage"/>
      <w:bookmarkEnd w:id="145"/>
      <w:r>
        <w:t>Cyber first-party coverage</w:t>
      </w:r>
    </w:p>
    <w:p w14:paraId="30F4568C" w14:textId="77777777" w:rsidR="003442FE" w:rsidRDefault="00000000" w:rsidP="003B2FDD">
      <w:pPr>
        <w:pStyle w:val="FirstParagraph"/>
      </w:pPr>
      <w:r>
        <w:t>First-party cyber pays the insured’s own cyber-related expenses, not liability to others.</w:t>
      </w:r>
    </w:p>
    <w:p w14:paraId="28A90B5B" w14:textId="77777777" w:rsidR="003442FE" w:rsidRDefault="00000000" w:rsidP="003B2FDD">
      <w:pPr>
        <w:pStyle w:val="Heading3"/>
      </w:pPr>
      <w:bookmarkStart w:id="147" w:name="ordinance-or-law-coverage"/>
      <w:bookmarkEnd w:id="146"/>
      <w:r>
        <w:t>Ordinance or law coverage</w:t>
      </w:r>
    </w:p>
    <w:p w14:paraId="78257B5F" w14:textId="77777777" w:rsidR="003442FE" w:rsidRDefault="00000000" w:rsidP="003B2FDD">
      <w:pPr>
        <w:pStyle w:val="FirstParagraph"/>
      </w:pPr>
      <w:r>
        <w:t>Ordinance or law covers demolition, increased construction costs, or undamaged portions when required by code, subject to coverage parts.</w:t>
      </w:r>
    </w:p>
    <w:p w14:paraId="50FAD922" w14:textId="77777777" w:rsidR="003442FE" w:rsidRDefault="00000000" w:rsidP="003B2FDD">
      <w:pPr>
        <w:pStyle w:val="Heading3"/>
      </w:pPr>
      <w:bookmarkStart w:id="148" w:name="debris-removal"/>
      <w:bookmarkEnd w:id="147"/>
      <w:r>
        <w:t>Debris removal</w:t>
      </w:r>
    </w:p>
    <w:p w14:paraId="4268BD4D" w14:textId="77777777" w:rsidR="003442FE" w:rsidRDefault="00000000" w:rsidP="003B2FDD">
      <w:pPr>
        <w:pStyle w:val="FirstParagraph"/>
      </w:pPr>
      <w:r>
        <w:t>Debris removal is an additional property coverage with limits/conditions. It matters after fire, wind, or other covered physical losses.</w:t>
      </w:r>
    </w:p>
    <w:p w14:paraId="4733058B" w14:textId="77777777" w:rsidR="003442FE" w:rsidRDefault="00000000" w:rsidP="003B2FDD">
      <w:pPr>
        <w:pStyle w:val="Heading2"/>
      </w:pPr>
      <w:bookmarkStart w:id="149" w:name="commercial-casualty"/>
      <w:bookmarkEnd w:id="118"/>
      <w:bookmarkEnd w:id="148"/>
      <w:r>
        <w:rPr>
          <w:highlight w:val="yellow"/>
        </w:rPr>
        <w:t>Commercial casualty</w:t>
      </w:r>
    </w:p>
    <w:p w14:paraId="0B6885C8" w14:textId="77777777" w:rsidR="003442FE" w:rsidRDefault="00000000" w:rsidP="003B2FDD">
      <w:pPr>
        <w:pStyle w:val="Heading3"/>
      </w:pPr>
      <w:bookmarkStart w:id="150" w:name="commercial-general-liability-cgl"/>
      <w:r>
        <w:t>Commercial General Liability (CGL)</w:t>
      </w:r>
    </w:p>
    <w:p w14:paraId="43E10CCB" w14:textId="77777777" w:rsidR="003442FE" w:rsidRDefault="00000000" w:rsidP="003B2FDD">
      <w:pPr>
        <w:pStyle w:val="FirstParagraph"/>
      </w:pPr>
      <w:r>
        <w:t>CGL is foundational commercial liability coverage. It is third-party coverage, commonly with Coverage A, B, C, supplementary payments, and limits.</w:t>
      </w:r>
    </w:p>
    <w:p w14:paraId="2BB497FF" w14:textId="77777777" w:rsidR="003442FE" w:rsidRDefault="00000000" w:rsidP="003B2FDD">
      <w:pPr>
        <w:pStyle w:val="Heading3"/>
      </w:pPr>
      <w:bookmarkStart w:id="151" w:name="premises-and-operations-exposure"/>
      <w:bookmarkEnd w:id="150"/>
      <w:r>
        <w:t>Premises and operations exposure</w:t>
      </w:r>
    </w:p>
    <w:p w14:paraId="4A37D9B8" w14:textId="77777777" w:rsidR="003442FE" w:rsidRDefault="00000000" w:rsidP="003B2FDD">
      <w:pPr>
        <w:pStyle w:val="FirstParagraph"/>
      </w:pPr>
      <w:r>
        <w:t>Premises/operations covers ongoing operations and conditions on the premises. Example: customer slips in a store.</w:t>
      </w:r>
    </w:p>
    <w:p w14:paraId="5BA837A4" w14:textId="77777777" w:rsidR="003442FE" w:rsidRDefault="00000000" w:rsidP="003B2FDD">
      <w:pPr>
        <w:pStyle w:val="Heading3"/>
      </w:pPr>
      <w:bookmarkStart w:id="152" w:name="Xd95b8f5af908cca19d4c2bb37e4ae51ff25ad34"/>
      <w:bookmarkEnd w:id="151"/>
      <w:r>
        <w:t>Products and completed operations exposure</w:t>
      </w:r>
    </w:p>
    <w:p w14:paraId="5F6B7993" w14:textId="77777777" w:rsidR="003442FE" w:rsidRDefault="00000000" w:rsidP="003B2FDD">
      <w:pPr>
        <w:pStyle w:val="FirstParagraph"/>
      </w:pPr>
      <w:r>
        <w:t>Products-completed operations covers liability from goods or completed work away from owned/rented premises. It is subject to aggregate limits.</w:t>
      </w:r>
    </w:p>
    <w:p w14:paraId="3923E4EE" w14:textId="77777777" w:rsidR="003442FE" w:rsidRDefault="00000000" w:rsidP="003B2FDD">
      <w:pPr>
        <w:pStyle w:val="Heading3"/>
      </w:pPr>
      <w:bookmarkStart w:id="153" w:name="cgl-coverage-a"/>
      <w:bookmarkEnd w:id="152"/>
      <w:r>
        <w:t>CGL Coverage A</w:t>
      </w:r>
    </w:p>
    <w:p w14:paraId="311240D9" w14:textId="77777777" w:rsidR="003442FE" w:rsidRDefault="00000000" w:rsidP="003B2FDD">
      <w:pPr>
        <w:pStyle w:val="FirstParagraph"/>
      </w:pPr>
      <w:r>
        <w:t>Coverage A is the core CGL BI/PD liability coverage. It may be occurrence or claims-made.</w:t>
      </w:r>
    </w:p>
    <w:p w14:paraId="244E9C20" w14:textId="77777777" w:rsidR="003442FE" w:rsidRDefault="00000000" w:rsidP="003B2FDD">
      <w:pPr>
        <w:pStyle w:val="Heading3"/>
      </w:pPr>
      <w:bookmarkStart w:id="154" w:name="cgl-coverage-b"/>
      <w:bookmarkEnd w:id="153"/>
      <w:r>
        <w:t>CGL Coverage B</w:t>
      </w:r>
    </w:p>
    <w:p w14:paraId="76C8428D" w14:textId="77777777" w:rsidR="003442FE" w:rsidRDefault="00000000" w:rsidP="003B2FDD">
      <w:pPr>
        <w:pStyle w:val="FirstParagraph"/>
      </w:pPr>
      <w:r>
        <w:t>Coverage B handles specified offenses rather than ordinary bodily injury/property damage.</w:t>
      </w:r>
    </w:p>
    <w:p w14:paraId="7BAE0DA3" w14:textId="77777777" w:rsidR="003442FE" w:rsidRDefault="00000000" w:rsidP="003B2FDD">
      <w:pPr>
        <w:pStyle w:val="Heading3"/>
      </w:pPr>
      <w:bookmarkStart w:id="155" w:name="cgl-coverage-c"/>
      <w:bookmarkEnd w:id="154"/>
      <w:r>
        <w:t>CGL Coverage C</w:t>
      </w:r>
    </w:p>
    <w:p w14:paraId="5F4E0E24" w14:textId="77777777" w:rsidR="003442FE" w:rsidRDefault="00000000" w:rsidP="003B2FDD">
      <w:pPr>
        <w:pStyle w:val="FirstParagraph"/>
      </w:pPr>
      <w:r>
        <w:t>Coverage C medical payments is no-fault/goodwill coverage with lower limits.</w:t>
      </w:r>
    </w:p>
    <w:p w14:paraId="50815285" w14:textId="77777777" w:rsidR="003442FE" w:rsidRDefault="00000000" w:rsidP="003B2FDD">
      <w:pPr>
        <w:pStyle w:val="Heading3"/>
      </w:pPr>
      <w:bookmarkStart w:id="156" w:name="occurrence-form"/>
      <w:bookmarkEnd w:id="155"/>
      <w:r>
        <w:t>Occurrence form</w:t>
      </w:r>
    </w:p>
    <w:p w14:paraId="0C47912F" w14:textId="77777777" w:rsidR="003442FE" w:rsidRDefault="00000000" w:rsidP="003B2FDD">
      <w:pPr>
        <w:pStyle w:val="FirstParagraph"/>
      </w:pPr>
      <w:r>
        <w:t>Occurrence form focuses on when the injury/damage occurs. It is common in CGL.</w:t>
      </w:r>
    </w:p>
    <w:p w14:paraId="30997BE3" w14:textId="77777777" w:rsidR="003442FE" w:rsidRDefault="00000000" w:rsidP="003B2FDD">
      <w:pPr>
        <w:pStyle w:val="Heading3"/>
      </w:pPr>
      <w:bookmarkStart w:id="157" w:name="claims-made-form"/>
      <w:bookmarkEnd w:id="156"/>
      <w:r>
        <w:lastRenderedPageBreak/>
        <w:t>Claims-made form</w:t>
      </w:r>
    </w:p>
    <w:p w14:paraId="0B3275B4" w14:textId="77777777" w:rsidR="003442FE" w:rsidRDefault="00000000" w:rsidP="003B2FDD">
      <w:pPr>
        <w:pStyle w:val="FirstParagraph"/>
      </w:pPr>
      <w:r>
        <w:t>Claims-made coverage is common in professional liability and some CGL forms. The retroactive date is critical.</w:t>
      </w:r>
    </w:p>
    <w:p w14:paraId="29DA43BF" w14:textId="77777777" w:rsidR="003442FE" w:rsidRDefault="00000000" w:rsidP="003B2FDD">
      <w:pPr>
        <w:pStyle w:val="Heading3"/>
      </w:pPr>
      <w:bookmarkStart w:id="158" w:name="retroactive-date"/>
      <w:bookmarkEnd w:id="157"/>
      <w:r>
        <w:t>Retroactive date</w:t>
      </w:r>
    </w:p>
    <w:p w14:paraId="3565C98F" w14:textId="77777777" w:rsidR="003442FE" w:rsidRDefault="00000000" w:rsidP="003B2FDD">
      <w:pPr>
        <w:pStyle w:val="FirstParagraph"/>
      </w:pPr>
      <w:r>
        <w:t>The retroactive date prevents coverage for prior acts before that date. It is one of the most important claims-made concepts.</w:t>
      </w:r>
    </w:p>
    <w:p w14:paraId="1CF23E41" w14:textId="77777777" w:rsidR="003442FE" w:rsidRDefault="00000000" w:rsidP="003B2FDD">
      <w:pPr>
        <w:pStyle w:val="Heading3"/>
      </w:pPr>
      <w:bookmarkStart w:id="159" w:name="per-occurrence-limit"/>
      <w:bookmarkEnd w:id="158"/>
      <w:r>
        <w:t>Per occurrence limit</w:t>
      </w:r>
    </w:p>
    <w:p w14:paraId="144B0C26" w14:textId="77777777" w:rsidR="003442FE" w:rsidRDefault="00000000" w:rsidP="003B2FDD">
      <w:pPr>
        <w:pStyle w:val="FirstParagraph"/>
      </w:pPr>
      <w:r>
        <w:t>Per occurrence limit caps payment for one occurrence under Coverage A and often Coverage C.</w:t>
      </w:r>
    </w:p>
    <w:p w14:paraId="1E1DBAB0" w14:textId="77777777" w:rsidR="003442FE" w:rsidRDefault="00000000" w:rsidP="003B2FDD">
      <w:pPr>
        <w:pStyle w:val="Heading3"/>
      </w:pPr>
      <w:bookmarkStart w:id="160" w:name="general-aggregate-limit"/>
      <w:bookmarkEnd w:id="159"/>
      <w:r>
        <w:t>General aggregate limit</w:t>
      </w:r>
    </w:p>
    <w:p w14:paraId="758FC435" w14:textId="77777777" w:rsidR="003442FE" w:rsidRDefault="00000000" w:rsidP="003B2FDD">
      <w:pPr>
        <w:pStyle w:val="FirstParagraph"/>
      </w:pPr>
      <w:r>
        <w:t>The general aggregate caps total payments for covered claims subject to it. It is important for repeated or multiple claims.</w:t>
      </w:r>
    </w:p>
    <w:p w14:paraId="27671007" w14:textId="77777777" w:rsidR="003442FE" w:rsidRDefault="00000000" w:rsidP="003B2FDD">
      <w:pPr>
        <w:pStyle w:val="Heading3"/>
      </w:pPr>
      <w:bookmarkStart w:id="161" w:name="damage-to-property-of-others"/>
      <w:bookmarkEnd w:id="160"/>
      <w:r>
        <w:t>Damage to property of others</w:t>
      </w:r>
    </w:p>
    <w:p w14:paraId="37DEB03D" w14:textId="77777777" w:rsidR="003442FE" w:rsidRDefault="00000000" w:rsidP="003B2FDD">
      <w:pPr>
        <w:pStyle w:val="FirstParagraph"/>
      </w:pPr>
      <w:r>
        <w:t>Liability policies respond to covered third-party property damage.</w:t>
      </w:r>
    </w:p>
    <w:p w14:paraId="751BE9E0" w14:textId="77777777" w:rsidR="003442FE" w:rsidRDefault="00000000" w:rsidP="003B2FDD">
      <w:pPr>
        <w:pStyle w:val="Heading2"/>
      </w:pPr>
      <w:bookmarkStart w:id="162" w:name="auto-insurance"/>
      <w:bookmarkEnd w:id="149"/>
      <w:bookmarkEnd w:id="161"/>
      <w:r>
        <w:rPr>
          <w:highlight w:val="yellow"/>
        </w:rPr>
        <w:t>Auto-insurance</w:t>
      </w:r>
    </w:p>
    <w:p w14:paraId="4AE82EC9" w14:textId="77777777" w:rsidR="003442FE" w:rsidRDefault="00000000" w:rsidP="003B2FDD">
      <w:pPr>
        <w:pStyle w:val="Heading3"/>
      </w:pPr>
      <w:bookmarkStart w:id="163" w:name="personal-auto-policy-pap"/>
      <w:r>
        <w:t>Personal auto policy (PAP)</w:t>
      </w:r>
    </w:p>
    <w:p w14:paraId="4857AAF6" w14:textId="77777777" w:rsidR="003442FE" w:rsidRDefault="00000000" w:rsidP="003B2FDD">
      <w:pPr>
        <w:pStyle w:val="FirstParagraph"/>
      </w:pPr>
      <w:r>
        <w:t>PAP is the key personal lines auto form. It distinguishes liability, med payments/PIP, UM/UIM, and physical damage.</w:t>
      </w:r>
    </w:p>
    <w:p w14:paraId="66468651" w14:textId="77777777" w:rsidR="003442FE" w:rsidRDefault="00000000" w:rsidP="003B2FDD">
      <w:pPr>
        <w:pStyle w:val="Heading3"/>
      </w:pPr>
      <w:bookmarkStart w:id="164" w:name="business-auto-coverage-form"/>
      <w:bookmarkEnd w:id="163"/>
      <w:r>
        <w:t>Business auto coverage form</w:t>
      </w:r>
    </w:p>
    <w:p w14:paraId="3A9BC14B" w14:textId="77777777" w:rsidR="003442FE" w:rsidRDefault="00000000" w:rsidP="003B2FDD">
      <w:pPr>
        <w:pStyle w:val="FirstParagraph"/>
      </w:pPr>
      <w:r>
        <w:t>Business auto coverage uses covered auto symbols to define which autos apply to which coverages.</w:t>
      </w:r>
    </w:p>
    <w:p w14:paraId="04533B5B" w14:textId="77777777" w:rsidR="003442FE" w:rsidRDefault="00000000" w:rsidP="003B2FDD">
      <w:pPr>
        <w:pStyle w:val="Heading3"/>
      </w:pPr>
      <w:bookmarkStart w:id="165" w:name="bodily-injury-liability"/>
      <w:bookmarkEnd w:id="164"/>
      <w:r>
        <w:t>Bodily injury liability</w:t>
      </w:r>
    </w:p>
    <w:p w14:paraId="0818D520" w14:textId="77777777" w:rsidR="003442FE" w:rsidRDefault="00000000" w:rsidP="003B2FDD">
      <w:pPr>
        <w:pStyle w:val="FirstParagraph"/>
      </w:pPr>
      <w:r>
        <w:t>BI liability pays covered injury damages to third parties and may provide defense.</w:t>
      </w:r>
    </w:p>
    <w:p w14:paraId="3BB4CF8B" w14:textId="77777777" w:rsidR="003442FE" w:rsidRDefault="00000000" w:rsidP="003B2FDD">
      <w:pPr>
        <w:pStyle w:val="Heading3"/>
      </w:pPr>
      <w:bookmarkStart w:id="166" w:name="property-damage-liability"/>
      <w:bookmarkEnd w:id="165"/>
      <w:r>
        <w:t>Property damage liability</w:t>
      </w:r>
    </w:p>
    <w:p w14:paraId="228AD3B3" w14:textId="77777777" w:rsidR="003442FE" w:rsidRDefault="00000000" w:rsidP="003B2FDD">
      <w:pPr>
        <w:pStyle w:val="FirstParagraph"/>
      </w:pPr>
      <w:r>
        <w:t>PD liability pays for damage to others’ vehicles or property. In Texas, minimum auto liability includes a property damage limit.</w:t>
      </w:r>
    </w:p>
    <w:p w14:paraId="42E84974" w14:textId="77777777" w:rsidR="003442FE" w:rsidRDefault="00000000" w:rsidP="003B2FDD">
      <w:pPr>
        <w:pStyle w:val="Heading3"/>
      </w:pPr>
      <w:bookmarkStart w:id="167" w:name="split-limits"/>
      <w:bookmarkEnd w:id="166"/>
      <w:r>
        <w:t>Split limits</w:t>
      </w:r>
    </w:p>
    <w:p w14:paraId="6456AF4B" w14:textId="77777777" w:rsidR="003442FE" w:rsidRDefault="00000000" w:rsidP="003B2FDD">
      <w:pPr>
        <w:pStyle w:val="FirstParagraph"/>
      </w:pPr>
      <w:r>
        <w:t>Split limits are shown as three numbers, e.g., 30/60/25. They cap different parts of a claim separately.</w:t>
      </w:r>
    </w:p>
    <w:p w14:paraId="6C8FCD60" w14:textId="77777777" w:rsidR="003442FE" w:rsidRDefault="00000000" w:rsidP="003B2FDD">
      <w:pPr>
        <w:pStyle w:val="Heading3"/>
      </w:pPr>
      <w:bookmarkStart w:id="168" w:name="combined-single-limit-csl"/>
      <w:bookmarkEnd w:id="167"/>
      <w:r>
        <w:lastRenderedPageBreak/>
        <w:t>Combined single limit (CSL)</w:t>
      </w:r>
    </w:p>
    <w:p w14:paraId="63C6C2C0" w14:textId="77777777" w:rsidR="003442FE" w:rsidRDefault="00000000" w:rsidP="003B2FDD">
      <w:pPr>
        <w:pStyle w:val="FirstParagraph"/>
      </w:pPr>
      <w:r>
        <w:t>CSL provides one pool for bodily injury and property damage combined. It can be more flexible than split limits.</w:t>
      </w:r>
    </w:p>
    <w:p w14:paraId="5B2A28B9" w14:textId="77777777" w:rsidR="003442FE" w:rsidRDefault="00000000" w:rsidP="003B2FDD">
      <w:pPr>
        <w:pStyle w:val="Heading3"/>
      </w:pPr>
      <w:bookmarkStart w:id="169" w:name="medical-payments-coverage"/>
      <w:bookmarkEnd w:id="168"/>
      <w:r>
        <w:t>Medical payments coverage</w:t>
      </w:r>
    </w:p>
    <w:p w14:paraId="7B692D66" w14:textId="77777777" w:rsidR="003442FE" w:rsidRDefault="00000000" w:rsidP="003B2FDD">
      <w:pPr>
        <w:pStyle w:val="FirstParagraph"/>
      </w:pPr>
      <w:r>
        <w:t>Medical payments is first-party/no-fault auto coverage for medical expenses.</w:t>
      </w:r>
    </w:p>
    <w:p w14:paraId="0CFFAD5A" w14:textId="77777777" w:rsidR="003442FE" w:rsidRDefault="00000000" w:rsidP="003B2FDD">
      <w:pPr>
        <w:pStyle w:val="Heading3"/>
      </w:pPr>
      <w:bookmarkStart w:id="170" w:name="collision-coverage"/>
      <w:bookmarkEnd w:id="169"/>
      <w:r>
        <w:t>Collision coverage</w:t>
      </w:r>
    </w:p>
    <w:p w14:paraId="47A9FC95" w14:textId="77777777" w:rsidR="003442FE" w:rsidRDefault="00000000" w:rsidP="003B2FDD">
      <w:pPr>
        <w:pStyle w:val="FirstParagraph"/>
      </w:pPr>
      <w:r>
        <w:t>Collision covers upset or impact with another vehicle/object. It usually has a deductible.</w:t>
      </w:r>
    </w:p>
    <w:p w14:paraId="5F4BC462" w14:textId="77777777" w:rsidR="003442FE" w:rsidRDefault="00000000" w:rsidP="003B2FDD">
      <w:pPr>
        <w:pStyle w:val="Heading3"/>
      </w:pPr>
      <w:bookmarkStart w:id="171" w:name="other-than-collision-coverage"/>
      <w:bookmarkEnd w:id="170"/>
      <w:r>
        <w:t>Other than collision coverage</w:t>
      </w:r>
    </w:p>
    <w:p w14:paraId="78B9BEC9" w14:textId="77777777" w:rsidR="003442FE" w:rsidRDefault="00000000" w:rsidP="003B2FDD">
      <w:pPr>
        <w:pStyle w:val="FirstParagraph"/>
      </w:pPr>
      <w:r>
        <w:t>Other-than-collision is often called comprehensive. It covers non-collision physical damage causes listed or defined in the policy.</w:t>
      </w:r>
    </w:p>
    <w:p w14:paraId="08D92766" w14:textId="77777777" w:rsidR="003442FE" w:rsidRDefault="00000000" w:rsidP="003B2FDD">
      <w:pPr>
        <w:pStyle w:val="Heading3"/>
      </w:pPr>
      <w:bookmarkStart w:id="172" w:name="specified-perils-auto-coverage"/>
      <w:bookmarkEnd w:id="171"/>
      <w:r>
        <w:t>Specified perils auto coverage</w:t>
      </w:r>
    </w:p>
    <w:p w14:paraId="0DC929A2" w14:textId="77777777" w:rsidR="003442FE" w:rsidRDefault="00000000" w:rsidP="003B2FDD">
      <w:pPr>
        <w:pStyle w:val="FirstParagraph"/>
      </w:pPr>
      <w:r>
        <w:t>Specified perils is narrower than comprehensive/other-than-collision. It pays only for listed causes such as fire, theft, explosion, windstorm, hail, flood, mischief, or transportation perils depending on form.</w:t>
      </w:r>
    </w:p>
    <w:p w14:paraId="794EDA74" w14:textId="77777777" w:rsidR="003442FE" w:rsidRDefault="00000000" w:rsidP="003B2FDD">
      <w:pPr>
        <w:pStyle w:val="Heading3"/>
      </w:pPr>
      <w:bookmarkStart w:id="173" w:name="uninsured-motorist-um-coverage"/>
      <w:bookmarkEnd w:id="172"/>
      <w:r>
        <w:t>Uninsured motorist (UM) coverage</w:t>
      </w:r>
    </w:p>
    <w:p w14:paraId="611F9398" w14:textId="77777777" w:rsidR="003442FE" w:rsidRDefault="00000000" w:rsidP="003B2FDD">
      <w:pPr>
        <w:pStyle w:val="FirstParagraph"/>
      </w:pPr>
      <w:r>
        <w:t>UM responds when the legally liable driver lacks insurance. In Texas it must be offered and rejected in writing if not wanted.</w:t>
      </w:r>
    </w:p>
    <w:p w14:paraId="136E0703" w14:textId="77777777" w:rsidR="003442FE" w:rsidRDefault="00000000" w:rsidP="003B2FDD">
      <w:pPr>
        <w:pStyle w:val="Heading3"/>
      </w:pPr>
      <w:bookmarkStart w:id="174" w:name="underinsured-motorist-uim-coverage"/>
      <w:bookmarkEnd w:id="173"/>
      <w:r>
        <w:t>Underinsured motorist (UIM) coverage</w:t>
      </w:r>
    </w:p>
    <w:p w14:paraId="7F0FBAEE" w14:textId="77777777" w:rsidR="003442FE" w:rsidRDefault="00000000" w:rsidP="003B2FDD">
      <w:pPr>
        <w:pStyle w:val="FirstParagraph"/>
      </w:pPr>
      <w:r>
        <w:t>UIM fills the gap when the other driver’s limits are too low, subject to the insured’s UIM terms.</w:t>
      </w:r>
    </w:p>
    <w:p w14:paraId="1983292F" w14:textId="77777777" w:rsidR="003442FE" w:rsidRDefault="00000000" w:rsidP="003B2FDD">
      <w:pPr>
        <w:pStyle w:val="Heading3"/>
      </w:pPr>
      <w:bookmarkStart w:id="175" w:name="owned-auto"/>
      <w:bookmarkEnd w:id="174"/>
      <w:r>
        <w:t>Owned auto</w:t>
      </w:r>
    </w:p>
    <w:p w14:paraId="57CFB921" w14:textId="77777777" w:rsidR="003442FE" w:rsidRDefault="00000000" w:rsidP="003B2FDD">
      <w:pPr>
        <w:pStyle w:val="FirstParagraph"/>
      </w:pPr>
      <w:r>
        <w:t>Owned autos are listed or otherwise qualify as owned covered autos.</w:t>
      </w:r>
    </w:p>
    <w:p w14:paraId="56FE04A6" w14:textId="77777777" w:rsidR="003442FE" w:rsidRDefault="00000000" w:rsidP="003B2FDD">
      <w:pPr>
        <w:pStyle w:val="Heading3"/>
      </w:pPr>
      <w:bookmarkStart w:id="176" w:name="non-owned-auto"/>
      <w:bookmarkEnd w:id="175"/>
      <w:r>
        <w:t>Non-owned auto</w:t>
      </w:r>
    </w:p>
    <w:p w14:paraId="6A053017" w14:textId="77777777" w:rsidR="003442FE" w:rsidRDefault="00000000" w:rsidP="003B2FDD">
      <w:pPr>
        <w:pStyle w:val="FirstParagraph"/>
      </w:pPr>
      <w:r>
        <w:t>Non-owned auto coverage is important for employer liability when employees use personal cars for business.</w:t>
      </w:r>
    </w:p>
    <w:p w14:paraId="6412CFC0" w14:textId="77777777" w:rsidR="003442FE" w:rsidRDefault="00000000" w:rsidP="003B2FDD">
      <w:pPr>
        <w:pStyle w:val="Heading3"/>
      </w:pPr>
      <w:bookmarkStart w:id="177" w:name="hired-auto"/>
      <w:bookmarkEnd w:id="176"/>
      <w:r>
        <w:t>Hired auto</w:t>
      </w:r>
    </w:p>
    <w:p w14:paraId="40B8DA15" w14:textId="77777777" w:rsidR="003442FE" w:rsidRDefault="00000000" w:rsidP="003B2FDD">
      <w:pPr>
        <w:pStyle w:val="FirstParagraph"/>
      </w:pPr>
      <w:r>
        <w:t>Hired auto coverage is common in business auto. It is distinct from owned autos and employee-owned non-owned autos.</w:t>
      </w:r>
    </w:p>
    <w:p w14:paraId="0E932F99" w14:textId="77777777" w:rsidR="003442FE" w:rsidRDefault="00000000" w:rsidP="003B2FDD">
      <w:pPr>
        <w:pStyle w:val="Heading3"/>
      </w:pPr>
      <w:bookmarkStart w:id="178" w:name="temporary-substitute-auto"/>
      <w:bookmarkEnd w:id="177"/>
      <w:r>
        <w:t>Temporary substitute auto</w:t>
      </w:r>
    </w:p>
    <w:p w14:paraId="3F95BD80" w14:textId="77777777" w:rsidR="003442FE" w:rsidRDefault="00000000" w:rsidP="003B2FDD">
      <w:pPr>
        <w:pStyle w:val="FirstParagraph"/>
      </w:pPr>
      <w:r>
        <w:t>Temporary substitute autos keep coverage functioning while the covered auto is unavailable.</w:t>
      </w:r>
    </w:p>
    <w:p w14:paraId="6E93A4D3" w14:textId="77777777" w:rsidR="003442FE" w:rsidRDefault="00000000" w:rsidP="003B2FDD">
      <w:pPr>
        <w:pStyle w:val="Heading3"/>
      </w:pPr>
      <w:bookmarkStart w:id="179" w:name="newly-acquired-auto"/>
      <w:bookmarkEnd w:id="178"/>
      <w:r>
        <w:lastRenderedPageBreak/>
        <w:t>Newly acquired auto</w:t>
      </w:r>
    </w:p>
    <w:p w14:paraId="31271DE0" w14:textId="77777777" w:rsidR="003442FE" w:rsidRDefault="00000000" w:rsidP="003B2FDD">
      <w:pPr>
        <w:pStyle w:val="FirstParagraph"/>
      </w:pPr>
      <w:r>
        <w:t>Newly acquired auto rules protect against gaps but require notice within policy time limits.</w:t>
      </w:r>
    </w:p>
    <w:p w14:paraId="44B1F184" w14:textId="77777777" w:rsidR="003442FE" w:rsidRDefault="00000000" w:rsidP="003B2FDD">
      <w:pPr>
        <w:pStyle w:val="Heading3"/>
      </w:pPr>
      <w:bookmarkStart w:id="180" w:name="transportation-expense-coverage"/>
      <w:bookmarkEnd w:id="179"/>
      <w:r>
        <w:t>Transportation expense coverage</w:t>
      </w:r>
    </w:p>
    <w:p w14:paraId="798B384E" w14:textId="77777777" w:rsidR="003442FE" w:rsidRDefault="00000000" w:rsidP="003B2FDD">
      <w:pPr>
        <w:pStyle w:val="FirstParagraph"/>
      </w:pPr>
      <w:r>
        <w:t>Transportation expense helps with temporary substitute transportation after covered auto loss. It is subject to daily and maximum limits.</w:t>
      </w:r>
    </w:p>
    <w:p w14:paraId="6CFC02FE" w14:textId="77777777" w:rsidR="003442FE" w:rsidRDefault="00000000" w:rsidP="003B2FDD">
      <w:pPr>
        <w:pStyle w:val="Heading3"/>
      </w:pPr>
      <w:bookmarkStart w:id="181" w:name="rental-reimbursement-coverage"/>
      <w:bookmarkEnd w:id="180"/>
      <w:r>
        <w:t>Rental reimbursement coverage</w:t>
      </w:r>
    </w:p>
    <w:p w14:paraId="1B0BB174" w14:textId="77777777" w:rsidR="003442FE" w:rsidRDefault="00000000" w:rsidP="003B2FDD">
      <w:pPr>
        <w:pStyle w:val="FirstParagraph"/>
      </w:pPr>
      <w:r>
        <w:t>Rental reimbursement is an optional physical damage-related coverage subject to limits.</w:t>
      </w:r>
    </w:p>
    <w:p w14:paraId="2AA36743" w14:textId="77777777" w:rsidR="003442FE" w:rsidRDefault="00000000" w:rsidP="003B2FDD">
      <w:pPr>
        <w:pStyle w:val="Heading3"/>
      </w:pPr>
      <w:bookmarkStart w:id="182" w:name="garagekeepers-insurance"/>
      <w:bookmarkEnd w:id="181"/>
      <w:r>
        <w:t>Garagekeepers insurance</w:t>
      </w:r>
    </w:p>
    <w:p w14:paraId="59BD510D" w14:textId="77777777" w:rsidR="003442FE" w:rsidRDefault="00000000" w:rsidP="003B2FDD">
      <w:pPr>
        <w:pStyle w:val="FirstParagraph"/>
      </w:pPr>
      <w:r>
        <w:t>Garagekeepers coverage is important for auto dealers, repair shops, and parking operations. It may be legal liability, direct primary, or direct excess.</w:t>
      </w:r>
    </w:p>
    <w:p w14:paraId="4EDB4626" w14:textId="77777777" w:rsidR="003442FE" w:rsidRDefault="00000000" w:rsidP="003B2FDD">
      <w:pPr>
        <w:pStyle w:val="Heading3"/>
      </w:pPr>
      <w:bookmarkStart w:id="183" w:name="auto-dealers-coverage-form"/>
      <w:bookmarkEnd w:id="182"/>
      <w:r>
        <w:t>Auto Dealers Coverage Form</w:t>
      </w:r>
    </w:p>
    <w:p w14:paraId="4D1F0542" w14:textId="77777777" w:rsidR="003442FE" w:rsidRDefault="00000000" w:rsidP="003B2FDD">
      <w:pPr>
        <w:pStyle w:val="FirstParagraph"/>
      </w:pPr>
      <w:r>
        <w:t>Auto dealers form combines aspects of business auto and garage liability exposures.</w:t>
      </w:r>
    </w:p>
    <w:p w14:paraId="3A198C92" w14:textId="77777777" w:rsidR="003442FE" w:rsidRDefault="00000000" w:rsidP="003B2FDD">
      <w:pPr>
        <w:pStyle w:val="Heading3"/>
      </w:pPr>
      <w:bookmarkStart w:id="184" w:name="drive-other-car-doc-coverage"/>
      <w:bookmarkEnd w:id="183"/>
      <w:r>
        <w:t>Drive Other Car (DOC) coverage</w:t>
      </w:r>
    </w:p>
    <w:p w14:paraId="01327D7B" w14:textId="77777777" w:rsidR="003442FE" w:rsidRDefault="00000000" w:rsidP="003B2FDD">
      <w:pPr>
        <w:pStyle w:val="FirstParagraph"/>
      </w:pPr>
      <w:r>
        <w:t>DOC fills personal-use gaps for individuals furnished company cars.</w:t>
      </w:r>
    </w:p>
    <w:p w14:paraId="09049341" w14:textId="77777777" w:rsidR="003442FE" w:rsidRDefault="00000000" w:rsidP="003B2FDD">
      <w:pPr>
        <w:pStyle w:val="Heading3"/>
      </w:pPr>
      <w:bookmarkStart w:id="185" w:name="mobile-equipment"/>
      <w:bookmarkEnd w:id="184"/>
      <w:r>
        <w:t>Mobile equipment</w:t>
      </w:r>
    </w:p>
    <w:p w14:paraId="0F91E79B" w14:textId="77777777" w:rsidR="003442FE" w:rsidRDefault="00000000" w:rsidP="003B2FDD">
      <w:pPr>
        <w:pStyle w:val="FirstParagraph"/>
      </w:pPr>
      <w:r>
        <w:t>Mobile equipment is usually handled under CGL rather than auto unless subject to financial responsibility laws or used on public roads in certain ways.</w:t>
      </w:r>
    </w:p>
    <w:p w14:paraId="6B6ECCC2" w14:textId="77777777" w:rsidR="003442FE" w:rsidRDefault="00000000" w:rsidP="003B2FDD">
      <w:pPr>
        <w:pStyle w:val="Heading2"/>
      </w:pPr>
      <w:bookmarkStart w:id="186" w:name="Xc6a1a1ffc00a4a6768d82f7dff30e3308d63bbe"/>
      <w:bookmarkEnd w:id="162"/>
      <w:bookmarkEnd w:id="185"/>
      <w:r>
        <w:rPr>
          <w:highlight w:val="yellow"/>
        </w:rPr>
        <w:t>WC / crime / bonds / professional liability / umbrella</w:t>
      </w:r>
    </w:p>
    <w:p w14:paraId="14B20D73" w14:textId="77777777" w:rsidR="003442FE" w:rsidRDefault="00000000" w:rsidP="003B2FDD">
      <w:pPr>
        <w:pStyle w:val="Heading3"/>
      </w:pPr>
      <w:bookmarkStart w:id="187" w:name="workers-compensation-insurance"/>
      <w:r>
        <w:t>Workers compensation insurance</w:t>
      </w:r>
    </w:p>
    <w:p w14:paraId="0DBAC448" w14:textId="77777777" w:rsidR="003442FE" w:rsidRDefault="00000000" w:rsidP="003B2FDD">
      <w:pPr>
        <w:pStyle w:val="FirstParagraph"/>
      </w:pPr>
      <w:r>
        <w:t>Workers comp pays benefits required by workers compensation law, regardless of employer negligence. It is generally exclusive remedy.</w:t>
      </w:r>
    </w:p>
    <w:p w14:paraId="5108A6EB" w14:textId="77777777" w:rsidR="003442FE" w:rsidRDefault="00000000" w:rsidP="003B2FDD">
      <w:pPr>
        <w:pStyle w:val="Heading3"/>
      </w:pPr>
      <w:bookmarkStart w:id="188" w:name="employers-liability-insurance"/>
      <w:bookmarkEnd w:id="187"/>
      <w:r>
        <w:t>Employers liability insurance</w:t>
      </w:r>
    </w:p>
    <w:p w14:paraId="53F85804" w14:textId="77777777" w:rsidR="003442FE" w:rsidRDefault="00000000" w:rsidP="003B2FDD">
      <w:pPr>
        <w:pStyle w:val="FirstParagraph"/>
      </w:pPr>
      <w:r>
        <w:t>Employers liability is Part Two of the workers compensation policy. It responds to covered suits by employees or related third parties.</w:t>
      </w:r>
    </w:p>
    <w:p w14:paraId="795578B3" w14:textId="77777777" w:rsidR="003442FE" w:rsidRDefault="00000000" w:rsidP="003B2FDD">
      <w:pPr>
        <w:pStyle w:val="Heading3"/>
      </w:pPr>
      <w:bookmarkStart w:id="189" w:name="exclusive-remedy"/>
      <w:bookmarkEnd w:id="188"/>
      <w:r>
        <w:t>Exclusive remedy</w:t>
      </w:r>
    </w:p>
    <w:p w14:paraId="5F0476C4" w14:textId="77777777" w:rsidR="003442FE" w:rsidRDefault="00000000" w:rsidP="003B2FDD">
      <w:pPr>
        <w:pStyle w:val="FirstParagraph"/>
      </w:pPr>
      <w:r>
        <w:t>Exclusive remedy limits employee lawsuits when workers comp applies. It is central to the workers comp bargain.</w:t>
      </w:r>
    </w:p>
    <w:p w14:paraId="494D3444" w14:textId="77777777" w:rsidR="003442FE" w:rsidRDefault="00000000" w:rsidP="003B2FDD">
      <w:pPr>
        <w:pStyle w:val="Heading3"/>
      </w:pPr>
      <w:bookmarkStart w:id="190" w:name="other-states-insurance"/>
      <w:bookmarkEnd w:id="189"/>
      <w:r>
        <w:t>Other states insurance</w:t>
      </w:r>
    </w:p>
    <w:p w14:paraId="31DAE03B" w14:textId="77777777" w:rsidR="003442FE" w:rsidRDefault="00000000" w:rsidP="003B2FDD">
      <w:pPr>
        <w:pStyle w:val="FirstParagraph"/>
      </w:pPr>
      <w:r>
        <w:t>Other states insurance addresses incidental exposures in states where the employer may begin operations. It requires proper listing and notice.</w:t>
      </w:r>
    </w:p>
    <w:p w14:paraId="34D914DF" w14:textId="77777777" w:rsidR="003442FE" w:rsidRDefault="00000000" w:rsidP="003B2FDD">
      <w:pPr>
        <w:pStyle w:val="Heading3"/>
      </w:pPr>
      <w:bookmarkStart w:id="191" w:name="premium-determination---workers-comp"/>
      <w:bookmarkEnd w:id="190"/>
      <w:r>
        <w:lastRenderedPageBreak/>
        <w:t>Premium determination - workers comp</w:t>
      </w:r>
    </w:p>
    <w:p w14:paraId="070275E6" w14:textId="77777777" w:rsidR="003442FE" w:rsidRDefault="00000000" w:rsidP="003B2FDD">
      <w:pPr>
        <w:pStyle w:val="FirstParagraph"/>
      </w:pPr>
      <w:r>
        <w:t>Workers comp premium is heavily driven by employee class codes and payroll, adjusted by experience rating where applicable.</w:t>
      </w:r>
    </w:p>
    <w:p w14:paraId="0471A597" w14:textId="77777777" w:rsidR="003442FE" w:rsidRDefault="00000000" w:rsidP="003B2FDD">
      <w:pPr>
        <w:pStyle w:val="Heading3"/>
      </w:pPr>
      <w:bookmarkStart w:id="192" w:name="employee-dishonesty-coverage"/>
      <w:bookmarkEnd w:id="191"/>
      <w:r>
        <w:t>Employee dishonesty coverage</w:t>
      </w:r>
    </w:p>
    <w:p w14:paraId="16EA4BB4" w14:textId="77777777" w:rsidR="003442FE" w:rsidRDefault="00000000" w:rsidP="003B2FDD">
      <w:pPr>
        <w:pStyle w:val="FirstParagraph"/>
      </w:pPr>
      <w:r>
        <w:t>Employee dishonesty covers dishonest acts by employees, often subject to discovery and employee definitions.</w:t>
      </w:r>
    </w:p>
    <w:p w14:paraId="3566F48F" w14:textId="77777777" w:rsidR="003442FE" w:rsidRDefault="00000000" w:rsidP="003B2FDD">
      <w:pPr>
        <w:pStyle w:val="Heading3"/>
      </w:pPr>
      <w:bookmarkStart w:id="193" w:name="theft"/>
      <w:bookmarkEnd w:id="192"/>
      <w:r>
        <w:t>Theft</w:t>
      </w:r>
    </w:p>
    <w:p w14:paraId="49C0E651" w14:textId="77777777" w:rsidR="003442FE" w:rsidRDefault="00000000" w:rsidP="003B2FDD">
      <w:pPr>
        <w:pStyle w:val="FirstParagraph"/>
      </w:pPr>
      <w:r>
        <w:t>Theft is the broad taking concept and may include burglary or robbery depending on form definitions.</w:t>
      </w:r>
    </w:p>
    <w:p w14:paraId="08509F80" w14:textId="77777777" w:rsidR="003442FE" w:rsidRDefault="00000000" w:rsidP="003B2FDD">
      <w:pPr>
        <w:pStyle w:val="Heading3"/>
      </w:pPr>
      <w:bookmarkStart w:id="194" w:name="robbery"/>
      <w:bookmarkEnd w:id="193"/>
      <w:r>
        <w:t>Robbery</w:t>
      </w:r>
    </w:p>
    <w:p w14:paraId="18039E76" w14:textId="77777777" w:rsidR="003442FE" w:rsidRDefault="00000000" w:rsidP="003B2FDD">
      <w:pPr>
        <w:pStyle w:val="FirstParagraph"/>
      </w:pPr>
      <w:r>
        <w:t>Robbery involves a person/victim and force or threat.</w:t>
      </w:r>
    </w:p>
    <w:p w14:paraId="5DE2C7BE" w14:textId="77777777" w:rsidR="003442FE" w:rsidRDefault="00000000" w:rsidP="003B2FDD">
      <w:pPr>
        <w:pStyle w:val="Heading3"/>
      </w:pPr>
      <w:bookmarkStart w:id="195" w:name="burglary"/>
      <w:bookmarkEnd w:id="194"/>
      <w:r>
        <w:t>Burglary</w:t>
      </w:r>
    </w:p>
    <w:p w14:paraId="6015AAAC" w14:textId="77777777" w:rsidR="003442FE" w:rsidRDefault="00000000" w:rsidP="003B2FDD">
      <w:pPr>
        <w:pStyle w:val="FirstParagraph"/>
      </w:pPr>
      <w:r>
        <w:t>Burglary focuses on unlawful entry into premises. Policy definitions may require marks of forced entry.</w:t>
      </w:r>
    </w:p>
    <w:p w14:paraId="3A4182D8" w14:textId="77777777" w:rsidR="003442FE" w:rsidRDefault="00000000" w:rsidP="003B2FDD">
      <w:pPr>
        <w:pStyle w:val="Heading3"/>
      </w:pPr>
      <w:bookmarkStart w:id="196" w:name="forgery-or-alteration"/>
      <w:bookmarkEnd w:id="195"/>
      <w:r>
        <w:t>Forgery or alteration</w:t>
      </w:r>
    </w:p>
    <w:p w14:paraId="7E4563B1" w14:textId="77777777" w:rsidR="003442FE" w:rsidRDefault="00000000" w:rsidP="003B2FDD">
      <w:pPr>
        <w:pStyle w:val="FirstParagraph"/>
      </w:pPr>
      <w:r>
        <w:t>Forgery/alteration coverage protects against financial instrument manipulation.</w:t>
      </w:r>
    </w:p>
    <w:p w14:paraId="470E8B97" w14:textId="77777777" w:rsidR="003442FE" w:rsidRDefault="00000000" w:rsidP="003B2FDD">
      <w:pPr>
        <w:pStyle w:val="Heading3"/>
      </w:pPr>
      <w:bookmarkStart w:id="197" w:name="mysterious-disappearance"/>
      <w:bookmarkEnd w:id="196"/>
      <w:r>
        <w:t>Mysterious disappearance</w:t>
      </w:r>
    </w:p>
    <w:p w14:paraId="140DF74D" w14:textId="77777777" w:rsidR="003442FE" w:rsidRDefault="00000000" w:rsidP="003B2FDD">
      <w:pPr>
        <w:pStyle w:val="FirstParagraph"/>
      </w:pPr>
      <w:r>
        <w:t>Mysterious disappearance is often excluded or limited because the cause cannot be verified.</w:t>
      </w:r>
    </w:p>
    <w:p w14:paraId="76D4F779" w14:textId="77777777" w:rsidR="003442FE" w:rsidRDefault="00000000" w:rsidP="003B2FDD">
      <w:pPr>
        <w:pStyle w:val="Heading3"/>
      </w:pPr>
      <w:bookmarkStart w:id="198" w:name="surety-bond"/>
      <w:bookmarkEnd w:id="197"/>
      <w:r>
        <w:t>Surety bond</w:t>
      </w:r>
    </w:p>
    <w:p w14:paraId="6326C721" w14:textId="77777777" w:rsidR="003442FE" w:rsidRDefault="00000000" w:rsidP="003B2FDD">
      <w:pPr>
        <w:pStyle w:val="FirstParagraph"/>
      </w:pPr>
      <w:r>
        <w:t>Surety bonds involve principal, obligee, and surety. The surety expects reimbursement from the principal if it pays.</w:t>
      </w:r>
    </w:p>
    <w:p w14:paraId="61B225A9" w14:textId="77777777" w:rsidR="003442FE" w:rsidRDefault="00000000" w:rsidP="003B2FDD">
      <w:pPr>
        <w:pStyle w:val="Heading3"/>
      </w:pPr>
      <w:bookmarkStart w:id="199" w:name="fidelity-bond"/>
      <w:bookmarkEnd w:id="198"/>
      <w:r>
        <w:t>Fidelity bond</w:t>
      </w:r>
    </w:p>
    <w:p w14:paraId="0A5BBB16" w14:textId="77777777" w:rsidR="003442FE" w:rsidRDefault="00000000" w:rsidP="003B2FDD">
      <w:pPr>
        <w:pStyle w:val="FirstParagraph"/>
      </w:pPr>
      <w:r>
        <w:t>Fidelity bonds are similar to employee dishonesty coverage. They protect against dishonesty rather than guaranteeing contract performance.</w:t>
      </w:r>
    </w:p>
    <w:p w14:paraId="7C24E3AD" w14:textId="77777777" w:rsidR="003442FE" w:rsidRDefault="00000000" w:rsidP="003B2FDD">
      <w:pPr>
        <w:pStyle w:val="Heading3"/>
      </w:pPr>
      <w:bookmarkStart w:id="200" w:name="errors-and-omissions-eo"/>
      <w:bookmarkEnd w:id="199"/>
      <w:r>
        <w:t>Errors and Omissions (E&amp;O)</w:t>
      </w:r>
    </w:p>
    <w:p w14:paraId="2E3F55E4" w14:textId="77777777" w:rsidR="003442FE" w:rsidRDefault="00000000" w:rsidP="003B2FDD">
      <w:pPr>
        <w:pStyle w:val="FirstParagraph"/>
      </w:pPr>
      <w:r>
        <w:t>E&amp;O covers financial injury from professional mistakes, often on claims-made forms. Critical for insurance agents.</w:t>
      </w:r>
    </w:p>
    <w:p w14:paraId="4ECED0FD" w14:textId="77777777" w:rsidR="003442FE" w:rsidRDefault="00000000" w:rsidP="003B2FDD">
      <w:pPr>
        <w:pStyle w:val="Heading3"/>
      </w:pPr>
      <w:bookmarkStart w:id="201" w:name="medical-malpractice"/>
      <w:bookmarkEnd w:id="200"/>
      <w:r>
        <w:t>Medical malpractice</w:t>
      </w:r>
    </w:p>
    <w:p w14:paraId="6F34467C" w14:textId="77777777" w:rsidR="003442FE" w:rsidRDefault="00000000" w:rsidP="003B2FDD">
      <w:pPr>
        <w:pStyle w:val="FirstParagraph"/>
      </w:pPr>
      <w:r>
        <w:t>Medical malpractice is a professional liability form for medical services. It is often claims-made and has specialized consent/defense features.</w:t>
      </w:r>
    </w:p>
    <w:p w14:paraId="4380F550" w14:textId="77777777" w:rsidR="003442FE" w:rsidRDefault="00000000" w:rsidP="003B2FDD">
      <w:pPr>
        <w:pStyle w:val="Heading3"/>
      </w:pPr>
      <w:bookmarkStart w:id="202" w:name="directors-and-officers-do"/>
      <w:bookmarkEnd w:id="201"/>
      <w:r>
        <w:lastRenderedPageBreak/>
        <w:t>Directors and Officers (D&amp;O)</w:t>
      </w:r>
    </w:p>
    <w:p w14:paraId="454FD80D" w14:textId="77777777" w:rsidR="003442FE" w:rsidRDefault="00000000" w:rsidP="003B2FDD">
      <w:pPr>
        <w:pStyle w:val="FirstParagraph"/>
      </w:pPr>
      <w:r>
        <w:t>D&amp;O addresses managerial decisions and governance claims. It may protect individuals and reimburse the organization.</w:t>
      </w:r>
    </w:p>
    <w:p w14:paraId="23204A55" w14:textId="77777777" w:rsidR="003442FE" w:rsidRDefault="00000000" w:rsidP="003B2FDD">
      <w:pPr>
        <w:pStyle w:val="Heading3"/>
      </w:pPr>
      <w:bookmarkStart w:id="203" w:name="X1f2c39a26c296c6a6109a035bae521a7142fa8a"/>
      <w:bookmarkEnd w:id="202"/>
      <w:r>
        <w:t>Employment Practices Liability Insurance (EPLI)</w:t>
      </w:r>
    </w:p>
    <w:p w14:paraId="28D07007" w14:textId="77777777" w:rsidR="003442FE" w:rsidRDefault="00000000" w:rsidP="003B2FDD">
      <w:pPr>
        <w:pStyle w:val="FirstParagraph"/>
      </w:pPr>
      <w:r>
        <w:t>EPLI covers workplace practice claims by employees or applicants.</w:t>
      </w:r>
    </w:p>
    <w:p w14:paraId="5F668B84" w14:textId="77777777" w:rsidR="003442FE" w:rsidRDefault="00000000" w:rsidP="003B2FDD">
      <w:pPr>
        <w:pStyle w:val="Heading3"/>
      </w:pPr>
      <w:bookmarkStart w:id="204" w:name="cyber-liability-and-data-breach-coverage"/>
      <w:bookmarkEnd w:id="203"/>
      <w:r>
        <w:t>Cyber liability and data breach coverage</w:t>
      </w:r>
    </w:p>
    <w:p w14:paraId="7C033206" w14:textId="77777777" w:rsidR="003442FE" w:rsidRDefault="00000000" w:rsidP="003B2FDD">
      <w:pPr>
        <w:pStyle w:val="FirstParagraph"/>
      </w:pPr>
      <w:r>
        <w:t>Cyber coverage may include first-party and third-party insuring agreements.</w:t>
      </w:r>
    </w:p>
    <w:p w14:paraId="21A2FFAD" w14:textId="77777777" w:rsidR="003442FE" w:rsidRDefault="00000000" w:rsidP="003B2FDD">
      <w:pPr>
        <w:pStyle w:val="Heading3"/>
      </w:pPr>
      <w:bookmarkStart w:id="205" w:name="liquor-liability"/>
      <w:bookmarkEnd w:id="204"/>
      <w:r>
        <w:t>Liquor liability</w:t>
      </w:r>
    </w:p>
    <w:p w14:paraId="05374E1E" w14:textId="77777777" w:rsidR="003442FE" w:rsidRDefault="00000000" w:rsidP="003B2FDD">
      <w:pPr>
        <w:pStyle w:val="FirstParagraph"/>
      </w:pPr>
      <w:r>
        <w:t>Liquor liability is needed by bars, restaurants, and sellers/servers of alcohol.</w:t>
      </w:r>
    </w:p>
    <w:p w14:paraId="35BC8634" w14:textId="77777777" w:rsidR="003442FE" w:rsidRDefault="00000000" w:rsidP="003B2FDD">
      <w:pPr>
        <w:pStyle w:val="Heading3"/>
      </w:pPr>
      <w:bookmarkStart w:id="206" w:name="umbrella-liability-policy"/>
      <w:bookmarkEnd w:id="205"/>
      <w:r>
        <w:t>Umbrella liability policy</w:t>
      </w:r>
    </w:p>
    <w:p w14:paraId="1C75404D" w14:textId="77777777" w:rsidR="003442FE" w:rsidRDefault="00000000" w:rsidP="003B2FDD">
      <w:pPr>
        <w:pStyle w:val="FirstParagraph"/>
      </w:pPr>
      <w:r>
        <w:t>Umbrella liability sits above primary policies and may broaden some coverage. It is critical for catastrophic liability losses.</w:t>
      </w:r>
    </w:p>
    <w:p w14:paraId="5930816B" w14:textId="77777777" w:rsidR="003442FE" w:rsidRDefault="00000000" w:rsidP="003B2FDD">
      <w:pPr>
        <w:pStyle w:val="Heading3"/>
      </w:pPr>
      <w:bookmarkStart w:id="207" w:name="excess-liability-policy"/>
      <w:bookmarkEnd w:id="206"/>
      <w:r>
        <w:t>Excess liability policy</w:t>
      </w:r>
    </w:p>
    <w:p w14:paraId="34E1CF99" w14:textId="77777777" w:rsidR="003442FE" w:rsidRDefault="00000000" w:rsidP="003B2FDD">
      <w:pPr>
        <w:pStyle w:val="FirstParagraph"/>
      </w:pPr>
      <w:r>
        <w:t>Excess liability increases limits after underlying limits are exhausted.</w:t>
      </w:r>
    </w:p>
    <w:p w14:paraId="55E5DF5F" w14:textId="77777777" w:rsidR="003442FE" w:rsidRDefault="00000000" w:rsidP="003B2FDD">
      <w:pPr>
        <w:pStyle w:val="Heading2"/>
      </w:pPr>
      <w:bookmarkStart w:id="208" w:name="texas-licensing-and-tdi-authority"/>
      <w:bookmarkEnd w:id="186"/>
      <w:bookmarkEnd w:id="207"/>
      <w:r>
        <w:rPr>
          <w:highlight w:val="yellow"/>
        </w:rPr>
        <w:t>Texas licensing and TDI authority</w:t>
      </w:r>
    </w:p>
    <w:p w14:paraId="6EB72197" w14:textId="77777777" w:rsidR="003442FE" w:rsidRDefault="00000000" w:rsidP="003B2FDD">
      <w:pPr>
        <w:pStyle w:val="Heading3"/>
      </w:pPr>
      <w:bookmarkStart w:id="209" w:name="texas-pc-exam-structure"/>
      <w:r>
        <w:t>Texas P&amp;C exam structure</w:t>
      </w:r>
    </w:p>
    <w:p w14:paraId="02909525" w14:textId="77777777" w:rsidR="003442FE" w:rsidRDefault="00000000" w:rsidP="003B2FDD">
      <w:pPr>
        <w:pStyle w:val="FirstParagraph"/>
      </w:pPr>
      <w:r>
        <w:t>The Texas General Lines Property and Casualty path includes a 100-scoreable-question general knowledge portion plus 10 pretest questions and a 30-scoreable-question state-specific portion plus 5 pretest questions. Pretest questions are unscored.</w:t>
      </w:r>
    </w:p>
    <w:p w14:paraId="7FB66682" w14:textId="77777777" w:rsidR="003442FE" w:rsidRDefault="00000000" w:rsidP="003B2FDD">
      <w:pPr>
        <w:pStyle w:val="Heading3"/>
      </w:pPr>
      <w:bookmarkStart w:id="210" w:name="commissioner-of-insurance"/>
      <w:bookmarkEnd w:id="209"/>
      <w:r>
        <w:t>Commissioner of Insurance</w:t>
      </w:r>
    </w:p>
    <w:p w14:paraId="138780AB" w14:textId="77777777" w:rsidR="003442FE" w:rsidRDefault="00000000" w:rsidP="003B2FDD">
      <w:pPr>
        <w:pStyle w:val="FirstParagraph"/>
      </w:pPr>
      <w:r>
        <w:t>The Commissioner leads TDI insurance regulation, including licensing, examinations, investigations, rules, orders, and enforcement.</w:t>
      </w:r>
    </w:p>
    <w:p w14:paraId="505FD8D7" w14:textId="77777777" w:rsidR="003442FE" w:rsidRDefault="00000000" w:rsidP="003B2FDD">
      <w:pPr>
        <w:pStyle w:val="Heading3"/>
      </w:pPr>
      <w:bookmarkStart w:id="211" w:name="examination-of-records"/>
      <w:bookmarkEnd w:id="210"/>
      <w:r>
        <w:t>Examination of records</w:t>
      </w:r>
    </w:p>
    <w:p w14:paraId="080E9D34" w14:textId="77777777" w:rsidR="003442FE" w:rsidRDefault="00000000" w:rsidP="003B2FDD">
      <w:pPr>
        <w:pStyle w:val="FirstParagraph"/>
      </w:pPr>
      <w:r>
        <w:t>Record examinations support enforcement and market conduct oversight. Agents must maintain required records and make them available as required.</w:t>
      </w:r>
    </w:p>
    <w:p w14:paraId="33B1995A" w14:textId="77777777" w:rsidR="003442FE" w:rsidRDefault="00000000" w:rsidP="003B2FDD">
      <w:pPr>
        <w:pStyle w:val="Heading3"/>
      </w:pPr>
      <w:bookmarkStart w:id="212" w:name="investigation-and-notice-of-hearing"/>
      <w:bookmarkEnd w:id="211"/>
      <w:r>
        <w:t>Investigation and notice of hearing</w:t>
      </w:r>
    </w:p>
    <w:p w14:paraId="3F54D3C8" w14:textId="77777777" w:rsidR="003442FE" w:rsidRDefault="00000000" w:rsidP="003B2FDD">
      <w:pPr>
        <w:pStyle w:val="FirstParagraph"/>
      </w:pPr>
      <w:r>
        <w:t>Investigations gather facts; hearings provide due process before certain sanctions. Important because license discipline requires procedural protections.</w:t>
      </w:r>
    </w:p>
    <w:p w14:paraId="344D8170" w14:textId="77777777" w:rsidR="003442FE" w:rsidRDefault="00000000" w:rsidP="003B2FDD">
      <w:pPr>
        <w:pStyle w:val="Heading3"/>
      </w:pPr>
      <w:bookmarkStart w:id="213" w:name="administrative-penalty"/>
      <w:bookmarkEnd w:id="212"/>
      <w:r>
        <w:lastRenderedPageBreak/>
        <w:t>Administrative penalty</w:t>
      </w:r>
    </w:p>
    <w:p w14:paraId="1C6B811A" w14:textId="77777777" w:rsidR="003442FE" w:rsidRDefault="00000000" w:rsidP="003B2FDD">
      <w:pPr>
        <w:pStyle w:val="FirstParagraph"/>
      </w:pPr>
      <w:r>
        <w:t>Administrative penalties are regulatory fines or sanctions. The outline flags penalties as a state-specific topic; always verify current statutory amounts for exact penalty questions.</w:t>
      </w:r>
    </w:p>
    <w:p w14:paraId="63448CFF" w14:textId="77777777" w:rsidR="003442FE" w:rsidRDefault="00000000" w:rsidP="003B2FDD">
      <w:pPr>
        <w:pStyle w:val="Heading3"/>
      </w:pPr>
      <w:bookmarkStart w:id="214" w:name="cease-and-desist-order"/>
      <w:bookmarkEnd w:id="213"/>
      <w:r>
        <w:t>Cease and desist order</w:t>
      </w:r>
    </w:p>
    <w:p w14:paraId="57E20893" w14:textId="77777777" w:rsidR="003442FE" w:rsidRDefault="00000000" w:rsidP="003B2FDD">
      <w:pPr>
        <w:pStyle w:val="FirstParagraph"/>
      </w:pPr>
      <w:r>
        <w:t>A cease and desist order is used to halt prohibited conduct. Violating such an order can lead to additional sanctions.</w:t>
      </w:r>
    </w:p>
    <w:p w14:paraId="156FC57F" w14:textId="77777777" w:rsidR="003442FE" w:rsidRDefault="00000000" w:rsidP="003B2FDD">
      <w:pPr>
        <w:pStyle w:val="Heading3"/>
      </w:pPr>
      <w:bookmarkStart w:id="215" w:name="certificate-of-authority"/>
      <w:bookmarkEnd w:id="214"/>
      <w:r>
        <w:t>Certificate of authority</w:t>
      </w:r>
    </w:p>
    <w:p w14:paraId="7BF867A9" w14:textId="77777777" w:rsidR="003442FE" w:rsidRDefault="00000000" w:rsidP="003B2FDD">
      <w:pPr>
        <w:pStyle w:val="FirstParagraph"/>
      </w:pPr>
      <w:r>
        <w:t>A certificate of authority is insurer-level authorization from the state.</w:t>
      </w:r>
    </w:p>
    <w:p w14:paraId="03ADA606" w14:textId="77777777" w:rsidR="003442FE" w:rsidRDefault="00000000" w:rsidP="003B2FDD">
      <w:pPr>
        <w:pStyle w:val="Heading3"/>
      </w:pPr>
      <w:bookmarkStart w:id="216" w:name="transacting-insurance"/>
      <w:bookmarkEnd w:id="215"/>
      <w:r>
        <w:t>Transacting insurance</w:t>
      </w:r>
    </w:p>
    <w:p w14:paraId="37C6EFC0" w14:textId="77777777" w:rsidR="003442FE" w:rsidRDefault="00000000" w:rsidP="003B2FDD">
      <w:pPr>
        <w:pStyle w:val="FirstParagraph"/>
      </w:pPr>
      <w:r>
        <w:t>Transacting insurance is broadly regulated. A license may be required before soliciting, negotiating, selling, or servicing insurance.</w:t>
      </w:r>
    </w:p>
    <w:p w14:paraId="65E85BBC" w14:textId="77777777" w:rsidR="003442FE" w:rsidRDefault="00000000" w:rsidP="003B2FDD">
      <w:pPr>
        <w:pStyle w:val="Heading3"/>
      </w:pPr>
      <w:bookmarkStart w:id="217" w:name="domestic-insurer"/>
      <w:bookmarkEnd w:id="216"/>
      <w:r>
        <w:t>Domestic insurer</w:t>
      </w:r>
    </w:p>
    <w:p w14:paraId="1E1423F9" w14:textId="77777777" w:rsidR="003442FE" w:rsidRDefault="00000000" w:rsidP="003B2FDD">
      <w:pPr>
        <w:pStyle w:val="FirstParagraph"/>
      </w:pPr>
      <w:r>
        <w:t>Domestic means formed under Texas law.</w:t>
      </w:r>
    </w:p>
    <w:p w14:paraId="05B4D7C9" w14:textId="77777777" w:rsidR="003442FE" w:rsidRDefault="00000000" w:rsidP="003B2FDD">
      <w:pPr>
        <w:pStyle w:val="Heading3"/>
      </w:pPr>
      <w:bookmarkStart w:id="218" w:name="foreign-insurer"/>
      <w:bookmarkEnd w:id="217"/>
      <w:r>
        <w:t>Foreign insurer</w:t>
      </w:r>
    </w:p>
    <w:p w14:paraId="05C6E2B6" w14:textId="77777777" w:rsidR="003442FE" w:rsidRDefault="00000000" w:rsidP="003B2FDD">
      <w:pPr>
        <w:pStyle w:val="FirstParagraph"/>
      </w:pPr>
      <w:r>
        <w:t>Foreign insurer does not mean outside the U.S.; it means outside Texas but within another U.S. jurisdiction.</w:t>
      </w:r>
    </w:p>
    <w:p w14:paraId="39F4056F" w14:textId="77777777" w:rsidR="003442FE" w:rsidRDefault="00000000" w:rsidP="003B2FDD">
      <w:pPr>
        <w:pStyle w:val="Heading3"/>
      </w:pPr>
      <w:bookmarkStart w:id="219" w:name="alien-insurer"/>
      <w:bookmarkEnd w:id="218"/>
      <w:r>
        <w:t>Alien insurer</w:t>
      </w:r>
    </w:p>
    <w:p w14:paraId="61813855" w14:textId="77777777" w:rsidR="003442FE" w:rsidRDefault="00000000" w:rsidP="003B2FDD">
      <w:pPr>
        <w:pStyle w:val="FirstParagraph"/>
      </w:pPr>
      <w:r>
        <w:t>Alien insurer means non-U.S. insurer.</w:t>
      </w:r>
    </w:p>
    <w:p w14:paraId="355AF9E2" w14:textId="77777777" w:rsidR="003442FE" w:rsidRDefault="00000000" w:rsidP="003B2FDD">
      <w:pPr>
        <w:pStyle w:val="Heading3"/>
      </w:pPr>
      <w:bookmarkStart w:id="220" w:name="stock-insurer"/>
      <w:bookmarkEnd w:id="219"/>
      <w:r>
        <w:t>Stock insurer</w:t>
      </w:r>
    </w:p>
    <w:p w14:paraId="7E31273E" w14:textId="77777777" w:rsidR="003442FE" w:rsidRDefault="00000000" w:rsidP="003B2FDD">
      <w:pPr>
        <w:pStyle w:val="FirstParagraph"/>
      </w:pPr>
      <w:r>
        <w:t>A stock insurer is owned by stockholders and generally operates for profit.</w:t>
      </w:r>
    </w:p>
    <w:p w14:paraId="3EBB750D" w14:textId="77777777" w:rsidR="003442FE" w:rsidRDefault="00000000" w:rsidP="003B2FDD">
      <w:pPr>
        <w:pStyle w:val="Heading3"/>
      </w:pPr>
      <w:bookmarkStart w:id="221" w:name="mutual-insurer"/>
      <w:bookmarkEnd w:id="220"/>
      <w:r>
        <w:t>Mutual insurer</w:t>
      </w:r>
    </w:p>
    <w:p w14:paraId="3886538F" w14:textId="77777777" w:rsidR="003442FE" w:rsidRDefault="00000000" w:rsidP="003B2FDD">
      <w:pPr>
        <w:pStyle w:val="FirstParagraph"/>
      </w:pPr>
      <w:r>
        <w:t>A mutual insurer is owned by policyholders and may pay dividends when declared.</w:t>
      </w:r>
    </w:p>
    <w:p w14:paraId="144054A4" w14:textId="77777777" w:rsidR="003442FE" w:rsidRDefault="00000000" w:rsidP="003B2FDD">
      <w:pPr>
        <w:pStyle w:val="Heading3"/>
      </w:pPr>
      <w:bookmarkStart w:id="222" w:name="admitted-insurer"/>
      <w:bookmarkEnd w:id="221"/>
      <w:r>
        <w:t>Admitted insurer</w:t>
      </w:r>
    </w:p>
    <w:p w14:paraId="02FBDA32" w14:textId="77777777" w:rsidR="003442FE" w:rsidRDefault="00000000" w:rsidP="003B2FDD">
      <w:pPr>
        <w:pStyle w:val="FirstParagraph"/>
      </w:pPr>
      <w:r>
        <w:t>Admitted insurers have state authorization/certificate of authority. They are subject to Texas regulation and guaranty mechanisms as applicable.</w:t>
      </w:r>
    </w:p>
    <w:p w14:paraId="12EE4FA3" w14:textId="77777777" w:rsidR="003442FE" w:rsidRDefault="00000000" w:rsidP="003B2FDD">
      <w:pPr>
        <w:pStyle w:val="Heading3"/>
      </w:pPr>
      <w:bookmarkStart w:id="223" w:name="nonadmitted-insurer"/>
      <w:bookmarkEnd w:id="222"/>
      <w:r>
        <w:t>Nonadmitted insurer</w:t>
      </w:r>
    </w:p>
    <w:p w14:paraId="5B71DEC8" w14:textId="77777777" w:rsidR="003442FE" w:rsidRDefault="00000000" w:rsidP="003B2FDD">
      <w:pPr>
        <w:pStyle w:val="FirstParagraph"/>
      </w:pPr>
      <w:r>
        <w:t>Nonadmitted does not automatically mean illegal; surplus lines rules can allow placement when admitted markets are unavailable.</w:t>
      </w:r>
    </w:p>
    <w:p w14:paraId="3A7C82D6" w14:textId="77777777" w:rsidR="003442FE" w:rsidRDefault="00000000" w:rsidP="003B2FDD">
      <w:pPr>
        <w:pStyle w:val="Heading3"/>
      </w:pPr>
      <w:bookmarkStart w:id="224" w:name="texas-lloyds"/>
      <w:bookmarkEnd w:id="223"/>
      <w:r>
        <w:lastRenderedPageBreak/>
        <w:t>Texas Lloyds</w:t>
      </w:r>
    </w:p>
    <w:p w14:paraId="55B41FF6" w14:textId="77777777" w:rsidR="003442FE" w:rsidRDefault="00000000" w:rsidP="003B2FDD">
      <w:pPr>
        <w:pStyle w:val="FirstParagraph"/>
      </w:pPr>
      <w:r>
        <w:t>Texas Lloyds is a specific insurer structure referenced in the state outline. It is not the same as Lloyd’s of London, though both use underwriter concepts.</w:t>
      </w:r>
    </w:p>
    <w:p w14:paraId="7A3B007F" w14:textId="77777777" w:rsidR="003442FE" w:rsidRDefault="00000000" w:rsidP="003B2FDD">
      <w:pPr>
        <w:pStyle w:val="Heading3"/>
      </w:pPr>
      <w:bookmarkStart w:id="225" w:name="Xf4834f30a4ef5a988f48cca07c7e245d0ab9316"/>
      <w:bookmarkEnd w:id="224"/>
      <w:r>
        <w:t>General Lines Property and Casualty Agent</w:t>
      </w:r>
    </w:p>
    <w:p w14:paraId="448F0A10" w14:textId="77777777" w:rsidR="003442FE" w:rsidRDefault="00000000" w:rsidP="003B2FDD">
      <w:pPr>
        <w:pStyle w:val="FirstParagraph"/>
      </w:pPr>
      <w:r>
        <w:t>General Lines P&amp;C is the broad P&amp;C agent license relevant to this exam. It is broader than personal lines or limited lines.</w:t>
      </w:r>
    </w:p>
    <w:p w14:paraId="3E81E074" w14:textId="77777777" w:rsidR="003442FE" w:rsidRDefault="00000000" w:rsidP="003B2FDD">
      <w:pPr>
        <w:pStyle w:val="Heading3"/>
      </w:pPr>
      <w:bookmarkStart w:id="226" w:name="agency-license"/>
      <w:bookmarkEnd w:id="225"/>
      <w:r>
        <w:t>Agency license</w:t>
      </w:r>
    </w:p>
    <w:p w14:paraId="178C9769" w14:textId="77777777" w:rsidR="003442FE" w:rsidRDefault="00000000" w:rsidP="003B2FDD">
      <w:pPr>
        <w:pStyle w:val="FirstParagraph"/>
      </w:pPr>
      <w:r>
        <w:t>Agencies may need entity licensing in addition to individual agent licensing. Important because entities and individuals have separate compliance duties.</w:t>
      </w:r>
    </w:p>
    <w:p w14:paraId="079965C0" w14:textId="77777777" w:rsidR="003442FE" w:rsidRDefault="00000000" w:rsidP="003B2FDD">
      <w:pPr>
        <w:pStyle w:val="Heading3"/>
      </w:pPr>
      <w:bookmarkStart w:id="227" w:name="nonresident-agent"/>
      <w:bookmarkEnd w:id="226"/>
      <w:r>
        <w:t>Nonresident agent</w:t>
      </w:r>
    </w:p>
    <w:p w14:paraId="22E1189F" w14:textId="77777777" w:rsidR="003442FE" w:rsidRDefault="00000000" w:rsidP="003B2FDD">
      <w:pPr>
        <w:pStyle w:val="FirstParagraph"/>
      </w:pPr>
      <w:r>
        <w:t>Nonresident agents generally rely on reciprocity and home-state licensing, subject to Texas rules.</w:t>
      </w:r>
    </w:p>
    <w:p w14:paraId="307A4323" w14:textId="77777777" w:rsidR="003442FE" w:rsidRDefault="00000000" w:rsidP="003B2FDD">
      <w:pPr>
        <w:pStyle w:val="Heading3"/>
      </w:pPr>
      <w:bookmarkStart w:id="228" w:name="temporary-license"/>
      <w:bookmarkEnd w:id="227"/>
      <w:r>
        <w:t>Temporary license</w:t>
      </w:r>
    </w:p>
    <w:p w14:paraId="5D6E521B" w14:textId="77777777" w:rsidR="003442FE" w:rsidRDefault="00000000" w:rsidP="003B2FDD">
      <w:pPr>
        <w:pStyle w:val="FirstParagraph"/>
      </w:pPr>
      <w:r>
        <w:t>Temporary licenses are limited exceptions, often used for transition or emergency business continuity. They are not permanent authority.</w:t>
      </w:r>
    </w:p>
    <w:p w14:paraId="6C50BF15" w14:textId="77777777" w:rsidR="003442FE" w:rsidRDefault="00000000" w:rsidP="003B2FDD">
      <w:pPr>
        <w:pStyle w:val="Heading3"/>
      </w:pPr>
      <w:bookmarkStart w:id="229" w:name="limited-license"/>
      <w:bookmarkEnd w:id="228"/>
      <w:r>
        <w:t>Limited license</w:t>
      </w:r>
    </w:p>
    <w:p w14:paraId="70BF6A55" w14:textId="77777777" w:rsidR="003442FE" w:rsidRDefault="00000000" w:rsidP="003B2FDD">
      <w:pPr>
        <w:pStyle w:val="FirstParagraph"/>
      </w:pPr>
      <w:r>
        <w:t>Limited license authority is narrower than General Lines P&amp;C.</w:t>
      </w:r>
    </w:p>
    <w:p w14:paraId="7A5F39AF" w14:textId="77777777" w:rsidR="003442FE" w:rsidRDefault="00000000" w:rsidP="003B2FDD">
      <w:pPr>
        <w:pStyle w:val="Heading3"/>
      </w:pPr>
      <w:bookmarkStart w:id="230" w:name="managing-general-agent-mga"/>
      <w:bookmarkEnd w:id="229"/>
      <w:r>
        <w:t>Managing general agent (MGA)</w:t>
      </w:r>
    </w:p>
    <w:p w14:paraId="3234E3B0" w14:textId="77777777" w:rsidR="003442FE" w:rsidRDefault="00000000" w:rsidP="003B2FDD">
      <w:pPr>
        <w:pStyle w:val="FirstParagraph"/>
      </w:pPr>
      <w:r>
        <w:t>An MGA may manage underwriting, bind coverage, appoint agents, or handle claims depending on agreement and law.</w:t>
      </w:r>
    </w:p>
    <w:p w14:paraId="320FAD2E" w14:textId="77777777" w:rsidR="003442FE" w:rsidRDefault="00000000" w:rsidP="003B2FDD">
      <w:pPr>
        <w:pStyle w:val="Heading3"/>
      </w:pPr>
      <w:bookmarkStart w:id="231" w:name="surplus-lines-agent"/>
      <w:bookmarkEnd w:id="230"/>
      <w:r>
        <w:t>Surplus lines agent</w:t>
      </w:r>
    </w:p>
    <w:p w14:paraId="1E739A2D" w14:textId="77777777" w:rsidR="003442FE" w:rsidRDefault="00000000" w:rsidP="003B2FDD">
      <w:pPr>
        <w:pStyle w:val="FirstParagraph"/>
      </w:pPr>
      <w:r>
        <w:t>Surplus lines agents must follow diligent search, eligibility, disclosure, and tax/filing rules.</w:t>
      </w:r>
    </w:p>
    <w:p w14:paraId="53EE695E" w14:textId="77777777" w:rsidR="003442FE" w:rsidRDefault="00000000" w:rsidP="003B2FDD">
      <w:pPr>
        <w:pStyle w:val="Heading3"/>
      </w:pPr>
      <w:bookmarkStart w:id="232" w:name="adjuster"/>
      <w:bookmarkEnd w:id="231"/>
      <w:r>
        <w:t>Adjuster</w:t>
      </w:r>
    </w:p>
    <w:p w14:paraId="7C4D1DC0" w14:textId="77777777" w:rsidR="003442FE" w:rsidRDefault="00000000" w:rsidP="003B2FDD">
      <w:pPr>
        <w:pStyle w:val="FirstParagraph"/>
      </w:pPr>
      <w:r>
        <w:t>Adjuster authority is claim-focused. The P&amp;C agent exam references adjusters as a license type, but the adjuster exam is separate.</w:t>
      </w:r>
    </w:p>
    <w:p w14:paraId="357B5074" w14:textId="77777777" w:rsidR="003442FE" w:rsidRDefault="00000000" w:rsidP="003B2FDD">
      <w:pPr>
        <w:pStyle w:val="Heading3"/>
      </w:pPr>
      <w:bookmarkStart w:id="233" w:name="risk-manager"/>
      <w:bookmarkEnd w:id="232"/>
      <w:r>
        <w:t>Risk manager</w:t>
      </w:r>
    </w:p>
    <w:p w14:paraId="56CA35CD" w14:textId="77777777" w:rsidR="003442FE" w:rsidRDefault="00000000" w:rsidP="003B2FDD">
      <w:pPr>
        <w:pStyle w:val="FirstParagraph"/>
      </w:pPr>
      <w:r>
        <w:t>Risk managers analyze exposures and recommend risk treatment. Licensing may be required when acting for compensation.</w:t>
      </w:r>
    </w:p>
    <w:p w14:paraId="267ED423" w14:textId="77777777" w:rsidR="003442FE" w:rsidRDefault="00000000" w:rsidP="003B2FDD">
      <w:pPr>
        <w:pStyle w:val="Heading3"/>
      </w:pPr>
      <w:bookmarkStart w:id="234" w:name="emergency-license"/>
      <w:bookmarkEnd w:id="233"/>
      <w:r>
        <w:t>Emergency license</w:t>
      </w:r>
    </w:p>
    <w:p w14:paraId="6A9D144F" w14:textId="77777777" w:rsidR="003442FE" w:rsidRDefault="00000000" w:rsidP="003B2FDD">
      <w:pPr>
        <w:pStyle w:val="FirstParagraph"/>
      </w:pPr>
      <w:r>
        <w:t>Emergency licenses provide temporary authority when allowed by law due to emergency conditions.</w:t>
      </w:r>
    </w:p>
    <w:p w14:paraId="2721137C" w14:textId="77777777" w:rsidR="003442FE" w:rsidRDefault="00000000" w:rsidP="003B2FDD">
      <w:pPr>
        <w:pStyle w:val="Heading3"/>
      </w:pPr>
      <w:bookmarkStart w:id="235" w:name="agent-appointment"/>
      <w:bookmarkEnd w:id="234"/>
      <w:r>
        <w:lastRenderedPageBreak/>
        <w:t>Agent appointment</w:t>
      </w:r>
    </w:p>
    <w:p w14:paraId="3AF54E65" w14:textId="77777777" w:rsidR="003442FE" w:rsidRDefault="00000000" w:rsidP="003B2FDD">
      <w:pPr>
        <w:pStyle w:val="FirstParagraph"/>
      </w:pPr>
      <w:r>
        <w:t>Appointment is insurer authorization/registration for the agent to act for that insurer.</w:t>
      </w:r>
    </w:p>
    <w:p w14:paraId="6FCD4411" w14:textId="77777777" w:rsidR="003442FE" w:rsidRDefault="00000000" w:rsidP="003B2FDD">
      <w:pPr>
        <w:pStyle w:val="Heading3"/>
      </w:pPr>
      <w:bookmarkStart w:id="236" w:name="continuing-education-ce"/>
      <w:bookmarkEnd w:id="235"/>
      <w:r>
        <w:t>Continuing education (CE)</w:t>
      </w:r>
    </w:p>
    <w:p w14:paraId="30B9360A" w14:textId="77777777" w:rsidR="003442FE" w:rsidRDefault="00000000" w:rsidP="003B2FDD">
      <w:pPr>
        <w:pStyle w:val="FirstParagraph"/>
      </w:pPr>
      <w:r>
        <w:t>TDI states General Lines P&amp;C licensees must complete 24 CE hours every two years, including 3 ethics hours, with at least half classroom or classroom equivalent.</w:t>
      </w:r>
    </w:p>
    <w:p w14:paraId="4C5AECD5" w14:textId="77777777" w:rsidR="003442FE" w:rsidRDefault="00000000" w:rsidP="003B2FDD">
      <w:pPr>
        <w:pStyle w:val="Heading3"/>
      </w:pPr>
      <w:bookmarkStart w:id="237" w:name="ce-fine"/>
      <w:bookmarkEnd w:id="236"/>
      <w:r>
        <w:t>CE fine</w:t>
      </w:r>
    </w:p>
    <w:p w14:paraId="573C80FE" w14:textId="77777777" w:rsidR="003442FE" w:rsidRDefault="00000000" w:rsidP="003B2FDD">
      <w:pPr>
        <w:pStyle w:val="FirstParagraph"/>
      </w:pPr>
      <w:r>
        <w:t>TDI states CE fines are $50 per deficient hour, with a $500 cap per license type for licenses expired after June 1, 2018. The CE must still be completed.</w:t>
      </w:r>
    </w:p>
    <w:p w14:paraId="472D7367" w14:textId="77777777" w:rsidR="003442FE" w:rsidRDefault="00000000" w:rsidP="003B2FDD">
      <w:pPr>
        <w:pStyle w:val="Heading3"/>
      </w:pPr>
      <w:bookmarkStart w:id="238" w:name="license-renewal-fee"/>
      <w:bookmarkEnd w:id="237"/>
      <w:r>
        <w:t>License renewal fee</w:t>
      </w:r>
    </w:p>
    <w:p w14:paraId="35B11C2C" w14:textId="77777777" w:rsidR="003442FE" w:rsidRDefault="00000000" w:rsidP="003B2FDD">
      <w:pPr>
        <w:pStyle w:val="FirstParagraph"/>
      </w:pPr>
      <w:r>
        <w:t>TDI’s license-management page lists a renewal fee and late fee if not paid by expiration. Important as a procedural compliance point.</w:t>
      </w:r>
    </w:p>
    <w:p w14:paraId="66929115" w14:textId="77777777" w:rsidR="003442FE" w:rsidRDefault="00000000" w:rsidP="003B2FDD">
      <w:pPr>
        <w:pStyle w:val="Heading3"/>
      </w:pPr>
      <w:bookmarkStart w:id="239" w:name="records-maintenance"/>
      <w:bookmarkEnd w:id="238"/>
      <w:r>
        <w:t>Records maintenance</w:t>
      </w:r>
    </w:p>
    <w:p w14:paraId="1FD4CF50" w14:textId="77777777" w:rsidR="003442FE" w:rsidRDefault="00000000" w:rsidP="003B2FDD">
      <w:pPr>
        <w:pStyle w:val="FirstParagraph"/>
      </w:pPr>
      <w:r>
        <w:t>The outline specifically includes records maintenance. Agents must keep required transaction and licensing records and make them available as required.</w:t>
      </w:r>
    </w:p>
    <w:p w14:paraId="4221ED21" w14:textId="77777777" w:rsidR="003442FE" w:rsidRDefault="00000000" w:rsidP="003B2FDD">
      <w:pPr>
        <w:pStyle w:val="Heading3"/>
      </w:pPr>
      <w:bookmarkStart w:id="240" w:name="change-of-contact-information"/>
      <w:bookmarkEnd w:id="239"/>
      <w:r>
        <w:t>Change of contact information</w:t>
      </w:r>
    </w:p>
    <w:p w14:paraId="2A92E641" w14:textId="77777777" w:rsidR="003442FE" w:rsidRDefault="00000000" w:rsidP="003B2FDD">
      <w:pPr>
        <w:pStyle w:val="FirstParagraph"/>
      </w:pPr>
      <w:r>
        <w:t>TDI says licensees must notify the department immediately of contact, legal name, business name, or address changes, and the outline cites TIC 4001.252 for certain notifications.</w:t>
      </w:r>
    </w:p>
    <w:p w14:paraId="6098083B" w14:textId="77777777" w:rsidR="003442FE" w:rsidRDefault="00000000" w:rsidP="003B2FDD">
      <w:pPr>
        <w:pStyle w:val="Heading3"/>
      </w:pPr>
      <w:bookmarkStart w:id="241" w:name="felony-conviction-notification"/>
      <w:bookmarkEnd w:id="240"/>
      <w:r>
        <w:t>Felony conviction notification</w:t>
      </w:r>
    </w:p>
    <w:p w14:paraId="43809740" w14:textId="77777777" w:rsidR="003442FE" w:rsidRDefault="00000000" w:rsidP="003B2FDD">
      <w:pPr>
        <w:pStyle w:val="FirstParagraph"/>
      </w:pPr>
      <w:r>
        <w:t>The state outline specifically lists felony convictions as a notification topic. Failure to report can create disciplinary issues.</w:t>
      </w:r>
    </w:p>
    <w:p w14:paraId="37374798" w14:textId="77777777" w:rsidR="003442FE" w:rsidRDefault="00000000" w:rsidP="003B2FDD">
      <w:pPr>
        <w:pStyle w:val="Heading3"/>
      </w:pPr>
      <w:bookmarkStart w:id="242" w:name="administrative-action-notification"/>
      <w:bookmarkEnd w:id="241"/>
      <w:r>
        <w:t>Administrative action notification</w:t>
      </w:r>
    </w:p>
    <w:p w14:paraId="5EC267C9" w14:textId="77777777" w:rsidR="003442FE" w:rsidRDefault="00000000" w:rsidP="003B2FDD">
      <w:pPr>
        <w:pStyle w:val="FirstParagraph"/>
      </w:pPr>
      <w:r>
        <w:t>Administrative actions by regulators must be reported under the notification topics in the outline. Important because non-reporting can itself be a violation.</w:t>
      </w:r>
    </w:p>
    <w:p w14:paraId="6314747E" w14:textId="77777777" w:rsidR="003442FE" w:rsidRDefault="00000000" w:rsidP="003B2FDD">
      <w:pPr>
        <w:pStyle w:val="Heading3"/>
      </w:pPr>
      <w:bookmarkStart w:id="243" w:name="license-denial"/>
      <w:bookmarkEnd w:id="242"/>
      <w:r>
        <w:t>License denial</w:t>
      </w:r>
    </w:p>
    <w:p w14:paraId="22C5E3E3" w14:textId="77777777" w:rsidR="003442FE" w:rsidRDefault="00000000" w:rsidP="003B2FDD">
      <w:pPr>
        <w:pStyle w:val="FirstParagraph"/>
      </w:pPr>
      <w:r>
        <w:t>Denial can result from disqualifying conduct, incomplete requirements, or lack of trustworthiness.</w:t>
      </w:r>
    </w:p>
    <w:p w14:paraId="1CC43457" w14:textId="77777777" w:rsidR="003442FE" w:rsidRDefault="00000000" w:rsidP="003B2FDD">
      <w:pPr>
        <w:pStyle w:val="Heading3"/>
      </w:pPr>
      <w:bookmarkStart w:id="244" w:name="license-suspension"/>
      <w:bookmarkEnd w:id="243"/>
      <w:r>
        <w:t>License suspension</w:t>
      </w:r>
    </w:p>
    <w:p w14:paraId="2E189BEA" w14:textId="77777777" w:rsidR="003442FE" w:rsidRDefault="00000000" w:rsidP="003B2FDD">
      <w:pPr>
        <w:pStyle w:val="FirstParagraph"/>
      </w:pPr>
      <w:r>
        <w:t>Suspension is disciplinary and can be probated or time-limited depending on order.</w:t>
      </w:r>
    </w:p>
    <w:p w14:paraId="01221D3A" w14:textId="77777777" w:rsidR="003442FE" w:rsidRDefault="00000000" w:rsidP="003B2FDD">
      <w:pPr>
        <w:pStyle w:val="Heading3"/>
      </w:pPr>
      <w:bookmarkStart w:id="245" w:name="license-revocation"/>
      <w:bookmarkEnd w:id="244"/>
      <w:r>
        <w:t>License revocation</w:t>
      </w:r>
    </w:p>
    <w:p w14:paraId="14C7FCE9" w14:textId="77777777" w:rsidR="003442FE" w:rsidRDefault="00000000" w:rsidP="003B2FDD">
      <w:pPr>
        <w:pStyle w:val="FirstParagraph"/>
      </w:pPr>
      <w:r>
        <w:t>Revocation removes authority and may require waiting/reapplying under statutory rules.</w:t>
      </w:r>
    </w:p>
    <w:p w14:paraId="573E2B05" w14:textId="77777777" w:rsidR="003442FE" w:rsidRDefault="00000000" w:rsidP="003B2FDD">
      <w:pPr>
        <w:pStyle w:val="Heading2"/>
      </w:pPr>
      <w:bookmarkStart w:id="246" w:name="texas-unfair-practices-and-marketing"/>
      <w:bookmarkEnd w:id="208"/>
      <w:bookmarkEnd w:id="245"/>
      <w:r>
        <w:rPr>
          <w:highlight w:val="yellow"/>
        </w:rPr>
        <w:lastRenderedPageBreak/>
        <w:t>Texas unfair practices and marketing</w:t>
      </w:r>
    </w:p>
    <w:p w14:paraId="070542E3" w14:textId="77777777" w:rsidR="003442FE" w:rsidRDefault="00000000" w:rsidP="003B2FDD">
      <w:pPr>
        <w:pStyle w:val="Heading3"/>
      </w:pPr>
      <w:bookmarkStart w:id="247" w:name="unfair-or-prohibited-trade-practice"/>
      <w:r>
        <w:t>Unfair or prohibited trade practice</w:t>
      </w:r>
    </w:p>
    <w:p w14:paraId="6FE3B503" w14:textId="77777777" w:rsidR="003442FE" w:rsidRDefault="00000000" w:rsidP="003B2FDD">
      <w:pPr>
        <w:pStyle w:val="FirstParagraph"/>
      </w:pPr>
      <w:r>
        <w:t>Unfair/prohibited practices are heavily tested in state law. They include misrepresentation, false advertising, rebating, discrimination, boycott/coercion/intimidation, and unfair claims practices.</w:t>
      </w:r>
    </w:p>
    <w:p w14:paraId="0DA416EC" w14:textId="77777777" w:rsidR="003442FE" w:rsidRDefault="00000000" w:rsidP="003B2FDD">
      <w:pPr>
        <w:pStyle w:val="Heading3"/>
      </w:pPr>
      <w:bookmarkStart w:id="248" w:name="unfair-claims-methods-and-practices"/>
      <w:bookmarkEnd w:id="247"/>
      <w:r>
        <w:t>Unfair claims methods and practices</w:t>
      </w:r>
    </w:p>
    <w:p w14:paraId="6B1025B0" w14:textId="77777777" w:rsidR="003442FE" w:rsidRDefault="00000000" w:rsidP="003B2FDD">
      <w:pPr>
        <w:pStyle w:val="FirstParagraph"/>
      </w:pPr>
      <w:r>
        <w:t>Unfair claims practices are critical because legal deadlines and good-faith obligations attach to claim handling.</w:t>
      </w:r>
    </w:p>
    <w:p w14:paraId="6582B57D" w14:textId="77777777" w:rsidR="003442FE" w:rsidRDefault="00000000" w:rsidP="003B2FDD">
      <w:pPr>
        <w:pStyle w:val="Heading3"/>
      </w:pPr>
      <w:bookmarkStart w:id="249" w:name="false-advertising"/>
      <w:bookmarkEnd w:id="248"/>
      <w:r>
        <w:t>False advertising</w:t>
      </w:r>
    </w:p>
    <w:p w14:paraId="6279739F" w14:textId="77777777" w:rsidR="003442FE" w:rsidRDefault="00000000" w:rsidP="003B2FDD">
      <w:pPr>
        <w:pStyle w:val="FirstParagraph"/>
      </w:pPr>
      <w:r>
        <w:t>False advertising can mislead consumers and trigger discipline.</w:t>
      </w:r>
    </w:p>
    <w:p w14:paraId="68557439" w14:textId="77777777" w:rsidR="003442FE" w:rsidRDefault="00000000" w:rsidP="003B2FDD">
      <w:pPr>
        <w:pStyle w:val="Heading3"/>
      </w:pPr>
      <w:bookmarkStart w:id="250" w:name="defamation"/>
      <w:bookmarkEnd w:id="249"/>
      <w:r>
        <w:t>Defamation</w:t>
      </w:r>
    </w:p>
    <w:p w14:paraId="3158AA44" w14:textId="77777777" w:rsidR="003442FE" w:rsidRDefault="00000000" w:rsidP="003B2FDD">
      <w:pPr>
        <w:pStyle w:val="FirstParagraph"/>
      </w:pPr>
      <w:r>
        <w:t>Defamation harms competitors and market trust. It is listed in the Texas state-specific outline.</w:t>
      </w:r>
    </w:p>
    <w:p w14:paraId="3188BA56" w14:textId="77777777" w:rsidR="003442FE" w:rsidRDefault="00000000" w:rsidP="003B2FDD">
      <w:pPr>
        <w:pStyle w:val="Heading3"/>
      </w:pPr>
      <w:bookmarkStart w:id="251" w:name="controlled-business"/>
      <w:bookmarkEnd w:id="250"/>
      <w:r>
        <w:t>Controlled business</w:t>
      </w:r>
    </w:p>
    <w:p w14:paraId="65614198" w14:textId="77777777" w:rsidR="003442FE" w:rsidRDefault="00000000" w:rsidP="003B2FDD">
      <w:pPr>
        <w:pStyle w:val="FirstParagraph"/>
      </w:pPr>
      <w:r>
        <w:t>Controlled business rules prevent using a license mainly for self-dealing.</w:t>
      </w:r>
    </w:p>
    <w:p w14:paraId="5F1E4194" w14:textId="77777777" w:rsidR="003442FE" w:rsidRDefault="00000000" w:rsidP="003B2FDD">
      <w:pPr>
        <w:pStyle w:val="Heading3"/>
      </w:pPr>
      <w:bookmarkStart w:id="252" w:name="rebating"/>
      <w:bookmarkEnd w:id="251"/>
      <w:r>
        <w:t>Rebating</w:t>
      </w:r>
    </w:p>
    <w:p w14:paraId="26C6B10B" w14:textId="77777777" w:rsidR="003442FE" w:rsidRDefault="00000000" w:rsidP="003B2FDD">
      <w:pPr>
        <w:pStyle w:val="FirstParagraph"/>
      </w:pPr>
      <w:r>
        <w:t>Rebating creates unfair competition and is restricted by Texas law.</w:t>
      </w:r>
    </w:p>
    <w:p w14:paraId="2F82CA83" w14:textId="77777777" w:rsidR="003442FE" w:rsidRDefault="00000000" w:rsidP="003B2FDD">
      <w:pPr>
        <w:pStyle w:val="Heading3"/>
      </w:pPr>
      <w:bookmarkStart w:id="253" w:name="unfair-discrimination"/>
      <w:bookmarkEnd w:id="252"/>
      <w:r>
        <w:t>Unfair discrimination</w:t>
      </w:r>
    </w:p>
    <w:p w14:paraId="479FE36C" w14:textId="77777777" w:rsidR="003442FE" w:rsidRDefault="00000000" w:rsidP="003B2FDD">
      <w:pPr>
        <w:pStyle w:val="FirstParagraph"/>
      </w:pPr>
      <w:r>
        <w:t>Unfair discrimination is not all discrimination; underwriting distinctions are allowed when based on risk and law.</w:t>
      </w:r>
    </w:p>
    <w:p w14:paraId="5BE48C49" w14:textId="77777777" w:rsidR="003442FE" w:rsidRDefault="00000000" w:rsidP="003B2FDD">
      <w:pPr>
        <w:pStyle w:val="Heading3"/>
      </w:pPr>
      <w:bookmarkStart w:id="254" w:name="boycott-coercion-intimidation"/>
      <w:bookmarkEnd w:id="253"/>
      <w:r>
        <w:t>Boycott, coercion, intimidation</w:t>
      </w:r>
    </w:p>
    <w:p w14:paraId="69E6B57E" w14:textId="77777777" w:rsidR="003442FE" w:rsidRDefault="00000000" w:rsidP="003B2FDD">
      <w:pPr>
        <w:pStyle w:val="FirstParagraph"/>
      </w:pPr>
      <w:r>
        <w:t>Boycott/coercion/intimidation harms free insurance markets and consumers.</w:t>
      </w:r>
    </w:p>
    <w:p w14:paraId="52CD8EF8" w14:textId="77777777" w:rsidR="003442FE" w:rsidRDefault="00000000" w:rsidP="003B2FDD">
      <w:pPr>
        <w:pStyle w:val="Heading3"/>
      </w:pPr>
      <w:bookmarkStart w:id="255" w:name="commission-sharing"/>
      <w:bookmarkEnd w:id="254"/>
      <w:r>
        <w:t>Commission sharing</w:t>
      </w:r>
    </w:p>
    <w:p w14:paraId="32F2A506" w14:textId="77777777" w:rsidR="003442FE" w:rsidRDefault="00000000" w:rsidP="003B2FDD">
      <w:pPr>
        <w:pStyle w:val="FirstParagraph"/>
      </w:pPr>
      <w:r>
        <w:t>Commission sharing is regulated; paying unlicensed persons for activities requiring a license can violate law.</w:t>
      </w:r>
    </w:p>
    <w:p w14:paraId="21B1A45C" w14:textId="77777777" w:rsidR="003442FE" w:rsidRDefault="00000000" w:rsidP="003B2FDD">
      <w:pPr>
        <w:pStyle w:val="Heading3"/>
      </w:pPr>
      <w:bookmarkStart w:id="256" w:name="rating-and-underwriting-practices"/>
      <w:bookmarkEnd w:id="255"/>
      <w:r>
        <w:t>Rating and underwriting practices</w:t>
      </w:r>
    </w:p>
    <w:p w14:paraId="36FB1458" w14:textId="77777777" w:rsidR="003442FE" w:rsidRDefault="00000000" w:rsidP="003B2FDD">
      <w:pPr>
        <w:pStyle w:val="FirstParagraph"/>
      </w:pPr>
      <w:r>
        <w:t>Rating/underwriting practices must be lawful, not unfairly discriminatory, and consistent with Texas filing/rate rules.</w:t>
      </w:r>
    </w:p>
    <w:p w14:paraId="59485347" w14:textId="77777777" w:rsidR="003442FE" w:rsidRDefault="00000000" w:rsidP="003B2FDD">
      <w:pPr>
        <w:pStyle w:val="Heading2"/>
      </w:pPr>
      <w:bookmarkStart w:id="257" w:name="texas-property-rules"/>
      <w:bookmarkEnd w:id="246"/>
      <w:bookmarkEnd w:id="256"/>
      <w:r>
        <w:rPr>
          <w:highlight w:val="yellow"/>
        </w:rPr>
        <w:lastRenderedPageBreak/>
        <w:t>Texas property rules</w:t>
      </w:r>
    </w:p>
    <w:p w14:paraId="46AFA66E" w14:textId="77777777" w:rsidR="003442FE" w:rsidRDefault="00000000" w:rsidP="003B2FDD">
      <w:pPr>
        <w:pStyle w:val="Heading3"/>
      </w:pPr>
      <w:bookmarkStart w:id="258" w:name="approval-of-rates-and-forms"/>
      <w:r>
        <w:t>Approval of rates and forms</w:t>
      </w:r>
    </w:p>
    <w:p w14:paraId="5B90A96B" w14:textId="77777777" w:rsidR="003442FE" w:rsidRDefault="00000000" w:rsidP="003B2FDD">
      <w:pPr>
        <w:pStyle w:val="FirstParagraph"/>
      </w:pPr>
      <w:r>
        <w:t>Texas regulates rates and forms to ensure compliance with statutory standards. The outline cites this as a P&amp;C-specific state topic.</w:t>
      </w:r>
    </w:p>
    <w:p w14:paraId="57C05772" w14:textId="77777777" w:rsidR="003442FE" w:rsidRDefault="00000000" w:rsidP="003B2FDD">
      <w:pPr>
        <w:pStyle w:val="Heading3"/>
      </w:pPr>
      <w:bookmarkStart w:id="259" w:name="surplus-lines-in-texas"/>
      <w:bookmarkEnd w:id="258"/>
      <w:r>
        <w:t>Surplus lines in Texas</w:t>
      </w:r>
    </w:p>
    <w:p w14:paraId="08E787A2" w14:textId="77777777" w:rsidR="003442FE" w:rsidRDefault="00000000" w:rsidP="003B2FDD">
      <w:pPr>
        <w:pStyle w:val="FirstParagraph"/>
      </w:pPr>
      <w:r>
        <w:t>Surplus lines allows coverage through eligible nonadmitted insurers under regulatory controls. Important for hard-to-place risks.</w:t>
      </w:r>
    </w:p>
    <w:p w14:paraId="354B15D0" w14:textId="77777777" w:rsidR="003442FE" w:rsidRDefault="00000000" w:rsidP="003B2FDD">
      <w:pPr>
        <w:pStyle w:val="Heading3"/>
      </w:pPr>
      <w:bookmarkStart w:id="260" w:name="homeowners-declination"/>
      <w:bookmarkEnd w:id="259"/>
      <w:r>
        <w:t>Homeowners declination</w:t>
      </w:r>
    </w:p>
    <w:p w14:paraId="1C909CBD" w14:textId="77777777" w:rsidR="003442FE" w:rsidRDefault="00000000" w:rsidP="003B2FDD">
      <w:pPr>
        <w:pStyle w:val="FirstParagraph"/>
      </w:pPr>
      <w:r>
        <w:t>Declination is refusal to issue coverage. Texas rules address declination, cancellation, and nonrenewal separately.</w:t>
      </w:r>
    </w:p>
    <w:p w14:paraId="72D9BFC5" w14:textId="77777777" w:rsidR="003442FE" w:rsidRDefault="00000000" w:rsidP="003B2FDD">
      <w:pPr>
        <w:pStyle w:val="Heading3"/>
      </w:pPr>
      <w:bookmarkStart w:id="261" w:name="texas-homeowners-cancellation-notice"/>
      <w:bookmarkEnd w:id="260"/>
      <w:r>
        <w:t>Texas homeowners cancellation notice</w:t>
      </w:r>
    </w:p>
    <w:p w14:paraId="269EE2DA" w14:textId="77777777" w:rsidR="003442FE" w:rsidRDefault="00000000" w:rsidP="003B2FDD">
      <w:pPr>
        <w:pStyle w:val="FirstParagraph"/>
      </w:pPr>
      <w:r>
        <w:t>TDI’s home guide says a company must give 10 days’ notice before canceling a homeowners policy and lists limited permissible reasons after initial periods.</w:t>
      </w:r>
    </w:p>
    <w:p w14:paraId="38718975" w14:textId="77777777" w:rsidR="003442FE" w:rsidRDefault="00000000" w:rsidP="003B2FDD">
      <w:pPr>
        <w:pStyle w:val="Heading3"/>
      </w:pPr>
      <w:bookmarkStart w:id="262" w:name="texas-homeowners-nonrenewal-notice"/>
      <w:bookmarkEnd w:id="261"/>
      <w:r>
        <w:t>Texas homeowners nonrenewal notice</w:t>
      </w:r>
    </w:p>
    <w:p w14:paraId="76B3132F" w14:textId="77777777" w:rsidR="003442FE" w:rsidRDefault="00000000" w:rsidP="003B2FDD">
      <w:pPr>
        <w:pStyle w:val="FirstParagraph"/>
      </w:pPr>
      <w:r>
        <w:t>TDI’s home guide states nonrenewal notice rules changed: 60 days for policies bought/renewed in 2024, 30 days for 2023 or earlier. Verify dates if tested in current materials.</w:t>
      </w:r>
    </w:p>
    <w:p w14:paraId="4EF3EF6E" w14:textId="77777777" w:rsidR="003442FE" w:rsidRDefault="00000000" w:rsidP="003B2FDD">
      <w:pPr>
        <w:pStyle w:val="Heading3"/>
      </w:pPr>
      <w:bookmarkStart w:id="263" w:name="texas-fair-plan-association"/>
      <w:bookmarkEnd w:id="262"/>
      <w:r>
        <w:t>Texas FAIR Plan Association</w:t>
      </w:r>
    </w:p>
    <w:p w14:paraId="7F352473" w14:textId="77777777" w:rsidR="003442FE" w:rsidRDefault="00000000" w:rsidP="003B2FDD">
      <w:pPr>
        <w:pStyle w:val="FirstParagraph"/>
      </w:pPr>
      <w:r>
        <w:t>TDI states FAIR Plan coverage may be available after at least two companies turn the applicant down. It is basic and usually more expensive.</w:t>
      </w:r>
    </w:p>
    <w:p w14:paraId="34C459A5" w14:textId="77777777" w:rsidR="003442FE" w:rsidRDefault="00000000" w:rsidP="003B2FDD">
      <w:pPr>
        <w:pStyle w:val="Heading3"/>
      </w:pPr>
      <w:bookmarkStart w:id="264" w:name="X58f5e1ec81620a91d47e3c81fd37c72d20df34a"/>
      <w:bookmarkEnd w:id="263"/>
      <w:r>
        <w:t>Texas Windstorm Insurance Association (TWIA)</w:t>
      </w:r>
    </w:p>
    <w:p w14:paraId="6BAFF12C" w14:textId="77777777" w:rsidR="003442FE" w:rsidRDefault="00000000" w:rsidP="003B2FDD">
      <w:pPr>
        <w:pStyle w:val="FirstParagraph"/>
      </w:pPr>
      <w:r>
        <w:t>TWIA is critical for Texas coastal wind/hail exposure. TDI warns TWIA will not sell a policy if there is a hurricane in the Gulf of Mexico.</w:t>
      </w:r>
    </w:p>
    <w:p w14:paraId="57C403D8" w14:textId="77777777" w:rsidR="003442FE" w:rsidRDefault="00000000" w:rsidP="003B2FDD">
      <w:pPr>
        <w:pStyle w:val="Heading3"/>
      </w:pPr>
      <w:bookmarkStart w:id="265" w:name="texas-prompt-payment-deadlines"/>
      <w:bookmarkEnd w:id="264"/>
      <w:r>
        <w:t>Texas prompt payment deadlines</w:t>
      </w:r>
    </w:p>
    <w:p w14:paraId="15D44DD0" w14:textId="77777777" w:rsidR="003442FE" w:rsidRDefault="00000000" w:rsidP="003B2FDD">
      <w:pPr>
        <w:pStyle w:val="FirstParagraph"/>
      </w:pPr>
      <w:r>
        <w:t>TDI consumer guides state insurers generally acknowledge within 15 days, accept/reject within 15 business days after required information, can extend decision 45 days with reason, and pay within 5 business days after agreeing to pay.</w:t>
      </w:r>
    </w:p>
    <w:p w14:paraId="0CB9DDF6" w14:textId="77777777" w:rsidR="003442FE" w:rsidRDefault="00000000" w:rsidP="003B2FDD">
      <w:pPr>
        <w:pStyle w:val="Heading3"/>
      </w:pPr>
      <w:bookmarkStart w:id="266" w:name="liquidated-demand"/>
      <w:bookmarkEnd w:id="265"/>
      <w:r>
        <w:t>Liquidated demand</w:t>
      </w:r>
    </w:p>
    <w:p w14:paraId="5184DF16" w14:textId="77777777" w:rsidR="003442FE" w:rsidRDefault="00000000" w:rsidP="003B2FDD">
      <w:pPr>
        <w:pStyle w:val="FirstParagraph"/>
      </w:pPr>
      <w:r>
        <w:t>The outline lists liquidated demand under homeowners. Study it as a Texas-specific property payment/legal consequence concept.</w:t>
      </w:r>
    </w:p>
    <w:p w14:paraId="716F3C16" w14:textId="77777777" w:rsidR="003442FE" w:rsidRDefault="00000000" w:rsidP="003B2FDD">
      <w:pPr>
        <w:pStyle w:val="Heading2"/>
      </w:pPr>
      <w:bookmarkStart w:id="267" w:name="texas-auto-rules"/>
      <w:bookmarkEnd w:id="257"/>
      <w:bookmarkEnd w:id="266"/>
      <w:r>
        <w:rPr>
          <w:highlight w:val="yellow"/>
        </w:rPr>
        <w:lastRenderedPageBreak/>
        <w:t>Texas auto rules</w:t>
      </w:r>
    </w:p>
    <w:p w14:paraId="536103D0" w14:textId="77777777" w:rsidR="003442FE" w:rsidRDefault="00000000" w:rsidP="003B2FDD">
      <w:pPr>
        <w:pStyle w:val="Heading3"/>
      </w:pPr>
      <w:bookmarkStart w:id="268" w:name="texas-financial-responsibility"/>
      <w:r>
        <w:t>Texas financial responsibility</w:t>
      </w:r>
    </w:p>
    <w:p w14:paraId="4BDC2B16" w14:textId="77777777" w:rsidR="003442FE" w:rsidRDefault="00000000" w:rsidP="003B2FDD">
      <w:pPr>
        <w:pStyle w:val="FirstParagraph"/>
      </w:pPr>
      <w:r>
        <w:t>TDI states Texas requires drivers to show proof they can pay for accidents they cause; most do this with auto liability insurance.</w:t>
      </w:r>
    </w:p>
    <w:p w14:paraId="586DD3BE" w14:textId="77777777" w:rsidR="003442FE" w:rsidRDefault="00000000" w:rsidP="003B2FDD">
      <w:pPr>
        <w:pStyle w:val="Heading3"/>
      </w:pPr>
      <w:bookmarkStart w:id="269" w:name="texas-306025-minimum-limits"/>
      <w:bookmarkEnd w:id="268"/>
      <w:r>
        <w:t>Texas 30/60/25 minimum limits</w:t>
      </w:r>
    </w:p>
    <w:p w14:paraId="0860F752" w14:textId="77777777" w:rsidR="003442FE" w:rsidRDefault="00000000" w:rsidP="003B2FDD">
      <w:pPr>
        <w:pStyle w:val="FirstParagraph"/>
      </w:pPr>
      <w:r>
        <w:t>30/60/25 is Texas minimum liability coverage. It is a frequent exam-style number and legal-consequence item.</w:t>
      </w:r>
    </w:p>
    <w:p w14:paraId="0AFCA95C" w14:textId="77777777" w:rsidR="003442FE" w:rsidRDefault="00000000" w:rsidP="003B2FDD">
      <w:pPr>
        <w:pStyle w:val="Heading3"/>
      </w:pPr>
      <w:bookmarkStart w:id="270" w:name="texas-personal-injury-protection-pip"/>
      <w:bookmarkEnd w:id="269"/>
      <w:r>
        <w:t>Texas Personal Injury Protection (PIP)</w:t>
      </w:r>
    </w:p>
    <w:p w14:paraId="19F9D41D" w14:textId="77777777" w:rsidR="003442FE" w:rsidRDefault="00000000" w:rsidP="003B2FDD">
      <w:pPr>
        <w:pStyle w:val="FirstParagraph"/>
      </w:pPr>
      <w:r>
        <w:t>TDI states all Texas auto policies include PIP unless the insured rejects it in writing. PIP is broader than medical payments.</w:t>
      </w:r>
    </w:p>
    <w:p w14:paraId="204B1E06" w14:textId="77777777" w:rsidR="003442FE" w:rsidRDefault="00000000" w:rsidP="003B2FDD">
      <w:pPr>
        <w:pStyle w:val="Heading3"/>
      </w:pPr>
      <w:bookmarkStart w:id="271" w:name="texas-umuim-offerrejection"/>
      <w:bookmarkEnd w:id="270"/>
      <w:r>
        <w:t>Texas UM/UIM offer/rejection</w:t>
      </w:r>
    </w:p>
    <w:p w14:paraId="7CCB9C93" w14:textId="77777777" w:rsidR="003442FE" w:rsidRDefault="00000000" w:rsidP="003B2FDD">
      <w:pPr>
        <w:pStyle w:val="FirstParagraph"/>
      </w:pPr>
      <w:r>
        <w:t>TDI states insurers must offer UM/UIM and the customer must reject in writing if not wanted. It covers uninsured, underinsured, and hit-and-run situations under policy terms.</w:t>
      </w:r>
    </w:p>
    <w:p w14:paraId="2A42AFC9" w14:textId="77777777" w:rsidR="003442FE" w:rsidRDefault="00000000" w:rsidP="003B2FDD">
      <w:pPr>
        <w:pStyle w:val="Heading3"/>
      </w:pPr>
      <w:bookmarkStart w:id="272" w:name="texas-auto-medical-payments"/>
      <w:bookmarkEnd w:id="271"/>
      <w:r>
        <w:t>Texas auto medical payments</w:t>
      </w:r>
    </w:p>
    <w:p w14:paraId="5B5E7993" w14:textId="77777777" w:rsidR="003442FE" w:rsidRDefault="00000000" w:rsidP="003B2FDD">
      <w:pPr>
        <w:pStyle w:val="FirstParagraph"/>
      </w:pPr>
      <w:r>
        <w:t>Medical payments is listed in the state outline and TDI guide. It pays medical bills for insureds/passengers and certain pedestrian/bicycle situations depending on policy.</w:t>
      </w:r>
    </w:p>
    <w:p w14:paraId="526AE826" w14:textId="77777777" w:rsidR="003442FE" w:rsidRDefault="00000000" w:rsidP="003B2FDD">
      <w:pPr>
        <w:pStyle w:val="Heading3"/>
      </w:pPr>
      <w:bookmarkStart w:id="273" w:name="texas-auto-cancellationnonrenewal"/>
      <w:bookmarkEnd w:id="272"/>
      <w:r>
        <w:t>Texas auto cancellation/nonrenewal</w:t>
      </w:r>
    </w:p>
    <w:p w14:paraId="6A58DB49" w14:textId="77777777" w:rsidR="003442FE" w:rsidRDefault="00000000" w:rsidP="003B2FDD">
      <w:pPr>
        <w:pStyle w:val="FirstParagraph"/>
      </w:pPr>
      <w:r>
        <w:t>Texas auto cancellation and nonrenewal rules are in the outline. TDI notes nonrenewal is refusal to renew at expiration and a policy generally must be in effect 12 months before nonrenewal.</w:t>
      </w:r>
    </w:p>
    <w:p w14:paraId="6DE1656B" w14:textId="77777777" w:rsidR="003442FE" w:rsidRDefault="00000000" w:rsidP="003B2FDD">
      <w:pPr>
        <w:pStyle w:val="Heading3"/>
      </w:pPr>
      <w:bookmarkStart w:id="274" w:name="X8745ebd879a2eb7046fadb2c5731f033e48491c"/>
      <w:bookmarkEnd w:id="273"/>
      <w:r>
        <w:t>Texas Automobile Insurance Plan Association (TAIPA)</w:t>
      </w:r>
    </w:p>
    <w:p w14:paraId="7AFCBB45" w14:textId="77777777" w:rsidR="003442FE" w:rsidRDefault="00000000" w:rsidP="003B2FDD">
      <w:pPr>
        <w:pStyle w:val="FirstParagraph"/>
      </w:pPr>
      <w:r>
        <w:t>TDI says TAIPA sells liability, PIP, and UM/UIM, but not collision/comprehensive or higher limits than state law requires.</w:t>
      </w:r>
    </w:p>
    <w:p w14:paraId="4CA93A94" w14:textId="77777777" w:rsidR="003442FE" w:rsidRDefault="00000000" w:rsidP="003B2FDD">
      <w:pPr>
        <w:pStyle w:val="Heading3"/>
      </w:pPr>
      <w:bookmarkStart w:id="275" w:name="X3ca67abea79461538851c7ded1b430c9d5aa214"/>
      <w:bookmarkEnd w:id="274"/>
      <w:r>
        <w:t>Transportation network company (TNC/rideshare)</w:t>
      </w:r>
    </w:p>
    <w:p w14:paraId="13392AFE" w14:textId="77777777" w:rsidR="003442FE" w:rsidRDefault="00000000" w:rsidP="003B2FDD">
      <w:pPr>
        <w:pStyle w:val="FirstParagraph"/>
      </w:pPr>
      <w:r>
        <w:t>The outline specifically lists TNC/rideshare. Personal auto policies often exclude driving for a ride-hailing service, so special coverage/statutory rules matter.</w:t>
      </w:r>
    </w:p>
    <w:p w14:paraId="133302FB" w14:textId="77777777" w:rsidR="003442FE" w:rsidRDefault="00000000" w:rsidP="003B2FDD">
      <w:pPr>
        <w:pStyle w:val="Heading2"/>
      </w:pPr>
      <w:bookmarkStart w:id="276" w:name="texas-wc-organizations-claims"/>
      <w:bookmarkEnd w:id="267"/>
      <w:bookmarkEnd w:id="275"/>
      <w:r>
        <w:rPr>
          <w:highlight w:val="yellow"/>
        </w:rPr>
        <w:t>Texas WC / organizations / claims</w:t>
      </w:r>
    </w:p>
    <w:p w14:paraId="27060D35" w14:textId="77777777" w:rsidR="003442FE" w:rsidRDefault="00000000" w:rsidP="003B2FDD">
      <w:pPr>
        <w:pStyle w:val="Heading3"/>
      </w:pPr>
      <w:bookmarkStart w:id="277" w:name="texas-workers-compensation-coverage"/>
      <w:r>
        <w:t>Texas workers compensation coverage</w:t>
      </w:r>
    </w:p>
    <w:p w14:paraId="2E3582AC" w14:textId="77777777" w:rsidR="003442FE" w:rsidRDefault="00000000" w:rsidP="003B2FDD">
      <w:pPr>
        <w:pStyle w:val="FirstParagraph"/>
      </w:pPr>
      <w:r>
        <w:t>The state outline includes Texas Labor Code workers comp definitions, coverage, and benefits. Texas has unique employer participation concepts, so do not rely only on generic workers comp.</w:t>
      </w:r>
    </w:p>
    <w:p w14:paraId="55E2C0D9" w14:textId="77777777" w:rsidR="003442FE" w:rsidRDefault="00000000" w:rsidP="003B2FDD">
      <w:pPr>
        <w:pStyle w:val="Heading3"/>
      </w:pPr>
      <w:bookmarkStart w:id="278" w:name="texas-workers-compensation-benefits"/>
      <w:bookmarkEnd w:id="277"/>
      <w:r>
        <w:lastRenderedPageBreak/>
        <w:t>Texas workers compensation benefits</w:t>
      </w:r>
    </w:p>
    <w:p w14:paraId="770D1FCB" w14:textId="77777777" w:rsidR="003442FE" w:rsidRDefault="00000000" w:rsidP="003B2FDD">
      <w:pPr>
        <w:pStyle w:val="FirstParagraph"/>
      </w:pPr>
      <w:r>
        <w:t>The outline lists Texas workers comp benefits under Labor Code references. Know benefit categories even if exact calculations are not central to agent exam.</w:t>
      </w:r>
    </w:p>
    <w:p w14:paraId="4D899C37" w14:textId="77777777" w:rsidR="003442FE" w:rsidRDefault="00000000" w:rsidP="003B2FDD">
      <w:pPr>
        <w:pStyle w:val="Heading3"/>
      </w:pPr>
      <w:bookmarkStart w:id="279" w:name="Xd569777b45a798b030a6327dfff250998c75cdf"/>
      <w:bookmarkEnd w:id="278"/>
      <w:r>
        <w:t>Texas Property and Casualty Insurance Guaranty Association</w:t>
      </w:r>
    </w:p>
    <w:p w14:paraId="333AD25B" w14:textId="77777777" w:rsidR="003442FE" w:rsidRDefault="00000000" w:rsidP="003B2FDD">
      <w:pPr>
        <w:pStyle w:val="FirstParagraph"/>
      </w:pPr>
      <w:r>
        <w:t>The guaranty association protects covered claimants when a member P&amp;C insurer becomes insolvent, subject to statutory limits and exclusions. It should not be used in advertising as a sales inducement.</w:t>
      </w:r>
    </w:p>
    <w:p w14:paraId="72A4C7DE" w14:textId="77777777" w:rsidR="003442FE" w:rsidRDefault="00000000" w:rsidP="003B2FDD">
      <w:pPr>
        <w:pStyle w:val="Heading3"/>
      </w:pPr>
      <w:bookmarkStart w:id="280" w:name="X903e7346f4ac65a1fa8d6b1c736a8964d67b977"/>
      <w:bookmarkEnd w:id="279"/>
      <w:r>
        <w:t>Texas Medical Liability Underwriting Association (JUA)</w:t>
      </w:r>
    </w:p>
    <w:p w14:paraId="3694958C" w14:textId="77777777" w:rsidR="003442FE" w:rsidRDefault="00000000" w:rsidP="003B2FDD">
      <w:pPr>
        <w:pStyle w:val="FirstParagraph"/>
      </w:pPr>
      <w:r>
        <w:t>The JUA is listed in the P&amp;C state outline under medical liability. Study it as a Texas-specific availability mechanism.</w:t>
      </w:r>
    </w:p>
    <w:p w14:paraId="7D39E61C" w14:textId="77777777" w:rsidR="003442FE" w:rsidRDefault="00000000" w:rsidP="003B2FDD">
      <w:pPr>
        <w:pStyle w:val="Heading3"/>
      </w:pPr>
      <w:bookmarkStart w:id="281" w:name="unearned-premium-refund"/>
      <w:bookmarkEnd w:id="280"/>
      <w:r>
        <w:t>Unearned premium refund</w:t>
      </w:r>
    </w:p>
    <w:p w14:paraId="313DC09A" w14:textId="77777777" w:rsidR="003442FE" w:rsidRDefault="00000000" w:rsidP="003B2FDD">
      <w:pPr>
        <w:pStyle w:val="FirstParagraph"/>
      </w:pPr>
      <w:r>
        <w:t>TDI guides state companies must refund unearned premium within 15 days after cancellation.</w:t>
      </w:r>
    </w:p>
    <w:p w14:paraId="2912944F" w14:textId="77777777" w:rsidR="003442FE" w:rsidRDefault="00000000" w:rsidP="003B2FDD">
      <w:pPr>
        <w:pStyle w:val="Heading3"/>
      </w:pPr>
      <w:bookmarkStart w:id="282" w:name="texas-claim-acknowledgement"/>
      <w:bookmarkEnd w:id="281"/>
      <w:r>
        <w:t>Texas claim acknowledgement</w:t>
      </w:r>
    </w:p>
    <w:p w14:paraId="48D075A9" w14:textId="77777777" w:rsidR="003442FE" w:rsidRDefault="00000000" w:rsidP="003B2FDD">
      <w:pPr>
        <w:pStyle w:val="FirstParagraph"/>
      </w:pPr>
      <w:r>
        <w:t>TDI guides describe a 15-day acknowledgement after notice of claim. This is a important legal-timing point.</w:t>
      </w:r>
    </w:p>
    <w:p w14:paraId="003EC1DE" w14:textId="77777777" w:rsidR="003442FE" w:rsidRDefault="00000000" w:rsidP="003B2FDD">
      <w:pPr>
        <w:pStyle w:val="Heading3"/>
      </w:pPr>
      <w:bookmarkStart w:id="283" w:name="texas-claim-acceptance-or-rejection"/>
      <w:bookmarkEnd w:id="282"/>
      <w:r>
        <w:t>Texas claim acceptance or rejection</w:t>
      </w:r>
    </w:p>
    <w:p w14:paraId="02A02397" w14:textId="77777777" w:rsidR="003442FE" w:rsidRDefault="00000000" w:rsidP="003B2FDD">
      <w:pPr>
        <w:pStyle w:val="FirstParagraph"/>
      </w:pPr>
      <w:r>
        <w:t>This is a core prompt-payment deadline. If more time is needed, TDI describes a 45-day extension with reason.</w:t>
      </w:r>
    </w:p>
    <w:p w14:paraId="54820556" w14:textId="77777777" w:rsidR="003442FE" w:rsidRDefault="00000000" w:rsidP="003B2FDD">
      <w:pPr>
        <w:pStyle w:val="Heading3"/>
      </w:pPr>
      <w:bookmarkStart w:id="284" w:name="texas-claim-payment-after-agreement"/>
      <w:bookmarkEnd w:id="283"/>
      <w:r>
        <w:t>Texas claim payment after agreement</w:t>
      </w:r>
    </w:p>
    <w:p w14:paraId="1B13A646" w14:textId="77777777" w:rsidR="003442FE" w:rsidRDefault="00000000" w:rsidP="003B2FDD">
      <w:pPr>
        <w:pStyle w:val="FirstParagraph"/>
      </w:pPr>
      <w:r>
        <w:t>TDI guides state payment generally must be sent within five business days after the insurer agrees to pay the claim.</w:t>
      </w:r>
    </w:p>
    <w:p w14:paraId="5BDE9083" w14:textId="77777777" w:rsidR="003442FE" w:rsidRDefault="00000000" w:rsidP="003B2FDD">
      <w:pPr>
        <w:pStyle w:val="Heading3"/>
      </w:pPr>
      <w:bookmarkStart w:id="285" w:name="clue-report"/>
      <w:bookmarkEnd w:id="284"/>
      <w:r>
        <w:t>CLUE report</w:t>
      </w:r>
    </w:p>
    <w:p w14:paraId="045ADD91" w14:textId="77777777" w:rsidR="003442FE" w:rsidRDefault="00000000" w:rsidP="003B2FDD">
      <w:pPr>
        <w:pStyle w:val="FirstParagraph"/>
      </w:pPr>
      <w:r>
        <w:t>CLUE stands for Comprehensive Loss Underwriting Exchange. TDI notes insurers may use it for auto/home claims history, and consumers can request reports.</w:t>
      </w:r>
    </w:p>
    <w:p w14:paraId="2CF2AD56" w14:textId="77777777" w:rsidR="003442FE" w:rsidRDefault="00000000" w:rsidP="003B2FDD">
      <w:pPr>
        <w:pStyle w:val="Heading2"/>
      </w:pPr>
      <w:bookmarkStart w:id="286" w:name="mixed-application-review"/>
      <w:bookmarkEnd w:id="276"/>
      <w:bookmarkEnd w:id="285"/>
      <w:r>
        <w:t>Mixed application review</w:t>
      </w:r>
    </w:p>
    <w:p w14:paraId="74F095C7" w14:textId="77777777" w:rsidR="003442FE" w:rsidRDefault="00000000" w:rsidP="003B2FDD">
      <w:pPr>
        <w:pStyle w:val="Heading3"/>
      </w:pPr>
      <w:bookmarkStart w:id="287" w:name="ho-3-vs-ho-5-comparison"/>
      <w:r>
        <w:t>HO-3 vs HO-5 comparison</w:t>
      </w:r>
    </w:p>
    <w:p w14:paraId="4CAEF5D1" w14:textId="77777777" w:rsidR="003442FE" w:rsidRDefault="00000000" w:rsidP="003B2FDD">
      <w:pPr>
        <w:pStyle w:val="FirstParagraph"/>
      </w:pPr>
      <w:r>
        <w:t>HO-5 generally provides open-perils coverage for both dwelling and personal property, subject to exclusions. HO-3 is commonly open perils for dwelling but named perils for personal property.</w:t>
      </w:r>
    </w:p>
    <w:p w14:paraId="6F193CF2" w14:textId="77777777" w:rsidR="003442FE" w:rsidRDefault="00000000" w:rsidP="003B2FDD">
      <w:pPr>
        <w:pStyle w:val="Heading3"/>
      </w:pPr>
      <w:bookmarkStart w:id="288" w:name="renters-coverage"/>
      <w:bookmarkEnd w:id="287"/>
      <w:r>
        <w:lastRenderedPageBreak/>
        <w:t>Renters coverage</w:t>
      </w:r>
    </w:p>
    <w:p w14:paraId="364410F1" w14:textId="77777777" w:rsidR="003442FE" w:rsidRDefault="00000000" w:rsidP="003B2FDD">
      <w:pPr>
        <w:pStyle w:val="FirstParagraph"/>
      </w:pPr>
      <w:r>
        <w:t>HO-4 is renters coverage. It does not insure the building because the tenant does not own it.</w:t>
      </w:r>
    </w:p>
    <w:p w14:paraId="6C4ABF4C" w14:textId="77777777" w:rsidR="003442FE" w:rsidRDefault="00000000" w:rsidP="003B2FDD">
      <w:pPr>
        <w:pStyle w:val="Heading3"/>
      </w:pPr>
      <w:bookmarkStart w:id="289" w:name="condo-unit-owner-coverage"/>
      <w:bookmarkEnd w:id="288"/>
      <w:r>
        <w:t>Condo unit owner coverage</w:t>
      </w:r>
    </w:p>
    <w:p w14:paraId="0A99A6F9" w14:textId="77777777" w:rsidR="003442FE" w:rsidRDefault="00000000" w:rsidP="003B2FDD">
      <w:pPr>
        <w:pStyle w:val="FirstParagraph"/>
      </w:pPr>
      <w:r>
        <w:t>HO-6 is for condominium unit owners. The association master policy and bylaws determine how much building coverage the unit owner needs.</w:t>
      </w:r>
    </w:p>
    <w:p w14:paraId="43A74259" w14:textId="77777777" w:rsidR="003442FE" w:rsidRDefault="00000000" w:rsidP="003B2FDD">
      <w:pPr>
        <w:pStyle w:val="Heading3"/>
      </w:pPr>
      <w:bookmarkStart w:id="290" w:name="older-home-valuation"/>
      <w:bookmarkEnd w:id="289"/>
      <w:r>
        <w:t>Older home valuation</w:t>
      </w:r>
    </w:p>
    <w:p w14:paraId="02A92A66" w14:textId="77777777" w:rsidR="003442FE" w:rsidRDefault="00000000" w:rsidP="003B2FDD">
      <w:pPr>
        <w:pStyle w:val="FirstParagraph"/>
      </w:pPr>
      <w:r>
        <w:t>HO-8 modified coverage is designed for older homes where replacement cost may exceed market value.</w:t>
      </w:r>
    </w:p>
    <w:p w14:paraId="2ECC4B45" w14:textId="77777777" w:rsidR="003442FE" w:rsidRDefault="00000000" w:rsidP="003B2FDD">
      <w:pPr>
        <w:pStyle w:val="Heading3"/>
      </w:pPr>
      <w:bookmarkStart w:id="291" w:name="rental-dwelling-policy"/>
      <w:bookmarkEnd w:id="290"/>
      <w:r>
        <w:t>Rental dwelling policy</w:t>
      </w:r>
    </w:p>
    <w:p w14:paraId="6E706318" w14:textId="77777777" w:rsidR="003442FE" w:rsidRDefault="00000000" w:rsidP="003B2FDD">
      <w:pPr>
        <w:pStyle w:val="FirstParagraph"/>
      </w:pPr>
      <w:r>
        <w:t>Dwelling policies DP-1, DP-2, and DP-3 are used for rental or non-owner-occupied dwelling property.</w:t>
      </w:r>
    </w:p>
    <w:p w14:paraId="68967612" w14:textId="77777777" w:rsidR="003442FE" w:rsidRDefault="00000000" w:rsidP="003B2FDD">
      <w:pPr>
        <w:pStyle w:val="Heading3"/>
      </w:pPr>
      <w:bookmarkStart w:id="292" w:name="commercial-shutdown"/>
      <w:bookmarkEnd w:id="291"/>
      <w:r>
        <w:t>Commercial shutdown</w:t>
      </w:r>
    </w:p>
    <w:p w14:paraId="6F3C6F2C" w14:textId="77777777" w:rsidR="003442FE" w:rsidRDefault="00000000" w:rsidP="003B2FDD">
      <w:pPr>
        <w:pStyle w:val="FirstParagraph"/>
      </w:pPr>
      <w:r>
        <w:t>Business income coverage addresses indirect loss caused by covered direct physical damage that suspends operations.</w:t>
      </w:r>
    </w:p>
    <w:p w14:paraId="7C81D4A1" w14:textId="77777777" w:rsidR="003442FE" w:rsidRDefault="00000000" w:rsidP="003B2FDD">
      <w:pPr>
        <w:pStyle w:val="Heading3"/>
      </w:pPr>
      <w:bookmarkStart w:id="293" w:name="temporary-business-location"/>
      <w:bookmarkEnd w:id="292"/>
      <w:r>
        <w:t>Temporary business location</w:t>
      </w:r>
    </w:p>
    <w:p w14:paraId="1BC72930" w14:textId="77777777" w:rsidR="003442FE" w:rsidRDefault="00000000" w:rsidP="003B2FDD">
      <w:pPr>
        <w:pStyle w:val="FirstParagraph"/>
      </w:pPr>
      <w:r>
        <w:t>Extra expense pays necessary additional expenses to minimize suspension.</w:t>
      </w:r>
    </w:p>
    <w:p w14:paraId="4283E44A" w14:textId="77777777" w:rsidR="003442FE" w:rsidRDefault="00000000" w:rsidP="003B2FDD">
      <w:pPr>
        <w:pStyle w:val="Heading3"/>
      </w:pPr>
      <w:bookmarkStart w:id="294" w:name="customer-slip-at-store"/>
      <w:bookmarkEnd w:id="293"/>
      <w:r>
        <w:t>Customer slip at store</w:t>
      </w:r>
    </w:p>
    <w:p w14:paraId="58D9BA28" w14:textId="77777777" w:rsidR="003442FE" w:rsidRDefault="00000000" w:rsidP="003B2FDD">
      <w:pPr>
        <w:pStyle w:val="FirstParagraph"/>
      </w:pPr>
      <w:r>
        <w:t>CGL premises and operations liability, Coverage A, is the classic answer.</w:t>
      </w:r>
    </w:p>
    <w:p w14:paraId="33C7711D" w14:textId="77777777" w:rsidR="003442FE" w:rsidRDefault="00000000" w:rsidP="003B2FDD">
      <w:pPr>
        <w:pStyle w:val="Heading3"/>
      </w:pPr>
      <w:bookmarkStart w:id="295" w:name="completed-work-injury"/>
      <w:bookmarkEnd w:id="294"/>
      <w:r>
        <w:t>Completed work injury</w:t>
      </w:r>
    </w:p>
    <w:p w14:paraId="054B448C" w14:textId="77777777" w:rsidR="003442FE" w:rsidRDefault="00000000" w:rsidP="003B2FDD">
      <w:pPr>
        <w:pStyle w:val="FirstParagraph"/>
      </w:pPr>
      <w:r>
        <w:t>Products-completed operations exposure applies after work is completed or product is sold.</w:t>
      </w:r>
    </w:p>
    <w:p w14:paraId="33916EA0" w14:textId="77777777" w:rsidR="003442FE" w:rsidRDefault="00000000" w:rsidP="003B2FDD">
      <w:pPr>
        <w:pStyle w:val="Heading3"/>
      </w:pPr>
      <w:bookmarkStart w:id="296" w:name="professional-advice-error"/>
      <w:bookmarkEnd w:id="295"/>
      <w:r>
        <w:t>Professional advice error</w:t>
      </w:r>
    </w:p>
    <w:p w14:paraId="6D4DB9B4" w14:textId="77777777" w:rsidR="003442FE" w:rsidRDefault="00000000" w:rsidP="003B2FDD">
      <w:pPr>
        <w:pStyle w:val="FirstParagraph"/>
      </w:pPr>
      <w:r>
        <w:t>Errors and Omissions (E&amp;O) covers professional service mistakes.</w:t>
      </w:r>
    </w:p>
    <w:p w14:paraId="59DA1677" w14:textId="77777777" w:rsidR="003442FE" w:rsidRDefault="00000000" w:rsidP="003B2FDD">
      <w:pPr>
        <w:pStyle w:val="Heading3"/>
      </w:pPr>
      <w:bookmarkStart w:id="297" w:name="employee-discrimination-claim"/>
      <w:bookmarkEnd w:id="296"/>
      <w:r>
        <w:t>Employee discrimination claim</w:t>
      </w:r>
    </w:p>
    <w:p w14:paraId="1E9CB89C" w14:textId="77777777" w:rsidR="003442FE" w:rsidRDefault="00000000" w:rsidP="003B2FDD">
      <w:pPr>
        <w:pStyle w:val="FirstParagraph"/>
      </w:pPr>
      <w:r>
        <w:t>EPLI covers employment practices claims such as discrimination and wrongful termination.</w:t>
      </w:r>
    </w:p>
    <w:p w14:paraId="7D63094B" w14:textId="77777777" w:rsidR="003442FE" w:rsidRDefault="00000000" w:rsidP="003B2FDD">
      <w:pPr>
        <w:pStyle w:val="Heading3"/>
      </w:pPr>
      <w:bookmarkStart w:id="298" w:name="customer-car-in-repair-shop"/>
      <w:bookmarkEnd w:id="297"/>
      <w:r>
        <w:t>Customer car in repair shop</w:t>
      </w:r>
    </w:p>
    <w:p w14:paraId="5B686D2B" w14:textId="77777777" w:rsidR="003442FE" w:rsidRDefault="00000000" w:rsidP="003B2FDD">
      <w:pPr>
        <w:pStyle w:val="FirstParagraph"/>
      </w:pPr>
      <w:r>
        <w:t>Garagekeepers insurance covers customers’ autos in the garage business’s care, custody, or control.</w:t>
      </w:r>
    </w:p>
    <w:p w14:paraId="5030EC41" w14:textId="77777777" w:rsidR="003442FE" w:rsidRDefault="00000000" w:rsidP="003B2FDD">
      <w:pPr>
        <w:pStyle w:val="Heading3"/>
      </w:pPr>
      <w:bookmarkStart w:id="299" w:name="employee-personal-car-business-errand"/>
      <w:bookmarkEnd w:id="298"/>
      <w:r>
        <w:lastRenderedPageBreak/>
        <w:t>Employee personal car business errand</w:t>
      </w:r>
    </w:p>
    <w:p w14:paraId="7FE44716" w14:textId="77777777" w:rsidR="003442FE" w:rsidRDefault="00000000" w:rsidP="003B2FDD">
      <w:pPr>
        <w:pStyle w:val="FirstParagraph"/>
      </w:pPr>
      <w:r>
        <w:t>Non-owned auto coverage addresses autos not owned, hired, or borrowed by the business but used in its business.</w:t>
      </w:r>
    </w:p>
    <w:p w14:paraId="73881026" w14:textId="77777777" w:rsidR="003442FE" w:rsidRDefault="00000000" w:rsidP="003B2FDD">
      <w:pPr>
        <w:pStyle w:val="Heading3"/>
      </w:pPr>
      <w:bookmarkStart w:id="300" w:name="rental-truck-for-business"/>
      <w:bookmarkEnd w:id="299"/>
      <w:r>
        <w:t>Rental truck for business</w:t>
      </w:r>
    </w:p>
    <w:p w14:paraId="45E07711" w14:textId="77777777" w:rsidR="003442FE" w:rsidRDefault="00000000" w:rsidP="003B2FDD">
      <w:pPr>
        <w:pStyle w:val="FirstParagraph"/>
      </w:pPr>
      <w:r>
        <w:t>Hired auto applies to rented, leased, hired, or borrowed autos.</w:t>
      </w:r>
    </w:p>
    <w:p w14:paraId="4F44AB5B" w14:textId="77777777" w:rsidR="003442FE" w:rsidRDefault="00000000" w:rsidP="003B2FDD">
      <w:pPr>
        <w:pStyle w:val="Heading3"/>
      </w:pPr>
      <w:bookmarkStart w:id="301" w:name="company-car-executive-gap"/>
      <w:bookmarkEnd w:id="300"/>
      <w:r>
        <w:t>Company car executive gap</w:t>
      </w:r>
    </w:p>
    <w:p w14:paraId="186E9648" w14:textId="77777777" w:rsidR="003442FE" w:rsidRDefault="00000000" w:rsidP="003B2FDD">
      <w:pPr>
        <w:pStyle w:val="FirstParagraph"/>
      </w:pPr>
      <w:r>
        <w:t>Drive Other Car (DOC) coverage fills this personal exposure gap.</w:t>
      </w:r>
    </w:p>
    <w:p w14:paraId="658801ED" w14:textId="77777777" w:rsidR="003442FE" w:rsidRDefault="00000000" w:rsidP="003B2FDD">
      <w:pPr>
        <w:pStyle w:val="Heading3"/>
      </w:pPr>
      <w:bookmarkStart w:id="302" w:name="at-fault-texas-accident-minimum"/>
      <w:bookmarkEnd w:id="301"/>
      <w:r>
        <w:t>At-fault Texas accident minimum</w:t>
      </w:r>
    </w:p>
    <w:p w14:paraId="2DBEBCA9" w14:textId="77777777" w:rsidR="003442FE" w:rsidRDefault="00000000" w:rsidP="003B2FDD">
      <w:pPr>
        <w:pStyle w:val="FirstParagraph"/>
      </w:pPr>
      <w:r>
        <w:t>Texas minimum auto liability is 30/60/25: $30,000 per injured person, $60,000 per accident for bodily injury, and $25,000 property damage.</w:t>
      </w:r>
    </w:p>
    <w:p w14:paraId="095877E3" w14:textId="77777777" w:rsidR="003442FE" w:rsidRDefault="00000000" w:rsidP="003B2FDD">
      <w:pPr>
        <w:pStyle w:val="Heading3"/>
      </w:pPr>
      <w:bookmarkStart w:id="303" w:name="rejecting-pip-in-texas"/>
      <w:bookmarkEnd w:id="302"/>
      <w:r>
        <w:t>Rejecting PIP in Texas</w:t>
      </w:r>
    </w:p>
    <w:p w14:paraId="21FC06CC" w14:textId="77777777" w:rsidR="003442FE" w:rsidRDefault="00000000" w:rsidP="003B2FDD">
      <w:pPr>
        <w:pStyle w:val="FirstParagraph"/>
      </w:pPr>
      <w:r>
        <w:t>PIP must be rejected in writing. If not rejected, Texas auto policies include PIP.</w:t>
      </w:r>
    </w:p>
    <w:p w14:paraId="5C9D96F3" w14:textId="77777777" w:rsidR="003442FE" w:rsidRDefault="00000000" w:rsidP="003B2FDD">
      <w:pPr>
        <w:pStyle w:val="Heading3"/>
      </w:pPr>
      <w:bookmarkStart w:id="304" w:name="rejecting-umuim-in-texas"/>
      <w:bookmarkEnd w:id="303"/>
      <w:r>
        <w:t>Rejecting UM/UIM in Texas</w:t>
      </w:r>
    </w:p>
    <w:p w14:paraId="24B4D620" w14:textId="77777777" w:rsidR="003442FE" w:rsidRDefault="00000000" w:rsidP="003B2FDD">
      <w:pPr>
        <w:pStyle w:val="FirstParagraph"/>
      </w:pPr>
      <w:r>
        <w:t>UM/UIM must be offered and rejected in writing if not wanted.</w:t>
      </w:r>
    </w:p>
    <w:p w14:paraId="4887480A" w14:textId="77777777" w:rsidR="003442FE" w:rsidRDefault="00000000" w:rsidP="003B2FDD">
      <w:pPr>
        <w:pStyle w:val="Heading3"/>
      </w:pPr>
      <w:bookmarkStart w:id="305" w:name="texas-home-residual-market"/>
      <w:bookmarkEnd w:id="304"/>
      <w:r>
        <w:t>Texas home residual market</w:t>
      </w:r>
    </w:p>
    <w:p w14:paraId="08E38D3D" w14:textId="77777777" w:rsidR="003442FE" w:rsidRDefault="00000000" w:rsidP="003B2FDD">
      <w:pPr>
        <w:pStyle w:val="FirstParagraph"/>
      </w:pPr>
      <w:r>
        <w:t>Texas FAIR Plan may provide basic home coverage after at least two companies turn the applicant down.</w:t>
      </w:r>
    </w:p>
    <w:p w14:paraId="1CAE1C54" w14:textId="77777777" w:rsidR="003442FE" w:rsidRDefault="00000000" w:rsidP="003B2FDD">
      <w:pPr>
        <w:pStyle w:val="Heading3"/>
      </w:pPr>
      <w:bookmarkStart w:id="306" w:name="coastal-windhail"/>
      <w:bookmarkEnd w:id="305"/>
      <w:r>
        <w:t>Coastal wind/hail</w:t>
      </w:r>
    </w:p>
    <w:p w14:paraId="5E817AB6" w14:textId="77777777" w:rsidR="003442FE" w:rsidRDefault="00000000" w:rsidP="003B2FDD">
      <w:pPr>
        <w:pStyle w:val="FirstParagraph"/>
      </w:pPr>
      <w:r>
        <w:t>TWIA sells wind and hail coverage for eligible coastal residents.</w:t>
      </w:r>
    </w:p>
    <w:p w14:paraId="284D7ACD" w14:textId="77777777" w:rsidR="003442FE" w:rsidRDefault="00000000" w:rsidP="003B2FDD">
      <w:pPr>
        <w:pStyle w:val="Heading3"/>
      </w:pPr>
      <w:bookmarkStart w:id="307" w:name="flood-gap"/>
      <w:bookmarkEnd w:id="306"/>
      <w:r>
        <w:t>Flood gap</w:t>
      </w:r>
    </w:p>
    <w:p w14:paraId="3F6CC66A" w14:textId="77777777" w:rsidR="003442FE" w:rsidRDefault="00000000" w:rsidP="003B2FDD">
      <w:pPr>
        <w:pStyle w:val="FirstParagraph"/>
      </w:pPr>
      <w:r>
        <w:t>Flood is usually excluded from standard home policies; flood insurance through NFIP or another flood insurer is needed.</w:t>
      </w:r>
    </w:p>
    <w:p w14:paraId="4B04B656" w14:textId="77777777" w:rsidR="003442FE" w:rsidRDefault="00000000" w:rsidP="003B2FDD">
      <w:pPr>
        <w:pStyle w:val="Heading3"/>
      </w:pPr>
      <w:bookmarkStart w:id="308" w:name="claim-amount-dispute"/>
      <w:bookmarkEnd w:id="307"/>
      <w:r>
        <w:t>Claim amount dispute</w:t>
      </w:r>
    </w:p>
    <w:p w14:paraId="0ED3D551" w14:textId="77777777" w:rsidR="003442FE" w:rsidRDefault="00000000" w:rsidP="003B2FDD">
      <w:pPr>
        <w:pStyle w:val="FirstParagraph"/>
      </w:pPr>
      <w:r>
        <w:t>Appraisal resolves amount-of-loss disputes.</w:t>
      </w:r>
    </w:p>
    <w:p w14:paraId="6FAB3042" w14:textId="77777777" w:rsidR="003442FE" w:rsidRDefault="00000000" w:rsidP="003B2FDD">
      <w:pPr>
        <w:pStyle w:val="Heading3"/>
      </w:pPr>
      <w:bookmarkStart w:id="309" w:name="subrogation-example"/>
      <w:bookmarkEnd w:id="308"/>
      <w:r>
        <w:t>Subrogation example</w:t>
      </w:r>
    </w:p>
    <w:p w14:paraId="156737C9" w14:textId="77777777" w:rsidR="003442FE" w:rsidRDefault="00000000" w:rsidP="003B2FDD">
      <w:pPr>
        <w:pStyle w:val="FirstParagraph"/>
      </w:pPr>
      <w:r>
        <w:t>Subrogation lets the insurer pursue the responsible party after paying the insured.</w:t>
      </w:r>
    </w:p>
    <w:p w14:paraId="33D3CB66" w14:textId="77777777" w:rsidR="003442FE" w:rsidRDefault="00000000" w:rsidP="003B2FDD">
      <w:pPr>
        <w:pStyle w:val="Heading3"/>
      </w:pPr>
      <w:bookmarkStart w:id="310" w:name="coinsurance-penalty"/>
      <w:bookmarkEnd w:id="309"/>
      <w:r>
        <w:t>Coinsurance penalty</w:t>
      </w:r>
    </w:p>
    <w:p w14:paraId="5F2ED66E" w14:textId="77777777" w:rsidR="003442FE" w:rsidRDefault="00000000" w:rsidP="003B2FDD">
      <w:pPr>
        <w:pStyle w:val="FirstParagraph"/>
      </w:pPr>
      <w:r>
        <w:t>Coinsurance/insurance-to-value provisions penalize underinsurance on partial losses.</w:t>
      </w:r>
    </w:p>
    <w:p w14:paraId="22E513A7" w14:textId="77777777" w:rsidR="003442FE" w:rsidRDefault="00000000" w:rsidP="003B2FDD">
      <w:pPr>
        <w:pStyle w:val="Heading3"/>
      </w:pPr>
      <w:bookmarkStart w:id="311" w:name="certificate-reliance"/>
      <w:bookmarkEnd w:id="310"/>
      <w:r>
        <w:lastRenderedPageBreak/>
        <w:t>Certificate reliance</w:t>
      </w:r>
    </w:p>
    <w:p w14:paraId="492FB167" w14:textId="77777777" w:rsidR="003442FE" w:rsidRDefault="00000000" w:rsidP="003B2FDD">
      <w:pPr>
        <w:pStyle w:val="FirstParagraph"/>
      </w:pPr>
      <w:r>
        <w:t>Certificate of insurance provides evidence of insurance but generally does not amend coverage.</w:t>
      </w:r>
    </w:p>
    <w:p w14:paraId="45B59E0D" w14:textId="77777777" w:rsidR="003442FE" w:rsidRDefault="00000000" w:rsidP="003B2FDD">
      <w:pPr>
        <w:pStyle w:val="Heading3"/>
      </w:pPr>
      <w:bookmarkStart w:id="312" w:name="adding-landlord-as-liability-insured"/>
      <w:bookmarkEnd w:id="311"/>
      <w:r>
        <w:t>Adding landlord as liability insured</w:t>
      </w:r>
    </w:p>
    <w:p w14:paraId="637D2632" w14:textId="77777777" w:rsidR="003442FE" w:rsidRDefault="00000000" w:rsidP="003B2FDD">
      <w:pPr>
        <w:pStyle w:val="FirstParagraph"/>
      </w:pPr>
      <w:r>
        <w:t>Additional insured endorsement is typically needed to add liability protection.</w:t>
      </w:r>
    </w:p>
    <w:p w14:paraId="532F4552" w14:textId="77777777" w:rsidR="003442FE" w:rsidRDefault="00000000" w:rsidP="003B2FDD">
      <w:pPr>
        <w:pStyle w:val="Heading3"/>
      </w:pPr>
      <w:bookmarkStart w:id="313" w:name="intentional-claim-exaggeration"/>
      <w:bookmarkEnd w:id="312"/>
      <w:r>
        <w:t>Intentional claim exaggeration</w:t>
      </w:r>
    </w:p>
    <w:p w14:paraId="57834FFA" w14:textId="77777777" w:rsidR="003442FE" w:rsidRDefault="00000000" w:rsidP="003B2FDD">
      <w:pPr>
        <w:pStyle w:val="FirstParagraph"/>
      </w:pPr>
      <w:r>
        <w:t>Moral hazard/fraud involves intentional dishonesty.</w:t>
      </w:r>
    </w:p>
    <w:p w14:paraId="63A006F4" w14:textId="77777777" w:rsidR="003442FE" w:rsidRDefault="00000000" w:rsidP="003B2FDD">
      <w:pPr>
        <w:pStyle w:val="Heading3"/>
      </w:pPr>
      <w:bookmarkStart w:id="314" w:name="careless-due-to-insurance"/>
      <w:bookmarkEnd w:id="313"/>
      <w:r>
        <w:t>Careless due to insurance</w:t>
      </w:r>
    </w:p>
    <w:p w14:paraId="0D37B661" w14:textId="77777777" w:rsidR="003442FE" w:rsidRDefault="00000000" w:rsidP="003B2FDD">
      <w:pPr>
        <w:pStyle w:val="FirstParagraph"/>
      </w:pPr>
      <w:r>
        <w:t>Morale hazard is careless indifference because insurance exists.</w:t>
      </w:r>
    </w:p>
    <w:p w14:paraId="2D5C64C2" w14:textId="77777777" w:rsidR="003442FE" w:rsidRDefault="00000000" w:rsidP="003B2FDD">
      <w:pPr>
        <w:pStyle w:val="Heading3"/>
      </w:pPr>
      <w:bookmarkStart w:id="315" w:name="bad-wiring"/>
      <w:bookmarkEnd w:id="314"/>
      <w:r>
        <w:t>Bad wiring</w:t>
      </w:r>
    </w:p>
    <w:p w14:paraId="4C921ED2" w14:textId="77777777" w:rsidR="003442FE" w:rsidRDefault="00000000" w:rsidP="003B2FDD">
      <w:pPr>
        <w:pStyle w:val="FirstParagraph"/>
      </w:pPr>
      <w:r>
        <w:t>Physical hazard is a tangible condition increasing loss probability.</w:t>
      </w:r>
    </w:p>
    <w:p w14:paraId="1CB54EE9" w14:textId="77777777" w:rsidR="003442FE" w:rsidRDefault="00000000" w:rsidP="003B2FDD">
      <w:pPr>
        <w:pStyle w:val="Heading3"/>
      </w:pPr>
      <w:bookmarkStart w:id="316" w:name="fire-cause-of-loss"/>
      <w:bookmarkEnd w:id="315"/>
      <w:r>
        <w:t>Fire cause of loss</w:t>
      </w:r>
    </w:p>
    <w:p w14:paraId="72A0F458" w14:textId="77777777" w:rsidR="003442FE" w:rsidRDefault="00000000" w:rsidP="003B2FDD">
      <w:pPr>
        <w:pStyle w:val="FirstParagraph"/>
      </w:pPr>
      <w:r>
        <w:t>Fire is a peril, the cause of loss.</w:t>
      </w:r>
    </w:p>
    <w:p w14:paraId="23CABA8C" w14:textId="77777777" w:rsidR="003442FE" w:rsidRDefault="00000000" w:rsidP="003B2FDD">
      <w:pPr>
        <w:pStyle w:val="Heading2"/>
      </w:pPr>
      <w:bookmarkStart w:id="317" w:name="surplus-lines-overlap-only"/>
      <w:bookmarkEnd w:id="286"/>
      <w:bookmarkEnd w:id="316"/>
      <w:r>
        <w:t>Surplus lines overlap only</w:t>
      </w:r>
    </w:p>
    <w:p w14:paraId="336359F6" w14:textId="77777777" w:rsidR="003442FE" w:rsidRDefault="00000000" w:rsidP="003B2FDD">
      <w:pPr>
        <w:pStyle w:val="Heading3"/>
      </w:pPr>
      <w:bookmarkStart w:id="318" w:name="diligent-admitted-market-search"/>
      <w:r>
        <w:t>Diligent admitted-market search</w:t>
      </w:r>
    </w:p>
    <w:p w14:paraId="057F08B0" w14:textId="77777777" w:rsidR="003442FE" w:rsidRDefault="00000000" w:rsidP="003B2FDD">
      <w:pPr>
        <w:pStyle w:val="FirstParagraph"/>
      </w:pPr>
      <w:r>
        <w:t>Formal definition/parameter: surplus lines is generally used after the agent has tried to find coverage from a Texas-licensed/admitted company. Why important: using nonadmitted markets without satisfying placement rules can create licensing/regulatory consequences.</w:t>
      </w:r>
    </w:p>
    <w:p w14:paraId="757D0500" w14:textId="77777777" w:rsidR="003442FE" w:rsidRDefault="00000000" w:rsidP="003B2FDD">
      <w:pPr>
        <w:pStyle w:val="Heading3"/>
      </w:pPr>
      <w:bookmarkStart w:id="319" w:name="eligible-surplus-lines-insurer"/>
      <w:bookmarkEnd w:id="318"/>
      <w:r>
        <w:t>Eligible surplus lines insurer</w:t>
      </w:r>
    </w:p>
    <w:p w14:paraId="5835D2A0" w14:textId="77777777" w:rsidR="003442FE" w:rsidRDefault="00000000" w:rsidP="003B2FDD">
      <w:pPr>
        <w:pStyle w:val="FirstParagraph"/>
      </w:pPr>
      <w:r>
        <w:t>Formal definition: a surplus lines insurer is nonadmitted in Texas but can be eligible to write surplus lines if it meets eligibility requirements. Elements: home-state/home-country licensing, financial/eligibility standards, and Texas surplus lines compliance. Importance: distinguishes lawful eligible nonadmitted placement from unauthorized insurance.</w:t>
      </w:r>
    </w:p>
    <w:p w14:paraId="23DE2742" w14:textId="77777777" w:rsidR="003442FE" w:rsidRDefault="00000000" w:rsidP="003B2FDD">
      <w:pPr>
        <w:pStyle w:val="Heading3"/>
      </w:pPr>
      <w:bookmarkStart w:id="320" w:name="Xf80c788101bbb05d34acb5c3121740fbed7abb4"/>
      <w:bookmarkEnd w:id="319"/>
      <w:r>
        <w:t>Surplus lines guaranty association limitation</w:t>
      </w:r>
    </w:p>
    <w:p w14:paraId="1C94CE5E" w14:textId="77777777" w:rsidR="003442FE" w:rsidRDefault="00000000" w:rsidP="003B2FDD">
      <w:pPr>
        <w:pStyle w:val="FirstParagraph"/>
      </w:pPr>
      <w:r>
        <w:t>Formal concept: surplus lines insurers are not Texas-licensed admitted insurers and do not provide the same guaranty association protection. Why important: insolvency risk and consumer protection are common legal/regulatory exam points.</w:t>
      </w:r>
    </w:p>
    <w:p w14:paraId="13BDB941" w14:textId="77777777" w:rsidR="003442FE" w:rsidRDefault="00000000" w:rsidP="003B2FDD">
      <w:pPr>
        <w:pStyle w:val="Heading2"/>
      </w:pPr>
      <w:bookmarkStart w:id="321" w:name="essential-timelines"/>
      <w:bookmarkEnd w:id="317"/>
      <w:bookmarkEnd w:id="320"/>
      <w:r>
        <w:rPr>
          <w:highlight w:val="yellow"/>
        </w:rPr>
        <w:t>Essential timelines</w:t>
      </w:r>
    </w:p>
    <w:p w14:paraId="7078A291" w14:textId="77777777" w:rsidR="003442FE" w:rsidRDefault="00000000" w:rsidP="003B2FDD">
      <w:pPr>
        <w:pStyle w:val="FirstParagraph"/>
      </w:pPr>
      <w:r>
        <w:t>This section keeps only the most testable timelines that fit the required Texas General Lines P&amp;C scope.</w:t>
      </w:r>
    </w:p>
    <w:p w14:paraId="5F01781B" w14:textId="77777777" w:rsidR="003442FE" w:rsidRDefault="00000000" w:rsidP="003B2FDD">
      <w:pPr>
        <w:pStyle w:val="Heading3"/>
      </w:pPr>
      <w:bookmarkStart w:id="322" w:name="texas-claim-handling-deadlines"/>
      <w:r>
        <w:lastRenderedPageBreak/>
        <w:t>Texas claim-handling deadlines</w:t>
      </w:r>
    </w:p>
    <w:p w14:paraId="56697F25" w14:textId="77777777" w:rsidR="003442FE" w:rsidRDefault="00000000" w:rsidP="003B2FDD">
      <w:pPr>
        <w:pStyle w:val="Heading4"/>
      </w:pPr>
      <w:bookmarkStart w:id="323" w:name="claim-acknowledgement-deadline"/>
      <w:r>
        <w:t>Claim acknowledgement deadline</w:t>
      </w:r>
    </w:p>
    <w:p w14:paraId="283F9864" w14:textId="77777777" w:rsidR="003442FE" w:rsidRDefault="00000000" w:rsidP="003B2FDD">
      <w:pPr>
        <w:pStyle w:val="FirstParagraph"/>
      </w:pPr>
      <w:r>
        <w:t xml:space="preserve">Texas prompt-payment timing: after receiving notice of a claim, the insurer generally must acknowledge the claim, begin investigation, and request needed forms or information within </w:t>
      </w:r>
      <w:r>
        <w:rPr>
          <w:b/>
          <w:bCs/>
        </w:rPr>
        <w:t>15 days</w:t>
      </w:r>
      <w:r>
        <w:t>. Why important: this is the first claim-timing clock and is tested separately from the decision and payment deadlines.</w:t>
      </w:r>
    </w:p>
    <w:p w14:paraId="2AC60806" w14:textId="77777777" w:rsidR="003442FE" w:rsidRDefault="00000000" w:rsidP="003B2FDD">
      <w:pPr>
        <w:pStyle w:val="Heading4"/>
      </w:pPr>
      <w:bookmarkStart w:id="324" w:name="claim-acceptance-or-rejection-deadline"/>
      <w:bookmarkEnd w:id="323"/>
      <w:r>
        <w:t>Claim acceptance or rejection deadline</w:t>
      </w:r>
    </w:p>
    <w:p w14:paraId="0A2EA3E7" w14:textId="77777777" w:rsidR="003442FE" w:rsidRDefault="00000000" w:rsidP="003B2FDD">
      <w:pPr>
        <w:pStyle w:val="FirstParagraph"/>
      </w:pPr>
      <w:r>
        <w:t xml:space="preserve">Texas prompt-payment timing: after the insurer receives all items, statements, and forms it reasonably needs, it generally has </w:t>
      </w:r>
      <w:r>
        <w:rPr>
          <w:b/>
          <w:bCs/>
        </w:rPr>
        <w:t>15 business days</w:t>
      </w:r>
      <w:r>
        <w:t xml:space="preserve"> to accept or reject the claim. If rejected, the reason must be given in writing. Apply this after the insurer has the necessary information.</w:t>
      </w:r>
    </w:p>
    <w:p w14:paraId="3A52809A" w14:textId="77777777" w:rsidR="003442FE" w:rsidRDefault="00000000" w:rsidP="003B2FDD">
      <w:pPr>
        <w:pStyle w:val="Heading4"/>
      </w:pPr>
      <w:bookmarkStart w:id="325" w:name="claim-decision-extension"/>
      <w:bookmarkEnd w:id="324"/>
      <w:r>
        <w:t>Claim decision extension</w:t>
      </w:r>
    </w:p>
    <w:p w14:paraId="0A1C69D1" w14:textId="77777777" w:rsidR="003442FE" w:rsidRDefault="00000000" w:rsidP="003B2FDD">
      <w:pPr>
        <w:pStyle w:val="FirstParagraph"/>
      </w:pPr>
      <w:r>
        <w:t xml:space="preserve">Texas prompt-payment timing: if the insurer needs more time after receiving required information, it can generally extend the decision deadline by up to </w:t>
      </w:r>
      <w:r>
        <w:rPr>
          <w:b/>
          <w:bCs/>
        </w:rPr>
        <w:t>45 days</w:t>
      </w:r>
      <w:r>
        <w:t xml:space="preserve"> by telling the claimant why more time is needed. Apply this only to the decision deadline, not to the initial acknowledgement deadline.</w:t>
      </w:r>
    </w:p>
    <w:p w14:paraId="7F14308B" w14:textId="77777777" w:rsidR="003442FE" w:rsidRDefault="00000000" w:rsidP="003B2FDD">
      <w:pPr>
        <w:pStyle w:val="Heading4"/>
      </w:pPr>
      <w:bookmarkStart w:id="326" w:name="payment-after-claim-acceptance"/>
      <w:bookmarkEnd w:id="325"/>
      <w:r>
        <w:t>Payment after claim acceptance</w:t>
      </w:r>
    </w:p>
    <w:p w14:paraId="4497387C" w14:textId="77777777" w:rsidR="003442FE" w:rsidRDefault="00000000" w:rsidP="003B2FDD">
      <w:pPr>
        <w:pStyle w:val="FirstParagraph"/>
      </w:pPr>
      <w:r>
        <w:t xml:space="preserve">Texas prompt-payment timing: after the insurer accepts all or part of a claim and notifies the claimant, payment is generally due within </w:t>
      </w:r>
      <w:r>
        <w:rPr>
          <w:b/>
          <w:bCs/>
        </w:rPr>
        <w:t>5 business days</w:t>
      </w:r>
      <w:r>
        <w:t>. Apply this after acceptance; it is the payment clock, not the investigation or decision clock.</w:t>
      </w:r>
    </w:p>
    <w:p w14:paraId="785ECDC7" w14:textId="77777777" w:rsidR="003442FE" w:rsidRDefault="00000000" w:rsidP="003B2FDD">
      <w:pPr>
        <w:pStyle w:val="Heading4"/>
      </w:pPr>
      <w:bookmarkStart w:id="327" w:name="weather-catastrophe-extension"/>
      <w:bookmarkEnd w:id="326"/>
      <w:r>
        <w:t>Weather-catastrophe extension</w:t>
      </w:r>
    </w:p>
    <w:p w14:paraId="6809383D" w14:textId="77777777" w:rsidR="003442FE" w:rsidRDefault="00000000" w:rsidP="003B2FDD">
      <w:pPr>
        <w:pStyle w:val="FirstParagraph"/>
      </w:pPr>
      <w:r>
        <w:t xml:space="preserve">Texas claim timing: TDI may extend claim-handling deadlines by </w:t>
      </w:r>
      <w:r>
        <w:rPr>
          <w:b/>
          <w:bCs/>
        </w:rPr>
        <w:t>15 additional days</w:t>
      </w:r>
      <w:r>
        <w:t xml:space="preserve"> when a claim is due to a weather-related catastrophe. Why important: catastrophe questions may add this extension to the ordinary prompt-payment deadlines.</w:t>
      </w:r>
    </w:p>
    <w:p w14:paraId="44BF5A32" w14:textId="77777777" w:rsidR="003442FE" w:rsidRDefault="00000000" w:rsidP="003B2FDD">
      <w:pPr>
        <w:pStyle w:val="Heading3"/>
      </w:pPr>
      <w:bookmarkStart w:id="328" w:name="policyholder-claim-duties"/>
      <w:bookmarkEnd w:id="322"/>
      <w:bookmarkEnd w:id="327"/>
      <w:r>
        <w:t>Policyholder claim duties</w:t>
      </w:r>
    </w:p>
    <w:p w14:paraId="7BF4086D" w14:textId="77777777" w:rsidR="003442FE" w:rsidRDefault="00000000" w:rsidP="003B2FDD">
      <w:pPr>
        <w:pStyle w:val="Heading4"/>
      </w:pPr>
      <w:bookmarkStart w:id="329" w:name="proof-of-loss-timeframe"/>
      <w:r>
        <w:t>Proof of loss timeframe</w:t>
      </w:r>
    </w:p>
    <w:p w14:paraId="5BF43CC0" w14:textId="77777777" w:rsidR="003442FE" w:rsidRDefault="00000000" w:rsidP="003B2FDD">
      <w:pPr>
        <w:pStyle w:val="FirstParagraph"/>
      </w:pPr>
      <w:r>
        <w:t xml:space="preserve">Proof of loss is the insured’s sworn statement and supporting information about the loss. A common property-policy exam parameter is that proof of loss is due within </w:t>
      </w:r>
      <w:r>
        <w:rPr>
          <w:b/>
          <w:bCs/>
        </w:rPr>
        <w:t>60 days</w:t>
      </w:r>
      <w:r>
        <w:t xml:space="preserve"> after the insurer requests it or provides forms, depending on policy wording. Apply this to insured duties after loss.</w:t>
      </w:r>
    </w:p>
    <w:p w14:paraId="43CB7508" w14:textId="77777777" w:rsidR="003442FE" w:rsidRDefault="00000000" w:rsidP="003B2FDD">
      <w:pPr>
        <w:pStyle w:val="Heading3"/>
      </w:pPr>
      <w:bookmarkStart w:id="330" w:name="flood-insurance-timing"/>
      <w:bookmarkEnd w:id="328"/>
      <w:bookmarkEnd w:id="329"/>
      <w:r>
        <w:t>Flood insurance timing</w:t>
      </w:r>
    </w:p>
    <w:p w14:paraId="6F55813B" w14:textId="77777777" w:rsidR="003442FE" w:rsidRDefault="00000000" w:rsidP="003B2FDD">
      <w:pPr>
        <w:pStyle w:val="Heading4"/>
      </w:pPr>
      <w:bookmarkStart w:id="331" w:name="nfip-waiting-period"/>
      <w:r>
        <w:t>NFIP waiting period</w:t>
      </w:r>
    </w:p>
    <w:p w14:paraId="3E4B9FA8" w14:textId="77777777" w:rsidR="003442FE" w:rsidRDefault="00000000" w:rsidP="003B2FDD">
      <w:pPr>
        <w:pStyle w:val="FirstParagraph"/>
      </w:pPr>
      <w:r>
        <w:t xml:space="preserve">NFIP flood insurance generally has a </w:t>
      </w:r>
      <w:r>
        <w:rPr>
          <w:b/>
          <w:bCs/>
        </w:rPr>
        <w:t>30-day waiting period</w:t>
      </w:r>
      <w:r>
        <w:t xml:space="preserve"> before a new policy becomes effective, subject to exceptions such as certain loan-closing or map-change situations. Why </w:t>
      </w:r>
      <w:r>
        <w:lastRenderedPageBreak/>
        <w:t>important: standard homeowners policies usually exclude flood, and the waiting period prevents last-minute purchases when flooding is imminent.</w:t>
      </w:r>
    </w:p>
    <w:p w14:paraId="7638C72B" w14:textId="77777777" w:rsidR="003442FE" w:rsidRDefault="00000000" w:rsidP="003B2FDD">
      <w:pPr>
        <w:pStyle w:val="Heading3"/>
      </w:pPr>
      <w:bookmarkStart w:id="332" w:name="claims-made-cgl-timing"/>
      <w:bookmarkEnd w:id="330"/>
      <w:bookmarkEnd w:id="331"/>
      <w:r>
        <w:t>Claims-made CGL timing</w:t>
      </w:r>
    </w:p>
    <w:p w14:paraId="7B3DC656" w14:textId="77777777" w:rsidR="003442FE" w:rsidRDefault="00000000" w:rsidP="003B2FDD">
      <w:pPr>
        <w:pStyle w:val="Heading4"/>
      </w:pPr>
      <w:bookmarkStart w:id="333" w:name="retroactive-date-1"/>
      <w:r>
        <w:t>Retroactive date</w:t>
      </w:r>
    </w:p>
    <w:p w14:paraId="0BEECC0E" w14:textId="77777777" w:rsidR="003442FE" w:rsidRDefault="00000000" w:rsidP="003B2FDD">
      <w:pPr>
        <w:pStyle w:val="FirstParagraph"/>
      </w:pPr>
      <w:r>
        <w:t>In a claims-made CGL policy, the retroactive date limits coverage for injury or damage that occurred before that date. The claim must be made during the policy period or a valid reporting period, and the injury or damage must satisfy the retroactive-date rule. This is essential for occurrence-vs-claims-made questions.</w:t>
      </w:r>
    </w:p>
    <w:p w14:paraId="6316DD78" w14:textId="77777777" w:rsidR="003442FE" w:rsidRDefault="00000000" w:rsidP="003B2FDD">
      <w:pPr>
        <w:pStyle w:val="Heading4"/>
      </w:pPr>
      <w:bookmarkStart w:id="334" w:name="Xdf90fb619b3b7e559c57d0bc8537c1f60f98077"/>
      <w:bookmarkEnd w:id="333"/>
      <w:r>
        <w:t>Basic extended reporting period - 60-day component</w:t>
      </w:r>
    </w:p>
    <w:p w14:paraId="7F3B411F" w14:textId="77777777" w:rsidR="003442FE" w:rsidRDefault="00000000" w:rsidP="003B2FDD">
      <w:pPr>
        <w:pStyle w:val="FirstParagraph"/>
      </w:pPr>
      <w:r>
        <w:t xml:space="preserve">Claims-made CGL timing: the basic extended reporting period includes a short </w:t>
      </w:r>
      <w:r>
        <w:rPr>
          <w:b/>
          <w:bCs/>
        </w:rPr>
        <w:t>60-day</w:t>
      </w:r>
      <w:r>
        <w:t xml:space="preserve"> component for claims first made after policy expiration. Apply it when a claims-made policy has ended and a claim is reported shortly after expiration.</w:t>
      </w:r>
    </w:p>
    <w:p w14:paraId="1F3E3E1F" w14:textId="77777777" w:rsidR="003442FE" w:rsidRDefault="00000000" w:rsidP="003B2FDD">
      <w:pPr>
        <w:pStyle w:val="Heading4"/>
      </w:pPr>
      <w:bookmarkStart w:id="335" w:name="X8af3a7ba9a44e1f892b158e05eb581f2d260be1"/>
      <w:bookmarkEnd w:id="334"/>
      <w:r>
        <w:t>Basic extended reporting period - five-year component</w:t>
      </w:r>
    </w:p>
    <w:p w14:paraId="31E1E87B" w14:textId="77777777" w:rsidR="003442FE" w:rsidRDefault="00000000" w:rsidP="003B2FDD">
      <w:pPr>
        <w:pStyle w:val="FirstParagraph"/>
      </w:pPr>
      <w:r>
        <w:t xml:space="preserve">Claims-made CGL timing: the basic extended reporting period also includes a longer component, commonly tested as up to </w:t>
      </w:r>
      <w:r>
        <w:rPr>
          <w:b/>
          <w:bCs/>
        </w:rPr>
        <w:t>5 years</w:t>
      </w:r>
      <w:r>
        <w:t>, for claims arising out of occurrences reported to the insurer within the required short period after policy expiration. Apply it only when the occurrence was timely reported.</w:t>
      </w:r>
    </w:p>
    <w:p w14:paraId="42A07985" w14:textId="77777777" w:rsidR="003442FE" w:rsidRDefault="00000000" w:rsidP="003B2FDD">
      <w:pPr>
        <w:pStyle w:val="Heading4"/>
      </w:pPr>
      <w:bookmarkStart w:id="336" w:name="supplemental-extended-reporting-period"/>
      <w:bookmarkEnd w:id="335"/>
      <w:r>
        <w:t>Supplemental extended reporting period</w:t>
      </w:r>
    </w:p>
    <w:p w14:paraId="2162BE0F" w14:textId="77777777" w:rsidR="003442FE" w:rsidRDefault="00000000" w:rsidP="003B2FDD">
      <w:pPr>
        <w:pStyle w:val="FirstParagraph"/>
      </w:pPr>
      <w:r>
        <w:t xml:space="preserve">A supplemental extended reporting period is optional tail coverage for claims-made CGL. It generally must be elected in writing within </w:t>
      </w:r>
      <w:r>
        <w:rPr>
          <w:b/>
          <w:bCs/>
        </w:rPr>
        <w:t>60 days</w:t>
      </w:r>
      <w:r>
        <w:t xml:space="preserve"> after the policy ends and requires additional premium. Apply it when a question asks about purchasing a longer reporting tail after policy termination.</w:t>
      </w:r>
    </w:p>
    <w:p w14:paraId="6421F7A6" w14:textId="77777777" w:rsidR="003442FE" w:rsidRDefault="00000000" w:rsidP="003B2FDD">
      <w:pPr>
        <w:pStyle w:val="Heading3"/>
      </w:pPr>
      <w:bookmarkStart w:id="337" w:name="texas-homeowners-timing"/>
      <w:bookmarkEnd w:id="332"/>
      <w:bookmarkEnd w:id="336"/>
      <w:r>
        <w:t>Texas homeowners timing</w:t>
      </w:r>
    </w:p>
    <w:p w14:paraId="06268FF9" w14:textId="77777777" w:rsidR="003442FE" w:rsidRDefault="00000000" w:rsidP="003B2FDD">
      <w:pPr>
        <w:pStyle w:val="Heading4"/>
      </w:pPr>
      <w:bookmarkStart w:id="338" w:name="homeowners-cancellation-notice"/>
      <w:r>
        <w:t>Homeowners cancellation notice</w:t>
      </w:r>
    </w:p>
    <w:p w14:paraId="106DEFD1" w14:textId="77777777" w:rsidR="003442FE" w:rsidRDefault="00000000" w:rsidP="003B2FDD">
      <w:pPr>
        <w:pStyle w:val="FirstParagraph"/>
      </w:pPr>
      <w:r>
        <w:t xml:space="preserve">Texas homeowners timing: TDI states that a company must give </w:t>
      </w:r>
      <w:r>
        <w:rPr>
          <w:b/>
          <w:bCs/>
        </w:rPr>
        <w:t>10 days’ notice</w:t>
      </w:r>
      <w:r>
        <w:t xml:space="preserve"> before canceling a home policy. Cancellation is stopping the policy before its end date. Apply this to mid-term cancellation questions, not expiration-date nonrenewal questions.</w:t>
      </w:r>
    </w:p>
    <w:p w14:paraId="6495ECC8" w14:textId="77777777" w:rsidR="003442FE" w:rsidRDefault="00000000" w:rsidP="003B2FDD">
      <w:pPr>
        <w:pStyle w:val="Heading4"/>
      </w:pPr>
      <w:bookmarkStart w:id="339" w:name="homeowners-nonrenewal-notice"/>
      <w:bookmarkEnd w:id="338"/>
      <w:r>
        <w:t>Homeowners nonrenewal notice</w:t>
      </w:r>
    </w:p>
    <w:p w14:paraId="66A995E9" w14:textId="77777777" w:rsidR="003442FE" w:rsidRDefault="00000000" w:rsidP="003B2FDD">
      <w:pPr>
        <w:pStyle w:val="FirstParagraph"/>
      </w:pPr>
      <w:r>
        <w:t xml:space="preserve">Texas homeowners timing: TDI identifies </w:t>
      </w:r>
      <w:r>
        <w:rPr>
          <w:b/>
          <w:bCs/>
        </w:rPr>
        <w:t>60 days’ notice</w:t>
      </w:r>
      <w:r>
        <w:t xml:space="preserve"> for nonrenewal if the policy was bought or renewed in 2024, and </w:t>
      </w:r>
      <w:r>
        <w:rPr>
          <w:b/>
          <w:bCs/>
        </w:rPr>
        <w:t>30 days</w:t>
      </w:r>
      <w:r>
        <w:t xml:space="preserve"> for policies bought or renewed in 2023 or earlier. For current exam prep, treat the 60-day rule as the key updated number unless the question states an older policy period.</w:t>
      </w:r>
    </w:p>
    <w:p w14:paraId="12E90302" w14:textId="77777777" w:rsidR="003442FE" w:rsidRDefault="00000000" w:rsidP="003B2FDD">
      <w:pPr>
        <w:pStyle w:val="Heading4"/>
      </w:pPr>
      <w:bookmarkStart w:id="340" w:name="home-policy-after-60-days"/>
      <w:bookmarkEnd w:id="339"/>
      <w:r>
        <w:lastRenderedPageBreak/>
        <w:t>Home policy after 60 days</w:t>
      </w:r>
    </w:p>
    <w:p w14:paraId="102524C4" w14:textId="77777777" w:rsidR="003442FE" w:rsidRDefault="00000000" w:rsidP="003B2FDD">
      <w:pPr>
        <w:pStyle w:val="FirstParagraph"/>
      </w:pPr>
      <w:r>
        <w:t xml:space="preserve">Texas homeowners rule pattern: after a home policy has been in effect for </w:t>
      </w:r>
      <w:r>
        <w:rPr>
          <w:b/>
          <w:bCs/>
        </w:rPr>
        <w:t>60 days or more</w:t>
      </w:r>
      <w:r>
        <w:t>, cancellation is limited to specific reasons such as nonpayment, fraudulent claim, increased hazard within the insured’s control, or compliance/legal issues. Apply when a question asks whether a mid-term cancellation is allowed after the initial underwriting period.</w:t>
      </w:r>
    </w:p>
    <w:p w14:paraId="7C004027" w14:textId="77777777" w:rsidR="003442FE" w:rsidRDefault="00000000" w:rsidP="003B2FDD">
      <w:pPr>
        <w:pStyle w:val="Heading3"/>
      </w:pPr>
      <w:bookmarkStart w:id="341" w:name="texas-auto-timing"/>
      <w:bookmarkEnd w:id="337"/>
      <w:bookmarkEnd w:id="340"/>
      <w:r>
        <w:t>Texas auto timing</w:t>
      </w:r>
    </w:p>
    <w:p w14:paraId="30AA06EA" w14:textId="77777777" w:rsidR="003442FE" w:rsidRDefault="00000000" w:rsidP="003B2FDD">
      <w:pPr>
        <w:pStyle w:val="Heading4"/>
      </w:pPr>
      <w:bookmarkStart w:id="342" w:name="auto-first-60-days-cancellation"/>
      <w:r>
        <w:t>Auto first-60-days cancellation</w:t>
      </w:r>
    </w:p>
    <w:p w14:paraId="05D80478" w14:textId="77777777" w:rsidR="003442FE" w:rsidRDefault="00000000" w:rsidP="003B2FDD">
      <w:pPr>
        <w:pStyle w:val="FirstParagraph"/>
      </w:pPr>
      <w:r>
        <w:t xml:space="preserve">Texas auto timing: TDI states an auto company may cancel during the first </w:t>
      </w:r>
      <w:r>
        <w:rPr>
          <w:b/>
          <w:bCs/>
        </w:rPr>
        <w:t>60 days</w:t>
      </w:r>
      <w:r>
        <w:t xml:space="preserve"> for any lawful reason. After that, cancellation reasons narrow. Apply when the question tests initial underwriting/cancellation timing.</w:t>
      </w:r>
    </w:p>
    <w:p w14:paraId="4B3031AE" w14:textId="77777777" w:rsidR="003442FE" w:rsidRDefault="00000000" w:rsidP="003B2FDD">
      <w:pPr>
        <w:pStyle w:val="Heading4"/>
      </w:pPr>
      <w:bookmarkStart w:id="343" w:name="Xb1503dfd1ab887cce5ccf7d2f147cbeb2b82bf8"/>
      <w:bookmarkEnd w:id="342"/>
      <w:r>
        <w:t>Auto cancellation notice and permitted reasons</w:t>
      </w:r>
    </w:p>
    <w:p w14:paraId="12EEC1FF" w14:textId="77777777" w:rsidR="003442FE" w:rsidRDefault="00000000" w:rsidP="003B2FDD">
      <w:pPr>
        <w:pStyle w:val="FirstParagraph"/>
      </w:pPr>
      <w:r>
        <w:t xml:space="preserve">Texas auto timing: TDI states a company must give </w:t>
      </w:r>
      <w:r>
        <w:rPr>
          <w:b/>
          <w:bCs/>
        </w:rPr>
        <w:t>10 days’ notice</w:t>
      </w:r>
      <w:r>
        <w:t xml:space="preserve"> before canceling an auto policy. After the first </w:t>
      </w:r>
      <w:r>
        <w:rPr>
          <w:b/>
          <w:bCs/>
        </w:rPr>
        <w:t>60 days</w:t>
      </w:r>
      <w:r>
        <w:t>, common permitted reasons include nonpayment, fraudulent claim, or suspension/revocation of the driver’s license or vehicle registration for the insured or covered household/user.</w:t>
      </w:r>
    </w:p>
    <w:p w14:paraId="6C9508AF" w14:textId="77777777" w:rsidR="003442FE" w:rsidRDefault="00000000" w:rsidP="003B2FDD">
      <w:pPr>
        <w:pStyle w:val="Heading4"/>
      </w:pPr>
      <w:bookmarkStart w:id="344" w:name="X4a01afdd40e45a87d0c445b9aa5d24023bda613"/>
      <w:bookmarkEnd w:id="343"/>
      <w:r>
        <w:t>Unearned premium refund after auto cancellation</w:t>
      </w:r>
    </w:p>
    <w:p w14:paraId="2C7B127E" w14:textId="77777777" w:rsidR="003442FE" w:rsidRDefault="00000000" w:rsidP="003B2FDD">
      <w:pPr>
        <w:pStyle w:val="FirstParagraph"/>
      </w:pPr>
      <w:r>
        <w:t xml:space="preserve">Texas auto timing: if either the insured or the company cancels an auto policy, TDI states the company must refund any unearned premium within </w:t>
      </w:r>
      <w:r>
        <w:rPr>
          <w:b/>
          <w:bCs/>
        </w:rPr>
        <w:t>15 days</w:t>
      </w:r>
      <w:r>
        <w:t xml:space="preserve"> after the cancellation date. Apply this to refund timing, not cancellation notice timing.</w:t>
      </w:r>
    </w:p>
    <w:p w14:paraId="08813B6D" w14:textId="77777777" w:rsidR="003442FE" w:rsidRDefault="00000000" w:rsidP="003B2FDD">
      <w:pPr>
        <w:pStyle w:val="Heading4"/>
      </w:pPr>
      <w:bookmarkStart w:id="345" w:name="auto-nonrenewal-notice-and-12-month-rule"/>
      <w:bookmarkEnd w:id="344"/>
      <w:r>
        <w:t>Auto nonrenewal notice and 12-month rule</w:t>
      </w:r>
    </w:p>
    <w:p w14:paraId="60D17B4B" w14:textId="77777777" w:rsidR="003442FE" w:rsidRDefault="00000000" w:rsidP="003B2FDD">
      <w:pPr>
        <w:pStyle w:val="FirstParagraph"/>
      </w:pPr>
      <w:r>
        <w:t xml:space="preserve">Texas auto timing: TDI identifies </w:t>
      </w:r>
      <w:r>
        <w:rPr>
          <w:b/>
          <w:bCs/>
        </w:rPr>
        <w:t>60 days’ nonrenewal notice</w:t>
      </w:r>
      <w:r>
        <w:t xml:space="preserve"> for policies bought or renewed in 2024, and </w:t>
      </w:r>
      <w:r>
        <w:rPr>
          <w:b/>
          <w:bCs/>
        </w:rPr>
        <w:t>30 days</w:t>
      </w:r>
      <w:r>
        <w:t xml:space="preserve"> for policies bought or renewed in 2023 or earlier. TDI also states a company can generally nonrenew an auto policy only after it has been in effect for </w:t>
      </w:r>
      <w:r>
        <w:rPr>
          <w:b/>
          <w:bCs/>
        </w:rPr>
        <w:t>12 months</w:t>
      </w:r>
      <w:r>
        <w:t>.</w:t>
      </w:r>
    </w:p>
    <w:p w14:paraId="5F73DD03" w14:textId="77777777" w:rsidR="003442FE" w:rsidRDefault="00000000" w:rsidP="003B2FDD">
      <w:pPr>
        <w:pStyle w:val="Heading4"/>
      </w:pPr>
      <w:bookmarkStart w:id="346" w:name="taipa-eligibility-and-coverages"/>
      <w:bookmarkEnd w:id="345"/>
      <w:r>
        <w:t>TAIPA eligibility and coverages</w:t>
      </w:r>
    </w:p>
    <w:p w14:paraId="7AF2A416" w14:textId="77777777" w:rsidR="003442FE" w:rsidRDefault="00000000" w:rsidP="003B2FDD">
      <w:pPr>
        <w:pStyle w:val="FirstParagraph"/>
      </w:pPr>
      <w:r>
        <w:t xml:space="preserve">TAIPA is Texas’s residual market for applicants who cannot find a company willing to sell basic auto coverage. TDI states eligibility can exist after </w:t>
      </w:r>
      <w:r>
        <w:rPr>
          <w:b/>
          <w:bCs/>
        </w:rPr>
        <w:t>two companies</w:t>
      </w:r>
      <w:r>
        <w:t xml:space="preserve"> turn the applicant down. TAIPA sells liability, PIP, and UM/UIM, but not collision, comprehensive, or higher liability limits than state law requires.</w:t>
      </w:r>
    </w:p>
    <w:p w14:paraId="498DE4B1" w14:textId="77777777" w:rsidR="003442FE" w:rsidRDefault="00000000" w:rsidP="003B2FDD">
      <w:pPr>
        <w:pStyle w:val="Heading4"/>
      </w:pPr>
      <w:bookmarkStart w:id="347" w:name="newly-acquired-auto-coverage-timing"/>
      <w:bookmarkEnd w:id="346"/>
      <w:r>
        <w:t>Newly acquired auto coverage timing</w:t>
      </w:r>
    </w:p>
    <w:p w14:paraId="638B2826" w14:textId="77777777" w:rsidR="003442FE" w:rsidRDefault="00000000" w:rsidP="003B2FDD">
      <w:pPr>
        <w:pStyle w:val="FirstParagraph"/>
      </w:pPr>
      <w:r>
        <w:t xml:space="preserve">Texas auto guide detail: TDI says a new car is automatically covered by the current auto policy for about </w:t>
      </w:r>
      <w:r>
        <w:rPr>
          <w:b/>
          <w:bCs/>
        </w:rPr>
        <w:t>20 days</w:t>
      </w:r>
      <w:r>
        <w:t>. The coverage depends on whether the car is an additional car or a replacement car. Apply when the question asks about short-term automatic coverage for a newly acquired auto.</w:t>
      </w:r>
    </w:p>
    <w:p w14:paraId="6C902F71" w14:textId="77777777" w:rsidR="003442FE" w:rsidRDefault="00000000" w:rsidP="003B2FDD">
      <w:pPr>
        <w:pStyle w:val="Heading3"/>
      </w:pPr>
      <w:bookmarkStart w:id="348" w:name="texas-licensing-timelines"/>
      <w:bookmarkEnd w:id="341"/>
      <w:bookmarkEnd w:id="347"/>
      <w:r>
        <w:lastRenderedPageBreak/>
        <w:t>Texas licensing timelines</w:t>
      </w:r>
    </w:p>
    <w:p w14:paraId="7278E2A1" w14:textId="77777777" w:rsidR="003442FE" w:rsidRDefault="00000000" w:rsidP="003B2FDD">
      <w:pPr>
        <w:pStyle w:val="Heading4"/>
      </w:pPr>
      <w:bookmarkStart w:id="349" w:name="temporary-license-duration"/>
      <w:r>
        <w:t>Temporary license duration</w:t>
      </w:r>
    </w:p>
    <w:p w14:paraId="229B3FF0" w14:textId="77777777" w:rsidR="003442FE" w:rsidRDefault="00000000" w:rsidP="003B2FDD">
      <w:pPr>
        <w:pStyle w:val="FirstParagraph"/>
      </w:pPr>
      <w:r>
        <w:t xml:space="preserve">Texas licensing: a one-time temporary general lines license is active for </w:t>
      </w:r>
      <w:r>
        <w:rPr>
          <w:b/>
          <w:bCs/>
        </w:rPr>
        <w:t>180 days</w:t>
      </w:r>
      <w:r>
        <w:t xml:space="preserve"> and cannot be renewed. The exam must be passed within the </w:t>
      </w:r>
      <w:r>
        <w:rPr>
          <w:b/>
          <w:bCs/>
        </w:rPr>
        <w:t>180-day</w:t>
      </w:r>
      <w:r>
        <w:t xml:space="preserve"> temporary license period for conversion to permanent licensing without starting over. Apply to temporary-license questions, not emergency-license questions.</w:t>
      </w:r>
    </w:p>
    <w:p w14:paraId="38F0A0FF" w14:textId="77777777" w:rsidR="003442FE" w:rsidRDefault="00000000" w:rsidP="003B2FDD">
      <w:pPr>
        <w:pStyle w:val="Heading4"/>
      </w:pPr>
      <w:bookmarkStart w:id="350" w:name="temporary-license-training-requirement"/>
      <w:bookmarkEnd w:id="349"/>
      <w:r>
        <w:t>Temporary license training requirement</w:t>
      </w:r>
    </w:p>
    <w:p w14:paraId="025D2311" w14:textId="77777777" w:rsidR="003442FE" w:rsidRDefault="00000000" w:rsidP="003B2FDD">
      <w:pPr>
        <w:pStyle w:val="FirstParagraph"/>
      </w:pPr>
      <w:r>
        <w:t xml:space="preserve">Texas temporary-license timing: the applicant must complete at least </w:t>
      </w:r>
      <w:r>
        <w:rPr>
          <w:b/>
          <w:bCs/>
        </w:rPr>
        <w:t>40 hours</w:t>
      </w:r>
      <w:r>
        <w:t xml:space="preserve"> of training provided by the appointing company or general lines agent/agency, and the training must occur within </w:t>
      </w:r>
      <w:r>
        <w:rPr>
          <w:b/>
          <w:bCs/>
        </w:rPr>
        <w:t>30 days</w:t>
      </w:r>
      <w:r>
        <w:t xml:space="preserve"> of the license application date. Apply when the question asks how a temporary licensee is supervised/trained before permanent licensing.</w:t>
      </w:r>
    </w:p>
    <w:p w14:paraId="4A170124" w14:textId="77777777" w:rsidR="003442FE" w:rsidRDefault="00000000" w:rsidP="003B2FDD">
      <w:pPr>
        <w:pStyle w:val="Heading4"/>
      </w:pPr>
      <w:bookmarkStart w:id="351" w:name="emergency-license-duration"/>
      <w:bookmarkEnd w:id="350"/>
      <w:r>
        <w:t>Emergency license duration</w:t>
      </w:r>
    </w:p>
    <w:p w14:paraId="6F93A43C" w14:textId="77777777" w:rsidR="003442FE" w:rsidRDefault="00000000" w:rsidP="003B2FDD">
      <w:pPr>
        <w:pStyle w:val="FirstParagraph"/>
      </w:pPr>
      <w:r>
        <w:t xml:space="preserve">Texas General Lines P&amp;C licensing: TDI identifies a </w:t>
      </w:r>
      <w:r>
        <w:rPr>
          <w:b/>
          <w:bCs/>
        </w:rPr>
        <w:t>90-day</w:t>
      </w:r>
      <w:r>
        <w:t xml:space="preserve"> emergency license for limited situations involving preservation of agency business after another P&amp;C agent dies, becomes disabled, or is insolvent and unable to pay premiums due to an insurer. Apply to emergency-license questions only.</w:t>
      </w:r>
    </w:p>
    <w:p w14:paraId="0E1080B2" w14:textId="77777777" w:rsidR="003442FE" w:rsidRDefault="00000000" w:rsidP="003B2FDD">
      <w:pPr>
        <w:pStyle w:val="Heading4"/>
      </w:pPr>
      <w:bookmarkStart w:id="352" w:name="application-after-passing-exam"/>
      <w:bookmarkEnd w:id="351"/>
      <w:r>
        <w:t>Application after passing exam</w:t>
      </w:r>
    </w:p>
    <w:p w14:paraId="2A25D98C" w14:textId="77777777" w:rsidR="003442FE" w:rsidRDefault="00000000" w:rsidP="003B2FDD">
      <w:pPr>
        <w:pStyle w:val="FirstParagraph"/>
      </w:pPr>
      <w:r>
        <w:t xml:space="preserve">Texas licensing: applicants who pass the required exam must submit a completed license application within </w:t>
      </w:r>
      <w:r>
        <w:rPr>
          <w:b/>
          <w:bCs/>
        </w:rPr>
        <w:t>12 months</w:t>
      </w:r>
      <w:r>
        <w:t xml:space="preserve"> after passing. If they do not, they must retake the examination. Apply this to post-exam licensing steps.</w:t>
      </w:r>
    </w:p>
    <w:p w14:paraId="0917A222" w14:textId="77777777" w:rsidR="003442FE" w:rsidRDefault="00000000" w:rsidP="003B2FDD">
      <w:pPr>
        <w:pStyle w:val="Heading4"/>
      </w:pPr>
      <w:bookmarkStart w:id="353" w:name="minimum-age-and-fingerprints"/>
      <w:bookmarkEnd w:id="352"/>
      <w:r>
        <w:t>Minimum age and fingerprints</w:t>
      </w:r>
    </w:p>
    <w:p w14:paraId="6AB3B6C2" w14:textId="77777777" w:rsidR="003442FE" w:rsidRDefault="00000000" w:rsidP="003B2FDD">
      <w:pPr>
        <w:pStyle w:val="FirstParagraph"/>
      </w:pPr>
      <w:r>
        <w:t xml:space="preserve">Texas licensing basics: the Pearson/TDI handbook states applicants must be at least </w:t>
      </w:r>
      <w:r>
        <w:rPr>
          <w:b/>
          <w:bCs/>
        </w:rPr>
        <w:t>18 years old</w:t>
      </w:r>
      <w:r>
        <w:t>, pass the proper exam if required, submit a completed application and fee, and provide the required fingerprint receipt. Apply to eligibility and application-step questions.</w:t>
      </w:r>
    </w:p>
    <w:p w14:paraId="0B772A77" w14:textId="77777777" w:rsidR="003442FE" w:rsidRDefault="00000000" w:rsidP="003B2FDD">
      <w:pPr>
        <w:pStyle w:val="Heading3"/>
      </w:pPr>
      <w:bookmarkStart w:id="354" w:name="texas-renewal-and-ce"/>
      <w:bookmarkEnd w:id="348"/>
      <w:bookmarkEnd w:id="353"/>
      <w:r>
        <w:t>Texas renewal and CE</w:t>
      </w:r>
    </w:p>
    <w:p w14:paraId="75A4BF9D" w14:textId="77777777" w:rsidR="003442FE" w:rsidRDefault="00000000" w:rsidP="003B2FDD">
      <w:pPr>
        <w:pStyle w:val="Heading4"/>
      </w:pPr>
      <w:bookmarkStart w:id="355" w:name="X73437ce3a796af39a06ef8b7b3d941b868b21f9"/>
      <w:r>
        <w:t>CE hours, ethics, and classroom-equivalent requirement</w:t>
      </w:r>
    </w:p>
    <w:p w14:paraId="4C57E691" w14:textId="77777777" w:rsidR="003442FE" w:rsidRDefault="00000000" w:rsidP="003B2FDD">
      <w:pPr>
        <w:pStyle w:val="FirstParagraph"/>
      </w:pPr>
      <w:r>
        <w:t xml:space="preserve">Texas General Lines P&amp;C renewal: TDI requires </w:t>
      </w:r>
      <w:r>
        <w:rPr>
          <w:b/>
          <w:bCs/>
        </w:rPr>
        <w:t>24 hours</w:t>
      </w:r>
      <w:r>
        <w:t xml:space="preserve"> of continuing education every </w:t>
      </w:r>
      <w:r>
        <w:rPr>
          <w:b/>
          <w:bCs/>
        </w:rPr>
        <w:t>two-year term</w:t>
      </w:r>
      <w:r>
        <w:t xml:space="preserve">, including </w:t>
      </w:r>
      <w:r>
        <w:rPr>
          <w:b/>
          <w:bCs/>
        </w:rPr>
        <w:t>3 hours of ethics</w:t>
      </w:r>
      <w:r>
        <w:t xml:space="preserve">. TDI also states at least </w:t>
      </w:r>
      <w:r>
        <w:rPr>
          <w:b/>
          <w:bCs/>
        </w:rPr>
        <w:t>12 hours</w:t>
      </w:r>
      <w:r>
        <w:t xml:space="preserve"> must be classroom or classroom-equivalent. Apply to license-maintenance questions.</w:t>
      </w:r>
    </w:p>
    <w:p w14:paraId="63351E51" w14:textId="77777777" w:rsidR="003442FE" w:rsidRDefault="00000000" w:rsidP="003B2FDD">
      <w:pPr>
        <w:pStyle w:val="Heading4"/>
      </w:pPr>
      <w:bookmarkStart w:id="356" w:name="ce-fines-and-late-renewal-consequence"/>
      <w:bookmarkEnd w:id="355"/>
      <w:r>
        <w:t>CE fines and late renewal consequence</w:t>
      </w:r>
    </w:p>
    <w:p w14:paraId="07D8FADF" w14:textId="77777777" w:rsidR="003442FE" w:rsidRDefault="00000000" w:rsidP="003B2FDD">
      <w:pPr>
        <w:pStyle w:val="FirstParagraph"/>
      </w:pPr>
      <w:r>
        <w:t xml:space="preserve">Texas CE consequence: TDI states fines of </w:t>
      </w:r>
      <w:r>
        <w:rPr>
          <w:b/>
          <w:bCs/>
        </w:rPr>
        <w:t>$50</w:t>
      </w:r>
      <w:r>
        <w:t xml:space="preserve"> apply for each deficient CE hour, with a </w:t>
      </w:r>
      <w:r>
        <w:rPr>
          <w:b/>
          <w:bCs/>
        </w:rPr>
        <w:t>$500 maximum</w:t>
      </w:r>
      <w:r>
        <w:t xml:space="preserve"> per license type for current terms. If CE, fines, and renewal are not completed within </w:t>
      </w:r>
      <w:r>
        <w:rPr>
          <w:b/>
          <w:bCs/>
        </w:rPr>
        <w:t>90 days</w:t>
      </w:r>
      <w:r>
        <w:t xml:space="preserve"> after expiration, the license is canceled and the person must reapply. Apply to renewal, late-renewal, and CE-compliance questions.</w:t>
      </w:r>
    </w:p>
    <w:p w14:paraId="2A1CF0A4" w14:textId="77777777" w:rsidR="003442FE" w:rsidRDefault="00000000" w:rsidP="003B2FDD">
      <w:pPr>
        <w:pStyle w:val="Heading3"/>
      </w:pPr>
      <w:bookmarkStart w:id="357" w:name="X9c5fa001d2aba45dede6c4e45f5aeadd9503a4c"/>
      <w:bookmarkEnd w:id="354"/>
      <w:bookmarkEnd w:id="356"/>
      <w:r>
        <w:lastRenderedPageBreak/>
        <w:t>Texas licensee notifications and appointments</w:t>
      </w:r>
    </w:p>
    <w:p w14:paraId="33487CD3" w14:textId="77777777" w:rsidR="003442FE" w:rsidRDefault="00000000" w:rsidP="003B2FDD">
      <w:pPr>
        <w:pStyle w:val="Heading4"/>
      </w:pPr>
      <w:bookmarkStart w:id="358" w:name="change-of-address-deadline"/>
      <w:r>
        <w:t>Change of address deadline</w:t>
      </w:r>
    </w:p>
    <w:p w14:paraId="7EE97BCC" w14:textId="77777777" w:rsidR="003442FE" w:rsidRDefault="00000000" w:rsidP="003B2FDD">
      <w:pPr>
        <w:pStyle w:val="FirstParagraph"/>
      </w:pPr>
      <w:r>
        <w:t xml:space="preserve">Texas licensee notification: the Pearson/TDI handbook states TDI must be notified in writing within </w:t>
      </w:r>
      <w:r>
        <w:rPr>
          <w:b/>
          <w:bCs/>
        </w:rPr>
        <w:t>30 days</w:t>
      </w:r>
      <w:r>
        <w:t xml:space="preserve"> if the licensee’s resident, mailing, or primary business address changes. Failure can result in disciplinary action. Apply to notification-to-department questions.</w:t>
      </w:r>
    </w:p>
    <w:p w14:paraId="5E3F3672" w14:textId="77777777" w:rsidR="003442FE" w:rsidRDefault="00000000" w:rsidP="003B2FDD">
      <w:pPr>
        <w:pStyle w:val="Heading4"/>
      </w:pPr>
      <w:bookmarkStart w:id="359" w:name="additional-appointments"/>
      <w:bookmarkEnd w:id="358"/>
      <w:r>
        <w:t>Additional appointments</w:t>
      </w:r>
    </w:p>
    <w:p w14:paraId="3A189EA3" w14:textId="77777777" w:rsidR="003442FE" w:rsidRDefault="00000000" w:rsidP="003B2FDD">
      <w:pPr>
        <w:pStyle w:val="FirstParagraph"/>
      </w:pPr>
      <w:r>
        <w:t>Texas appointment rule: if an agent wants to represent additional insurers, each company must file notice of appointment with TDI on the day the agent begins representing that company. The agent may sell only lines for which licensed. A temporary licensee may not obtain additional appointments.</w:t>
      </w:r>
    </w:p>
    <w:p w14:paraId="5D8AAA48" w14:textId="77777777" w:rsidR="003442FE" w:rsidRDefault="00000000" w:rsidP="003B2FDD">
      <w:pPr>
        <w:pStyle w:val="Heading3"/>
      </w:pPr>
      <w:bookmarkStart w:id="360" w:name="commissioner-insurer-oversight"/>
      <w:bookmarkEnd w:id="357"/>
      <w:bookmarkEnd w:id="359"/>
      <w:r>
        <w:t>Commissioner / insurer oversight</w:t>
      </w:r>
    </w:p>
    <w:p w14:paraId="2BB3688B" w14:textId="77777777" w:rsidR="003442FE" w:rsidRDefault="00000000" w:rsidP="003B2FDD">
      <w:pPr>
        <w:pStyle w:val="Heading4"/>
      </w:pPr>
      <w:bookmarkStart w:id="361" w:name="carrier-examination-frequency"/>
      <w:r>
        <w:t>Carrier examination frequency</w:t>
      </w:r>
    </w:p>
    <w:p w14:paraId="1CBE74EA" w14:textId="77777777" w:rsidR="003442FE" w:rsidRDefault="00000000" w:rsidP="003B2FDD">
      <w:pPr>
        <w:pStyle w:val="FirstParagraph"/>
      </w:pPr>
      <w:r>
        <w:t xml:space="preserve">Texas regulator oversight: the department may examine a carrier as often as necessary and, at minimum, not less frequently than once every </w:t>
      </w:r>
      <w:r>
        <w:rPr>
          <w:b/>
          <w:bCs/>
        </w:rPr>
        <w:t>five years</w:t>
      </w:r>
      <w:r>
        <w:t>, subject to statutory framework. Apply to Commissioner/TDI examination-authority questions.</w:t>
      </w:r>
    </w:p>
    <w:p w14:paraId="5197F55F" w14:textId="77777777" w:rsidR="003442FE" w:rsidRDefault="00000000" w:rsidP="003B2FDD">
      <w:pPr>
        <w:pStyle w:val="Heading2"/>
      </w:pPr>
      <w:bookmarkStart w:id="362" w:name="useful-acronyms"/>
      <w:bookmarkEnd w:id="321"/>
      <w:bookmarkEnd w:id="360"/>
      <w:bookmarkEnd w:id="361"/>
      <w:r>
        <w:t>Useful Acronyms</w:t>
      </w:r>
    </w:p>
    <w:p w14:paraId="4DAD1879" w14:textId="77777777" w:rsidR="003442FE" w:rsidRDefault="00000000" w:rsidP="003B2FDD">
      <w:pPr>
        <w:pStyle w:val="Compact"/>
        <w:numPr>
          <w:ilvl w:val="0"/>
          <w:numId w:val="4"/>
        </w:numPr>
      </w:pPr>
      <w:r>
        <w:rPr>
          <w:b/>
          <w:bCs/>
        </w:rPr>
        <w:t>ACV</w:t>
      </w:r>
      <w:r>
        <w:t xml:space="preserve"> - Actual Cash Value: replacement cost minus depreciation, generally.</w:t>
      </w:r>
    </w:p>
    <w:p w14:paraId="0490C76E" w14:textId="77777777" w:rsidR="003442FE" w:rsidRDefault="00000000" w:rsidP="003B2FDD">
      <w:pPr>
        <w:pStyle w:val="Compact"/>
        <w:numPr>
          <w:ilvl w:val="0"/>
          <w:numId w:val="4"/>
        </w:numPr>
      </w:pPr>
      <w:r>
        <w:rPr>
          <w:b/>
          <w:bCs/>
        </w:rPr>
        <w:t>ALE</w:t>
      </w:r>
      <w:r>
        <w:t xml:space="preserve"> - Additional Living Expense: extra cost to maintain normal living after covered loss.</w:t>
      </w:r>
    </w:p>
    <w:p w14:paraId="413F88E6" w14:textId="77777777" w:rsidR="003442FE" w:rsidRDefault="00000000" w:rsidP="003B2FDD">
      <w:pPr>
        <w:pStyle w:val="Compact"/>
        <w:numPr>
          <w:ilvl w:val="0"/>
          <w:numId w:val="4"/>
        </w:numPr>
      </w:pPr>
      <w:r>
        <w:rPr>
          <w:b/>
          <w:bCs/>
        </w:rPr>
        <w:t>BI</w:t>
      </w:r>
      <w:r>
        <w:t xml:space="preserve"> - Bodily Injury.</w:t>
      </w:r>
    </w:p>
    <w:p w14:paraId="3D73B366" w14:textId="77777777" w:rsidR="003442FE" w:rsidRDefault="00000000" w:rsidP="003B2FDD">
      <w:pPr>
        <w:pStyle w:val="Compact"/>
        <w:numPr>
          <w:ilvl w:val="0"/>
          <w:numId w:val="4"/>
        </w:numPr>
      </w:pPr>
      <w:r>
        <w:rPr>
          <w:b/>
          <w:bCs/>
        </w:rPr>
        <w:t>BOP</w:t>
      </w:r>
      <w:r>
        <w:t xml:space="preserve"> - Businessowners Policy.</w:t>
      </w:r>
    </w:p>
    <w:p w14:paraId="1AB633B6" w14:textId="77777777" w:rsidR="003442FE" w:rsidRDefault="00000000" w:rsidP="003B2FDD">
      <w:pPr>
        <w:pStyle w:val="Compact"/>
        <w:numPr>
          <w:ilvl w:val="0"/>
          <w:numId w:val="4"/>
        </w:numPr>
      </w:pPr>
      <w:r>
        <w:rPr>
          <w:b/>
          <w:bCs/>
        </w:rPr>
        <w:t>BPP</w:t>
      </w:r>
      <w:r>
        <w:t xml:space="preserve"> - Business Personal Property.</w:t>
      </w:r>
    </w:p>
    <w:p w14:paraId="5AEA96EC" w14:textId="77777777" w:rsidR="003442FE" w:rsidRDefault="00000000" w:rsidP="003B2FDD">
      <w:pPr>
        <w:pStyle w:val="Compact"/>
        <w:numPr>
          <w:ilvl w:val="0"/>
          <w:numId w:val="4"/>
        </w:numPr>
      </w:pPr>
      <w:r>
        <w:rPr>
          <w:b/>
          <w:bCs/>
        </w:rPr>
        <w:t>CE</w:t>
      </w:r>
      <w:r>
        <w:t xml:space="preserve"> - Continuing Education.</w:t>
      </w:r>
    </w:p>
    <w:p w14:paraId="74ACB259" w14:textId="77777777" w:rsidR="003442FE" w:rsidRDefault="00000000" w:rsidP="003B2FDD">
      <w:pPr>
        <w:pStyle w:val="Compact"/>
        <w:numPr>
          <w:ilvl w:val="0"/>
          <w:numId w:val="4"/>
        </w:numPr>
      </w:pPr>
      <w:r>
        <w:rPr>
          <w:b/>
          <w:bCs/>
        </w:rPr>
        <w:t>CGL</w:t>
      </w:r>
      <w:r>
        <w:t xml:space="preserve"> - Commercial General Liability.</w:t>
      </w:r>
    </w:p>
    <w:p w14:paraId="2042FFA3" w14:textId="77777777" w:rsidR="003442FE" w:rsidRDefault="00000000" w:rsidP="003B2FDD">
      <w:pPr>
        <w:pStyle w:val="Compact"/>
        <w:numPr>
          <w:ilvl w:val="0"/>
          <w:numId w:val="4"/>
        </w:numPr>
      </w:pPr>
      <w:r>
        <w:rPr>
          <w:b/>
          <w:bCs/>
        </w:rPr>
        <w:t>CLUE</w:t>
      </w:r>
      <w:r>
        <w:t xml:space="preserve"> - Comprehensive Loss Underwriting Exchange; claims-history database.</w:t>
      </w:r>
    </w:p>
    <w:p w14:paraId="4555DB11" w14:textId="77777777" w:rsidR="003442FE" w:rsidRDefault="00000000" w:rsidP="003B2FDD">
      <w:pPr>
        <w:pStyle w:val="Compact"/>
        <w:numPr>
          <w:ilvl w:val="0"/>
          <w:numId w:val="4"/>
        </w:numPr>
      </w:pPr>
      <w:r>
        <w:rPr>
          <w:b/>
          <w:bCs/>
        </w:rPr>
        <w:t>CPP</w:t>
      </w:r>
      <w:r>
        <w:t xml:space="preserve"> - Commercial Package Policy.</w:t>
      </w:r>
    </w:p>
    <w:p w14:paraId="09C206A0" w14:textId="77777777" w:rsidR="003442FE" w:rsidRDefault="00000000" w:rsidP="003B2FDD">
      <w:pPr>
        <w:pStyle w:val="Compact"/>
        <w:numPr>
          <w:ilvl w:val="0"/>
          <w:numId w:val="4"/>
        </w:numPr>
      </w:pPr>
      <w:r>
        <w:rPr>
          <w:b/>
          <w:bCs/>
        </w:rPr>
        <w:t>CSL</w:t>
      </w:r>
      <w:r>
        <w:t xml:space="preserve"> - Combined Single Limit.</w:t>
      </w:r>
    </w:p>
    <w:p w14:paraId="7384EDBB" w14:textId="77777777" w:rsidR="003442FE" w:rsidRDefault="00000000" w:rsidP="003B2FDD">
      <w:pPr>
        <w:pStyle w:val="Compact"/>
        <w:numPr>
          <w:ilvl w:val="0"/>
          <w:numId w:val="4"/>
        </w:numPr>
      </w:pPr>
      <w:r>
        <w:rPr>
          <w:b/>
          <w:bCs/>
        </w:rPr>
        <w:t>D&amp;O</w:t>
      </w:r>
      <w:r>
        <w:t xml:space="preserve"> - Directors and Officers liability.</w:t>
      </w:r>
    </w:p>
    <w:p w14:paraId="4DA11552" w14:textId="77777777" w:rsidR="003442FE" w:rsidRDefault="00000000" w:rsidP="003B2FDD">
      <w:pPr>
        <w:pStyle w:val="Compact"/>
        <w:numPr>
          <w:ilvl w:val="0"/>
          <w:numId w:val="4"/>
        </w:numPr>
      </w:pPr>
      <w:r>
        <w:rPr>
          <w:b/>
          <w:bCs/>
        </w:rPr>
        <w:t>DICE</w:t>
      </w:r>
      <w:r>
        <w:t xml:space="preserve"> - Declarations, Insuring agreement, Conditions, Exclusions.</w:t>
      </w:r>
    </w:p>
    <w:p w14:paraId="37BBC454" w14:textId="77777777" w:rsidR="003442FE" w:rsidRDefault="00000000" w:rsidP="003B2FDD">
      <w:pPr>
        <w:pStyle w:val="Compact"/>
        <w:numPr>
          <w:ilvl w:val="0"/>
          <w:numId w:val="4"/>
        </w:numPr>
      </w:pPr>
      <w:r>
        <w:rPr>
          <w:b/>
          <w:bCs/>
        </w:rPr>
        <w:t>DOC</w:t>
      </w:r>
      <w:r>
        <w:t xml:space="preserve"> - Drive Other Car endorsement.</w:t>
      </w:r>
    </w:p>
    <w:p w14:paraId="3967A6AE" w14:textId="77777777" w:rsidR="003442FE" w:rsidRDefault="00000000" w:rsidP="003B2FDD">
      <w:pPr>
        <w:pStyle w:val="Compact"/>
        <w:numPr>
          <w:ilvl w:val="0"/>
          <w:numId w:val="4"/>
        </w:numPr>
      </w:pPr>
      <w:r>
        <w:rPr>
          <w:b/>
          <w:bCs/>
        </w:rPr>
        <w:t>DP</w:t>
      </w:r>
      <w:r>
        <w:t xml:space="preserve"> - Dwelling Policy.</w:t>
      </w:r>
    </w:p>
    <w:p w14:paraId="587224B8" w14:textId="77777777" w:rsidR="003442FE" w:rsidRDefault="00000000" w:rsidP="003B2FDD">
      <w:pPr>
        <w:pStyle w:val="Compact"/>
        <w:numPr>
          <w:ilvl w:val="0"/>
          <w:numId w:val="4"/>
        </w:numPr>
      </w:pPr>
      <w:r>
        <w:rPr>
          <w:b/>
          <w:bCs/>
        </w:rPr>
        <w:t>E&amp;O</w:t>
      </w:r>
      <w:r>
        <w:t xml:space="preserve"> - Errors and Omissions.</w:t>
      </w:r>
    </w:p>
    <w:p w14:paraId="2DF799EF" w14:textId="77777777" w:rsidR="003442FE" w:rsidRDefault="00000000" w:rsidP="003B2FDD">
      <w:pPr>
        <w:pStyle w:val="Compact"/>
        <w:numPr>
          <w:ilvl w:val="0"/>
          <w:numId w:val="4"/>
        </w:numPr>
      </w:pPr>
      <w:r>
        <w:rPr>
          <w:b/>
          <w:bCs/>
        </w:rPr>
        <w:t>EPLI</w:t>
      </w:r>
      <w:r>
        <w:t xml:space="preserve"> - Employment Practices Liability Insurance.</w:t>
      </w:r>
    </w:p>
    <w:p w14:paraId="0ED93FAB" w14:textId="77777777" w:rsidR="003442FE" w:rsidRDefault="00000000" w:rsidP="003B2FDD">
      <w:pPr>
        <w:pStyle w:val="Compact"/>
        <w:numPr>
          <w:ilvl w:val="0"/>
          <w:numId w:val="4"/>
        </w:numPr>
      </w:pPr>
      <w:r>
        <w:rPr>
          <w:b/>
          <w:bCs/>
        </w:rPr>
        <w:t>FAIR Plan</w:t>
      </w:r>
      <w:r>
        <w:t xml:space="preserve"> - Fair Access to Insurance Requirements Plan; Texas residual basic home insurance market.</w:t>
      </w:r>
    </w:p>
    <w:p w14:paraId="3F6C2E6E" w14:textId="77777777" w:rsidR="003442FE" w:rsidRDefault="00000000" w:rsidP="003B2FDD">
      <w:pPr>
        <w:pStyle w:val="Compact"/>
        <w:numPr>
          <w:ilvl w:val="0"/>
          <w:numId w:val="4"/>
        </w:numPr>
      </w:pPr>
      <w:r>
        <w:rPr>
          <w:b/>
          <w:bCs/>
        </w:rPr>
        <w:t>FCRA</w:t>
      </w:r>
      <w:r>
        <w:t xml:space="preserve"> - Fair Credit Reporting Act.</w:t>
      </w:r>
    </w:p>
    <w:p w14:paraId="343E0B5A" w14:textId="77777777" w:rsidR="003442FE" w:rsidRDefault="00000000" w:rsidP="003B2FDD">
      <w:pPr>
        <w:pStyle w:val="Compact"/>
        <w:numPr>
          <w:ilvl w:val="0"/>
          <w:numId w:val="4"/>
        </w:numPr>
      </w:pPr>
      <w:r>
        <w:rPr>
          <w:b/>
          <w:bCs/>
        </w:rPr>
        <w:lastRenderedPageBreak/>
        <w:t>GLBA</w:t>
      </w:r>
      <w:r>
        <w:t xml:space="preserve"> - Gramm-Leach-Bliley Act.</w:t>
      </w:r>
    </w:p>
    <w:p w14:paraId="4B4649EC" w14:textId="77777777" w:rsidR="003442FE" w:rsidRDefault="00000000" w:rsidP="003B2FDD">
      <w:pPr>
        <w:pStyle w:val="Compact"/>
        <w:numPr>
          <w:ilvl w:val="0"/>
          <w:numId w:val="4"/>
        </w:numPr>
      </w:pPr>
      <w:r>
        <w:rPr>
          <w:b/>
          <w:bCs/>
        </w:rPr>
        <w:t>HO</w:t>
      </w:r>
      <w:r>
        <w:t xml:space="preserve"> - Homeowners form.</w:t>
      </w:r>
    </w:p>
    <w:p w14:paraId="628EAE7C" w14:textId="77777777" w:rsidR="003442FE" w:rsidRDefault="00000000" w:rsidP="003B2FDD">
      <w:pPr>
        <w:pStyle w:val="Compact"/>
        <w:numPr>
          <w:ilvl w:val="0"/>
          <w:numId w:val="4"/>
        </w:numPr>
      </w:pPr>
      <w:r>
        <w:rPr>
          <w:b/>
          <w:bCs/>
        </w:rPr>
        <w:t>JUA</w:t>
      </w:r>
      <w:r>
        <w:t xml:space="preserve"> - Joint Underwriting Association; in this outline, Texas Medical Liability Underwriting Association.</w:t>
      </w:r>
    </w:p>
    <w:p w14:paraId="16C8BD64" w14:textId="77777777" w:rsidR="003442FE" w:rsidRDefault="00000000" w:rsidP="003B2FDD">
      <w:pPr>
        <w:pStyle w:val="Compact"/>
        <w:numPr>
          <w:ilvl w:val="0"/>
          <w:numId w:val="4"/>
        </w:numPr>
      </w:pPr>
      <w:r>
        <w:rPr>
          <w:b/>
          <w:bCs/>
        </w:rPr>
        <w:t>MGA</w:t>
      </w:r>
      <w:r>
        <w:t xml:space="preserve"> - Managing General Agent.</w:t>
      </w:r>
    </w:p>
    <w:p w14:paraId="2E165FD9" w14:textId="77777777" w:rsidR="003442FE" w:rsidRDefault="00000000" w:rsidP="003B2FDD">
      <w:pPr>
        <w:pStyle w:val="Compact"/>
        <w:numPr>
          <w:ilvl w:val="0"/>
          <w:numId w:val="4"/>
        </w:numPr>
      </w:pPr>
      <w:r>
        <w:rPr>
          <w:b/>
          <w:bCs/>
        </w:rPr>
        <w:t>NFIP</w:t>
      </w:r>
      <w:r>
        <w:t xml:space="preserve"> - National Flood Insurance Program.</w:t>
      </w:r>
    </w:p>
    <w:p w14:paraId="2B67DC5A" w14:textId="77777777" w:rsidR="003442FE" w:rsidRDefault="00000000" w:rsidP="003B2FDD">
      <w:pPr>
        <w:pStyle w:val="Compact"/>
        <w:numPr>
          <w:ilvl w:val="0"/>
          <w:numId w:val="4"/>
        </w:numPr>
      </w:pPr>
      <w:r>
        <w:rPr>
          <w:b/>
          <w:bCs/>
        </w:rPr>
        <w:t>PAP</w:t>
      </w:r>
      <w:r>
        <w:t xml:space="preserve"> - Personal Auto Policy.</w:t>
      </w:r>
    </w:p>
    <w:p w14:paraId="4A7D3E57" w14:textId="77777777" w:rsidR="003442FE" w:rsidRDefault="00000000" w:rsidP="003B2FDD">
      <w:pPr>
        <w:pStyle w:val="Compact"/>
        <w:numPr>
          <w:ilvl w:val="0"/>
          <w:numId w:val="4"/>
        </w:numPr>
      </w:pPr>
      <w:r>
        <w:rPr>
          <w:b/>
          <w:bCs/>
        </w:rPr>
        <w:t>PD</w:t>
      </w:r>
      <w:r>
        <w:t xml:space="preserve"> - Property Damage.</w:t>
      </w:r>
    </w:p>
    <w:p w14:paraId="41CD5AAF" w14:textId="77777777" w:rsidR="003442FE" w:rsidRDefault="00000000" w:rsidP="003B2FDD">
      <w:pPr>
        <w:pStyle w:val="Compact"/>
        <w:numPr>
          <w:ilvl w:val="0"/>
          <w:numId w:val="4"/>
        </w:numPr>
      </w:pPr>
      <w:r>
        <w:rPr>
          <w:b/>
          <w:bCs/>
        </w:rPr>
        <w:t>PIP</w:t>
      </w:r>
      <w:r>
        <w:t xml:space="preserve"> - Personal Injury Protection.</w:t>
      </w:r>
    </w:p>
    <w:p w14:paraId="7E1CC58F" w14:textId="77777777" w:rsidR="003442FE" w:rsidRDefault="00000000" w:rsidP="003B2FDD">
      <w:pPr>
        <w:pStyle w:val="Compact"/>
        <w:numPr>
          <w:ilvl w:val="0"/>
          <w:numId w:val="4"/>
        </w:numPr>
      </w:pPr>
      <w:r>
        <w:rPr>
          <w:b/>
          <w:bCs/>
        </w:rPr>
        <w:t>TAIPA</w:t>
      </w:r>
      <w:r>
        <w:t xml:space="preserve"> - Texas Automobile Insurance Plan Association.</w:t>
      </w:r>
    </w:p>
    <w:p w14:paraId="30D404EC" w14:textId="77777777" w:rsidR="003442FE" w:rsidRDefault="00000000" w:rsidP="003B2FDD">
      <w:pPr>
        <w:pStyle w:val="Compact"/>
        <w:numPr>
          <w:ilvl w:val="0"/>
          <w:numId w:val="4"/>
        </w:numPr>
      </w:pPr>
      <w:r>
        <w:rPr>
          <w:b/>
          <w:bCs/>
        </w:rPr>
        <w:t>TDI</w:t>
      </w:r>
      <w:r>
        <w:t xml:space="preserve"> - Texas Department of Insurance.</w:t>
      </w:r>
    </w:p>
    <w:p w14:paraId="50CDA2E2" w14:textId="77777777" w:rsidR="003442FE" w:rsidRDefault="00000000" w:rsidP="003B2FDD">
      <w:pPr>
        <w:pStyle w:val="Compact"/>
        <w:numPr>
          <w:ilvl w:val="0"/>
          <w:numId w:val="4"/>
        </w:numPr>
      </w:pPr>
      <w:r>
        <w:rPr>
          <w:b/>
          <w:bCs/>
        </w:rPr>
        <w:t>TIC</w:t>
      </w:r>
      <w:r>
        <w:t xml:space="preserve"> - Texas Insurance Code.</w:t>
      </w:r>
    </w:p>
    <w:p w14:paraId="7BEE8713" w14:textId="77777777" w:rsidR="003442FE" w:rsidRDefault="00000000" w:rsidP="003B2FDD">
      <w:pPr>
        <w:pStyle w:val="Compact"/>
        <w:numPr>
          <w:ilvl w:val="0"/>
          <w:numId w:val="4"/>
        </w:numPr>
      </w:pPr>
      <w:r>
        <w:rPr>
          <w:b/>
          <w:bCs/>
        </w:rPr>
        <w:t>TAC</w:t>
      </w:r>
      <w:r>
        <w:t xml:space="preserve"> - Texas Administrative Code.</w:t>
      </w:r>
    </w:p>
    <w:p w14:paraId="08C0CEFB" w14:textId="77777777" w:rsidR="003442FE" w:rsidRDefault="00000000" w:rsidP="003B2FDD">
      <w:pPr>
        <w:pStyle w:val="Compact"/>
        <w:numPr>
          <w:ilvl w:val="0"/>
          <w:numId w:val="4"/>
        </w:numPr>
      </w:pPr>
      <w:r>
        <w:rPr>
          <w:b/>
          <w:bCs/>
        </w:rPr>
        <w:t>TNC</w:t>
      </w:r>
      <w:r>
        <w:t xml:space="preserve"> - Transportation Network Company/rideshare.</w:t>
      </w:r>
    </w:p>
    <w:p w14:paraId="67D11606" w14:textId="77777777" w:rsidR="003442FE" w:rsidRDefault="00000000" w:rsidP="003B2FDD">
      <w:pPr>
        <w:pStyle w:val="Compact"/>
        <w:numPr>
          <w:ilvl w:val="0"/>
          <w:numId w:val="4"/>
        </w:numPr>
      </w:pPr>
      <w:r>
        <w:rPr>
          <w:b/>
          <w:bCs/>
        </w:rPr>
        <w:t>TRIA</w:t>
      </w:r>
      <w:r>
        <w:t xml:space="preserve"> - Terrorism Risk Insurance Act.</w:t>
      </w:r>
    </w:p>
    <w:p w14:paraId="5B46CFC6" w14:textId="77777777" w:rsidR="003442FE" w:rsidRDefault="00000000" w:rsidP="003B2FDD">
      <w:pPr>
        <w:pStyle w:val="Compact"/>
        <w:numPr>
          <w:ilvl w:val="0"/>
          <w:numId w:val="4"/>
        </w:numPr>
      </w:pPr>
      <w:r>
        <w:rPr>
          <w:b/>
          <w:bCs/>
        </w:rPr>
        <w:t>TWIA</w:t>
      </w:r>
      <w:r>
        <w:t xml:space="preserve"> - Texas Windstorm Insurance Association.</w:t>
      </w:r>
    </w:p>
    <w:p w14:paraId="4AC819C1" w14:textId="668B3852" w:rsidR="003442FE" w:rsidRDefault="00000000" w:rsidP="003B2FDD">
      <w:pPr>
        <w:pStyle w:val="Compact"/>
        <w:numPr>
          <w:ilvl w:val="0"/>
          <w:numId w:val="4"/>
        </w:numPr>
      </w:pPr>
      <w:r>
        <w:rPr>
          <w:b/>
          <w:bCs/>
        </w:rPr>
        <w:t>UM/UIM</w:t>
      </w:r>
      <w:r>
        <w:t xml:space="preserve"> - Uninsured Motorist / Underinsured Motorist.</w:t>
      </w:r>
      <w:bookmarkEnd w:id="0"/>
      <w:bookmarkEnd w:id="362"/>
    </w:p>
    <w:p w14:paraId="4289FC60" w14:textId="77777777" w:rsidR="00943CCF" w:rsidRDefault="00943CCF" w:rsidP="00943CCF">
      <w:pPr>
        <w:pStyle w:val="Compact"/>
      </w:pPr>
    </w:p>
    <w:p w14:paraId="6B1224CA" w14:textId="77777777" w:rsidR="00943CCF" w:rsidRPr="006C3F25" w:rsidRDefault="00943CCF" w:rsidP="00943CCF">
      <w:pPr>
        <w:pStyle w:val="FirstParagraph"/>
        <w:rPr>
          <w:rFonts w:asciiTheme="majorHAnsi" w:hAnsiTheme="majorHAnsi" w:cstheme="majorHAnsi"/>
        </w:rPr>
      </w:pPr>
      <w:r w:rsidRPr="006C3F25">
        <w:rPr>
          <w:rFonts w:asciiTheme="majorHAnsi" w:hAnsiTheme="majorHAnsi" w:cstheme="majorHAnsi"/>
        </w:rPr>
        <w:t>SYMBOLS:</w:t>
      </w:r>
    </w:p>
    <w:p w14:paraId="321A5098" w14:textId="77777777" w:rsidR="00943CCF" w:rsidRPr="006C3F25" w:rsidRDefault="00943CCF" w:rsidP="00943CCF">
      <w:pPr>
        <w:pStyle w:val="BodyText"/>
        <w:rPr>
          <w:rFonts w:asciiTheme="majorHAnsi" w:hAnsiTheme="majorHAnsi" w:cstheme="majorHAnsi"/>
          <w:b/>
          <w:bCs/>
        </w:rPr>
      </w:pPr>
      <w:r w:rsidRPr="006C3F25">
        <w:rPr>
          <w:rFonts w:asciiTheme="majorHAnsi" w:hAnsiTheme="majorHAnsi" w:cstheme="majorHAnsi"/>
          <w:b/>
          <w:bCs/>
        </w:rPr>
        <w:t>Texas P&amp;C Exam: Commercial Auto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3369"/>
        <w:gridCol w:w="4991"/>
      </w:tblGrid>
      <w:tr w:rsidR="00943CCF" w:rsidRPr="006C3F25" w14:paraId="178A2816" w14:textId="77777777" w:rsidTr="00D60CD0">
        <w:trPr>
          <w:tblCellSpacing w:w="15" w:type="dxa"/>
        </w:trPr>
        <w:tc>
          <w:tcPr>
            <w:tcW w:w="0" w:type="auto"/>
            <w:tcBorders>
              <w:bottom w:val="single" w:sz="12" w:space="0" w:color="DCDFE5"/>
            </w:tcBorders>
            <w:vAlign w:val="center"/>
            <w:hideMark/>
          </w:tcPr>
          <w:p w14:paraId="3692B0C2" w14:textId="77777777" w:rsidR="00943CCF" w:rsidRPr="006C3F25" w:rsidRDefault="00943CCF" w:rsidP="00D60CD0">
            <w:pPr>
              <w:pStyle w:val="BodyText"/>
              <w:rPr>
                <w:rFonts w:asciiTheme="majorHAnsi" w:hAnsiTheme="majorHAnsi" w:cstheme="majorHAnsi"/>
                <w:b/>
                <w:bCs/>
              </w:rPr>
            </w:pPr>
            <w:r w:rsidRPr="006C3F25">
              <w:rPr>
                <w:rFonts w:asciiTheme="majorHAnsi" w:hAnsiTheme="majorHAnsi" w:cstheme="majorHAnsi"/>
                <w:b/>
                <w:bCs/>
              </w:rPr>
              <w:t>Symbol</w:t>
            </w:r>
          </w:p>
        </w:tc>
        <w:tc>
          <w:tcPr>
            <w:tcW w:w="0" w:type="auto"/>
            <w:tcBorders>
              <w:bottom w:val="single" w:sz="12" w:space="0" w:color="DCDFE5"/>
            </w:tcBorders>
            <w:vAlign w:val="center"/>
            <w:hideMark/>
          </w:tcPr>
          <w:p w14:paraId="3493DEA4" w14:textId="77777777" w:rsidR="00943CCF" w:rsidRPr="006C3F25" w:rsidRDefault="00943CCF" w:rsidP="00D60CD0">
            <w:pPr>
              <w:pStyle w:val="BodyText"/>
              <w:rPr>
                <w:rFonts w:asciiTheme="majorHAnsi" w:hAnsiTheme="majorHAnsi" w:cstheme="majorHAnsi"/>
                <w:b/>
                <w:bCs/>
              </w:rPr>
            </w:pPr>
            <w:r w:rsidRPr="006C3F25">
              <w:rPr>
                <w:rFonts w:asciiTheme="majorHAnsi" w:hAnsiTheme="majorHAnsi" w:cstheme="majorHAnsi"/>
                <w:b/>
                <w:bCs/>
              </w:rPr>
              <w:t>Description</w:t>
            </w:r>
          </w:p>
        </w:tc>
        <w:tc>
          <w:tcPr>
            <w:tcW w:w="0" w:type="auto"/>
            <w:tcBorders>
              <w:bottom w:val="single" w:sz="12" w:space="0" w:color="DCDFE5"/>
            </w:tcBorders>
            <w:vAlign w:val="center"/>
            <w:hideMark/>
          </w:tcPr>
          <w:p w14:paraId="27D0FD17" w14:textId="77777777" w:rsidR="00943CCF" w:rsidRPr="006C3F25" w:rsidRDefault="00943CCF" w:rsidP="00D60CD0">
            <w:pPr>
              <w:pStyle w:val="BodyText"/>
              <w:rPr>
                <w:rFonts w:asciiTheme="majorHAnsi" w:hAnsiTheme="majorHAnsi" w:cstheme="majorHAnsi"/>
                <w:b/>
                <w:bCs/>
              </w:rPr>
            </w:pPr>
            <w:r w:rsidRPr="006C3F25">
              <w:rPr>
                <w:rFonts w:asciiTheme="majorHAnsi" w:hAnsiTheme="majorHAnsi" w:cstheme="majorHAnsi"/>
                <w:b/>
                <w:bCs/>
              </w:rPr>
              <w:t>Key Concept for Exam</w:t>
            </w:r>
          </w:p>
        </w:tc>
      </w:tr>
      <w:tr w:rsidR="00943CCF" w:rsidRPr="006C3F25" w14:paraId="5ADDA0F1" w14:textId="77777777" w:rsidTr="00D60CD0">
        <w:trPr>
          <w:tblCellSpacing w:w="15" w:type="dxa"/>
        </w:trPr>
        <w:tc>
          <w:tcPr>
            <w:tcW w:w="0" w:type="auto"/>
            <w:tcBorders>
              <w:bottom w:val="single" w:sz="12" w:space="0" w:color="DCDFE5"/>
            </w:tcBorders>
            <w:vAlign w:val="center"/>
            <w:hideMark/>
          </w:tcPr>
          <w:p w14:paraId="2A308778"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b/>
                <w:bCs/>
                <w:highlight w:val="yellow"/>
              </w:rPr>
              <w:t>Symbol 1</w:t>
            </w:r>
          </w:p>
        </w:tc>
        <w:tc>
          <w:tcPr>
            <w:tcW w:w="0" w:type="auto"/>
            <w:tcBorders>
              <w:bottom w:val="single" w:sz="12" w:space="0" w:color="DCDFE5"/>
            </w:tcBorders>
            <w:vAlign w:val="center"/>
            <w:hideMark/>
          </w:tcPr>
          <w:p w14:paraId="22C9D845"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Any Auto</w:t>
            </w:r>
          </w:p>
        </w:tc>
        <w:tc>
          <w:tcPr>
            <w:tcW w:w="0" w:type="auto"/>
            <w:tcBorders>
              <w:bottom w:val="single" w:sz="12" w:space="0" w:color="DCDFE5"/>
            </w:tcBorders>
            <w:vAlign w:val="center"/>
            <w:hideMark/>
          </w:tcPr>
          <w:p w14:paraId="347A8218"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Broadest coverage; applies to owned, hired, and non-owned autos.</w:t>
            </w:r>
          </w:p>
        </w:tc>
      </w:tr>
      <w:tr w:rsidR="00943CCF" w:rsidRPr="006C3F25" w14:paraId="3DB95240" w14:textId="77777777" w:rsidTr="00D60CD0">
        <w:trPr>
          <w:tblCellSpacing w:w="15" w:type="dxa"/>
        </w:trPr>
        <w:tc>
          <w:tcPr>
            <w:tcW w:w="0" w:type="auto"/>
            <w:tcBorders>
              <w:bottom w:val="single" w:sz="12" w:space="0" w:color="DCDFE5"/>
            </w:tcBorders>
            <w:vAlign w:val="center"/>
            <w:hideMark/>
          </w:tcPr>
          <w:p w14:paraId="03742FAC"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b/>
                <w:bCs/>
              </w:rPr>
              <w:t>Symbol 2</w:t>
            </w:r>
          </w:p>
        </w:tc>
        <w:tc>
          <w:tcPr>
            <w:tcW w:w="0" w:type="auto"/>
            <w:tcBorders>
              <w:bottom w:val="single" w:sz="12" w:space="0" w:color="DCDFE5"/>
            </w:tcBorders>
            <w:vAlign w:val="center"/>
            <w:hideMark/>
          </w:tcPr>
          <w:p w14:paraId="1B557F1A"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Owned Autos Only</w:t>
            </w:r>
          </w:p>
        </w:tc>
        <w:tc>
          <w:tcPr>
            <w:tcW w:w="0" w:type="auto"/>
            <w:tcBorders>
              <w:bottom w:val="single" w:sz="12" w:space="0" w:color="DCDFE5"/>
            </w:tcBorders>
            <w:vAlign w:val="center"/>
            <w:hideMark/>
          </w:tcPr>
          <w:p w14:paraId="39F9C2F7"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 xml:space="preserve">Only applies to vehicles the </w:t>
            </w:r>
            <w:proofErr w:type="gramStart"/>
            <w:r w:rsidRPr="006C3F25">
              <w:rPr>
                <w:rFonts w:asciiTheme="majorHAnsi" w:hAnsiTheme="majorHAnsi" w:cstheme="majorHAnsi"/>
              </w:rPr>
              <w:t>insured</w:t>
            </w:r>
            <w:proofErr w:type="gramEnd"/>
            <w:r w:rsidRPr="006C3F25">
              <w:rPr>
                <w:rFonts w:asciiTheme="majorHAnsi" w:hAnsiTheme="majorHAnsi" w:cstheme="majorHAnsi"/>
              </w:rPr>
              <w:t xml:space="preserve"> business owns.</w:t>
            </w:r>
          </w:p>
        </w:tc>
      </w:tr>
      <w:tr w:rsidR="00943CCF" w:rsidRPr="006C3F25" w14:paraId="2B84CFB2" w14:textId="77777777" w:rsidTr="00D60CD0">
        <w:trPr>
          <w:tblCellSpacing w:w="15" w:type="dxa"/>
        </w:trPr>
        <w:tc>
          <w:tcPr>
            <w:tcW w:w="0" w:type="auto"/>
            <w:tcBorders>
              <w:bottom w:val="single" w:sz="12" w:space="0" w:color="DCDFE5"/>
            </w:tcBorders>
            <w:vAlign w:val="center"/>
            <w:hideMark/>
          </w:tcPr>
          <w:p w14:paraId="099536E6"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b/>
                <w:bCs/>
              </w:rPr>
              <w:t>Symbol 3</w:t>
            </w:r>
          </w:p>
        </w:tc>
        <w:tc>
          <w:tcPr>
            <w:tcW w:w="0" w:type="auto"/>
            <w:tcBorders>
              <w:bottom w:val="single" w:sz="12" w:space="0" w:color="DCDFE5"/>
            </w:tcBorders>
            <w:vAlign w:val="center"/>
            <w:hideMark/>
          </w:tcPr>
          <w:p w14:paraId="3C67BA45"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Owned Private Passenger Autos Only</w:t>
            </w:r>
          </w:p>
        </w:tc>
        <w:tc>
          <w:tcPr>
            <w:tcW w:w="0" w:type="auto"/>
            <w:tcBorders>
              <w:bottom w:val="single" w:sz="12" w:space="0" w:color="DCDFE5"/>
            </w:tcBorders>
            <w:vAlign w:val="center"/>
            <w:hideMark/>
          </w:tcPr>
          <w:p w14:paraId="7261C30D"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Only applies to owned cars; excludes commercial trucks/buses.</w:t>
            </w:r>
          </w:p>
        </w:tc>
      </w:tr>
      <w:tr w:rsidR="00943CCF" w:rsidRPr="006C3F25" w14:paraId="7F7C4BAC" w14:textId="77777777" w:rsidTr="00D60CD0">
        <w:trPr>
          <w:tblCellSpacing w:w="15" w:type="dxa"/>
        </w:trPr>
        <w:tc>
          <w:tcPr>
            <w:tcW w:w="0" w:type="auto"/>
            <w:tcBorders>
              <w:bottom w:val="single" w:sz="12" w:space="0" w:color="DCDFE5"/>
            </w:tcBorders>
            <w:vAlign w:val="center"/>
            <w:hideMark/>
          </w:tcPr>
          <w:p w14:paraId="2120B0D0"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b/>
                <w:bCs/>
              </w:rPr>
              <w:t>Symbol 4</w:t>
            </w:r>
          </w:p>
        </w:tc>
        <w:tc>
          <w:tcPr>
            <w:tcW w:w="0" w:type="auto"/>
            <w:tcBorders>
              <w:bottom w:val="single" w:sz="12" w:space="0" w:color="DCDFE5"/>
            </w:tcBorders>
            <w:vAlign w:val="center"/>
            <w:hideMark/>
          </w:tcPr>
          <w:p w14:paraId="7E2BEA89"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Owned Autos Other Than Private Passenger</w:t>
            </w:r>
          </w:p>
        </w:tc>
        <w:tc>
          <w:tcPr>
            <w:tcW w:w="0" w:type="auto"/>
            <w:tcBorders>
              <w:bottom w:val="single" w:sz="12" w:space="0" w:color="DCDFE5"/>
            </w:tcBorders>
            <w:vAlign w:val="center"/>
            <w:hideMark/>
          </w:tcPr>
          <w:p w14:paraId="75D174D7"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Only applies to owned commercial vehicles (trucks, tractors).</w:t>
            </w:r>
          </w:p>
        </w:tc>
      </w:tr>
      <w:tr w:rsidR="00943CCF" w:rsidRPr="006C3F25" w14:paraId="09776A60" w14:textId="77777777" w:rsidTr="00D60CD0">
        <w:trPr>
          <w:tblCellSpacing w:w="15" w:type="dxa"/>
        </w:trPr>
        <w:tc>
          <w:tcPr>
            <w:tcW w:w="0" w:type="auto"/>
            <w:tcBorders>
              <w:bottom w:val="single" w:sz="12" w:space="0" w:color="DCDFE5"/>
            </w:tcBorders>
            <w:vAlign w:val="center"/>
            <w:hideMark/>
          </w:tcPr>
          <w:p w14:paraId="5E6FF128"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b/>
                <w:bCs/>
              </w:rPr>
              <w:t>Symbol 5</w:t>
            </w:r>
          </w:p>
        </w:tc>
        <w:tc>
          <w:tcPr>
            <w:tcW w:w="0" w:type="auto"/>
            <w:tcBorders>
              <w:bottom w:val="single" w:sz="12" w:space="0" w:color="DCDFE5"/>
            </w:tcBorders>
            <w:vAlign w:val="center"/>
            <w:hideMark/>
          </w:tcPr>
          <w:p w14:paraId="07836620"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Owned Autos Subject to No-Fault</w:t>
            </w:r>
          </w:p>
        </w:tc>
        <w:tc>
          <w:tcPr>
            <w:tcW w:w="0" w:type="auto"/>
            <w:tcBorders>
              <w:bottom w:val="single" w:sz="12" w:space="0" w:color="DCDFE5"/>
            </w:tcBorders>
            <w:vAlign w:val="center"/>
            <w:hideMark/>
          </w:tcPr>
          <w:p w14:paraId="56F17DE4"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Applies where personal injury protection (PIP) is mandatory.</w:t>
            </w:r>
          </w:p>
        </w:tc>
      </w:tr>
      <w:tr w:rsidR="00943CCF" w:rsidRPr="006C3F25" w14:paraId="572FA011" w14:textId="77777777" w:rsidTr="00D60CD0">
        <w:trPr>
          <w:tblCellSpacing w:w="15" w:type="dxa"/>
        </w:trPr>
        <w:tc>
          <w:tcPr>
            <w:tcW w:w="0" w:type="auto"/>
            <w:tcBorders>
              <w:bottom w:val="single" w:sz="12" w:space="0" w:color="DCDFE5"/>
            </w:tcBorders>
            <w:vAlign w:val="center"/>
            <w:hideMark/>
          </w:tcPr>
          <w:p w14:paraId="4538907C"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b/>
                <w:bCs/>
              </w:rPr>
              <w:lastRenderedPageBreak/>
              <w:t>Symbol 6</w:t>
            </w:r>
          </w:p>
        </w:tc>
        <w:tc>
          <w:tcPr>
            <w:tcW w:w="0" w:type="auto"/>
            <w:tcBorders>
              <w:bottom w:val="single" w:sz="12" w:space="0" w:color="DCDFE5"/>
            </w:tcBorders>
            <w:vAlign w:val="center"/>
            <w:hideMark/>
          </w:tcPr>
          <w:p w14:paraId="260BB3F3"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Owned Autos Subject to Uninsured Motorists</w:t>
            </w:r>
          </w:p>
        </w:tc>
        <w:tc>
          <w:tcPr>
            <w:tcW w:w="0" w:type="auto"/>
            <w:tcBorders>
              <w:bottom w:val="single" w:sz="12" w:space="0" w:color="DCDFE5"/>
            </w:tcBorders>
            <w:vAlign w:val="center"/>
            <w:hideMark/>
          </w:tcPr>
          <w:p w14:paraId="2A032F05"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Applies in states where Uninsured Motorist coverage is required.</w:t>
            </w:r>
          </w:p>
        </w:tc>
      </w:tr>
      <w:tr w:rsidR="00943CCF" w:rsidRPr="006C3F25" w14:paraId="4C2A85DD" w14:textId="77777777" w:rsidTr="00D60CD0">
        <w:trPr>
          <w:tblCellSpacing w:w="15" w:type="dxa"/>
        </w:trPr>
        <w:tc>
          <w:tcPr>
            <w:tcW w:w="0" w:type="auto"/>
            <w:tcBorders>
              <w:bottom w:val="single" w:sz="12" w:space="0" w:color="DCDFE5"/>
            </w:tcBorders>
            <w:vAlign w:val="center"/>
            <w:hideMark/>
          </w:tcPr>
          <w:p w14:paraId="591C906E" w14:textId="77777777" w:rsidR="00943CCF" w:rsidRPr="006C3F25" w:rsidRDefault="00943CCF" w:rsidP="00D60CD0">
            <w:pPr>
              <w:pStyle w:val="BodyText"/>
              <w:rPr>
                <w:rFonts w:asciiTheme="majorHAnsi" w:hAnsiTheme="majorHAnsi" w:cstheme="majorHAnsi"/>
                <w:highlight w:val="yellow"/>
              </w:rPr>
            </w:pPr>
            <w:r w:rsidRPr="006C3F25">
              <w:rPr>
                <w:rFonts w:asciiTheme="majorHAnsi" w:hAnsiTheme="majorHAnsi" w:cstheme="majorHAnsi"/>
                <w:b/>
                <w:bCs/>
                <w:highlight w:val="yellow"/>
              </w:rPr>
              <w:t>Symbol 7</w:t>
            </w:r>
          </w:p>
        </w:tc>
        <w:tc>
          <w:tcPr>
            <w:tcW w:w="0" w:type="auto"/>
            <w:tcBorders>
              <w:bottom w:val="single" w:sz="12" w:space="0" w:color="DCDFE5"/>
            </w:tcBorders>
            <w:vAlign w:val="center"/>
            <w:hideMark/>
          </w:tcPr>
          <w:p w14:paraId="37DDA726"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Specifically Described Autos</w:t>
            </w:r>
          </w:p>
        </w:tc>
        <w:tc>
          <w:tcPr>
            <w:tcW w:w="0" w:type="auto"/>
            <w:tcBorders>
              <w:bottom w:val="single" w:sz="12" w:space="0" w:color="DCDFE5"/>
            </w:tcBorders>
            <w:vAlign w:val="center"/>
            <w:hideMark/>
          </w:tcPr>
          <w:p w14:paraId="4D6238D1"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 xml:space="preserve">Coverage </w:t>
            </w:r>
            <w:r w:rsidRPr="006C3F25">
              <w:rPr>
                <w:rFonts w:asciiTheme="majorHAnsi" w:hAnsiTheme="majorHAnsi" w:cstheme="majorHAnsi"/>
                <w:b/>
                <w:bCs/>
              </w:rPr>
              <w:t>only</w:t>
            </w:r>
            <w:r w:rsidRPr="006C3F25">
              <w:rPr>
                <w:rFonts w:asciiTheme="majorHAnsi" w:hAnsiTheme="majorHAnsi" w:cstheme="majorHAnsi"/>
              </w:rPr>
              <w:t xml:space="preserve"> applies to vehicles listed on the declarations page.</w:t>
            </w:r>
          </w:p>
        </w:tc>
      </w:tr>
      <w:tr w:rsidR="00943CCF" w:rsidRPr="006C3F25" w14:paraId="5E254C0B" w14:textId="77777777" w:rsidTr="00D60CD0">
        <w:trPr>
          <w:tblCellSpacing w:w="15" w:type="dxa"/>
        </w:trPr>
        <w:tc>
          <w:tcPr>
            <w:tcW w:w="0" w:type="auto"/>
            <w:tcBorders>
              <w:bottom w:val="single" w:sz="12" w:space="0" w:color="DCDFE5"/>
            </w:tcBorders>
            <w:vAlign w:val="center"/>
            <w:hideMark/>
          </w:tcPr>
          <w:p w14:paraId="165E4442" w14:textId="77777777" w:rsidR="00943CCF" w:rsidRPr="006C3F25" w:rsidRDefault="00943CCF" w:rsidP="00D60CD0">
            <w:pPr>
              <w:pStyle w:val="BodyText"/>
              <w:rPr>
                <w:rFonts w:asciiTheme="majorHAnsi" w:hAnsiTheme="majorHAnsi" w:cstheme="majorHAnsi"/>
                <w:highlight w:val="yellow"/>
              </w:rPr>
            </w:pPr>
            <w:r w:rsidRPr="006C3F25">
              <w:rPr>
                <w:rFonts w:asciiTheme="majorHAnsi" w:hAnsiTheme="majorHAnsi" w:cstheme="majorHAnsi"/>
                <w:b/>
                <w:bCs/>
                <w:highlight w:val="yellow"/>
              </w:rPr>
              <w:t>Symbol 8</w:t>
            </w:r>
          </w:p>
        </w:tc>
        <w:tc>
          <w:tcPr>
            <w:tcW w:w="0" w:type="auto"/>
            <w:tcBorders>
              <w:bottom w:val="single" w:sz="12" w:space="0" w:color="DCDFE5"/>
            </w:tcBorders>
            <w:vAlign w:val="center"/>
            <w:hideMark/>
          </w:tcPr>
          <w:p w14:paraId="396D4AB4"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Hired Autos Only</w:t>
            </w:r>
          </w:p>
        </w:tc>
        <w:tc>
          <w:tcPr>
            <w:tcW w:w="0" w:type="auto"/>
            <w:tcBorders>
              <w:bottom w:val="single" w:sz="12" w:space="0" w:color="DCDFE5"/>
            </w:tcBorders>
            <w:vAlign w:val="center"/>
            <w:hideMark/>
          </w:tcPr>
          <w:p w14:paraId="30D7B41B"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Covers vehicles leased, hired, rented, or borrowed by the business.</w:t>
            </w:r>
          </w:p>
        </w:tc>
      </w:tr>
      <w:tr w:rsidR="00943CCF" w:rsidRPr="006C3F25" w14:paraId="69422507" w14:textId="77777777" w:rsidTr="00D60CD0">
        <w:trPr>
          <w:tblCellSpacing w:w="15" w:type="dxa"/>
        </w:trPr>
        <w:tc>
          <w:tcPr>
            <w:tcW w:w="0" w:type="auto"/>
            <w:tcBorders>
              <w:bottom w:val="single" w:sz="12" w:space="0" w:color="DCDFE5"/>
            </w:tcBorders>
            <w:vAlign w:val="center"/>
            <w:hideMark/>
          </w:tcPr>
          <w:p w14:paraId="57E332D6" w14:textId="77777777" w:rsidR="00943CCF" w:rsidRPr="006C3F25" w:rsidRDefault="00943CCF" w:rsidP="00D60CD0">
            <w:pPr>
              <w:pStyle w:val="BodyText"/>
              <w:rPr>
                <w:rFonts w:asciiTheme="majorHAnsi" w:hAnsiTheme="majorHAnsi" w:cstheme="majorHAnsi"/>
                <w:highlight w:val="yellow"/>
              </w:rPr>
            </w:pPr>
            <w:r w:rsidRPr="006C3F25">
              <w:rPr>
                <w:rFonts w:asciiTheme="majorHAnsi" w:hAnsiTheme="majorHAnsi" w:cstheme="majorHAnsi"/>
                <w:b/>
                <w:bCs/>
                <w:highlight w:val="yellow"/>
              </w:rPr>
              <w:t>Symbol 9</w:t>
            </w:r>
          </w:p>
        </w:tc>
        <w:tc>
          <w:tcPr>
            <w:tcW w:w="0" w:type="auto"/>
            <w:tcBorders>
              <w:bottom w:val="single" w:sz="12" w:space="0" w:color="DCDFE5"/>
            </w:tcBorders>
            <w:vAlign w:val="center"/>
            <w:hideMark/>
          </w:tcPr>
          <w:p w14:paraId="42222AB6" w14:textId="77777777" w:rsidR="00943CCF" w:rsidRPr="006C3F25" w:rsidRDefault="00943CCF" w:rsidP="00D60CD0">
            <w:pPr>
              <w:pStyle w:val="BodyText"/>
              <w:rPr>
                <w:rFonts w:asciiTheme="majorHAnsi" w:hAnsiTheme="majorHAnsi" w:cstheme="majorHAnsi"/>
              </w:rPr>
            </w:pPr>
            <w:proofErr w:type="spellStart"/>
            <w:r w:rsidRPr="006C3F25">
              <w:rPr>
                <w:rFonts w:asciiTheme="majorHAnsi" w:hAnsiTheme="majorHAnsi" w:cstheme="majorHAnsi"/>
              </w:rPr>
              <w:t>Nonowned</w:t>
            </w:r>
            <w:proofErr w:type="spellEnd"/>
            <w:r w:rsidRPr="006C3F25">
              <w:rPr>
                <w:rFonts w:asciiTheme="majorHAnsi" w:hAnsiTheme="majorHAnsi" w:cstheme="majorHAnsi"/>
              </w:rPr>
              <w:t xml:space="preserve"> Autos Only</w:t>
            </w:r>
          </w:p>
        </w:tc>
        <w:tc>
          <w:tcPr>
            <w:tcW w:w="0" w:type="auto"/>
            <w:tcBorders>
              <w:bottom w:val="single" w:sz="12" w:space="0" w:color="DCDFE5"/>
            </w:tcBorders>
            <w:vAlign w:val="center"/>
            <w:hideMark/>
          </w:tcPr>
          <w:p w14:paraId="33CD6255"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Covers vehicles used for business but owned by others (e.g., employees).</w:t>
            </w:r>
          </w:p>
        </w:tc>
      </w:tr>
      <w:tr w:rsidR="00943CCF" w:rsidRPr="006C3F25" w14:paraId="59F4DF5A" w14:textId="77777777" w:rsidTr="00D60CD0">
        <w:trPr>
          <w:tblCellSpacing w:w="15" w:type="dxa"/>
        </w:trPr>
        <w:tc>
          <w:tcPr>
            <w:tcW w:w="0" w:type="auto"/>
            <w:tcBorders>
              <w:bottom w:val="nil"/>
            </w:tcBorders>
            <w:vAlign w:val="center"/>
            <w:hideMark/>
          </w:tcPr>
          <w:p w14:paraId="299368B1"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b/>
                <w:bCs/>
              </w:rPr>
              <w:t>Symbol 19</w:t>
            </w:r>
          </w:p>
        </w:tc>
        <w:tc>
          <w:tcPr>
            <w:tcW w:w="0" w:type="auto"/>
            <w:tcBorders>
              <w:bottom w:val="nil"/>
            </w:tcBorders>
            <w:vAlign w:val="center"/>
            <w:hideMark/>
          </w:tcPr>
          <w:p w14:paraId="17241E67"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Mobile Equipment Subject to Auto Registration</w:t>
            </w:r>
          </w:p>
        </w:tc>
        <w:tc>
          <w:tcPr>
            <w:tcW w:w="0" w:type="auto"/>
            <w:tcBorders>
              <w:bottom w:val="nil"/>
            </w:tcBorders>
            <w:vAlign w:val="center"/>
            <w:hideMark/>
          </w:tcPr>
          <w:p w14:paraId="5FAF0F90" w14:textId="77777777" w:rsidR="00943CCF" w:rsidRPr="006C3F25" w:rsidRDefault="00943CCF" w:rsidP="00D60CD0">
            <w:pPr>
              <w:pStyle w:val="BodyText"/>
              <w:rPr>
                <w:rFonts w:asciiTheme="majorHAnsi" w:hAnsiTheme="majorHAnsi" w:cstheme="majorHAnsi"/>
              </w:rPr>
            </w:pPr>
            <w:r w:rsidRPr="006C3F25">
              <w:rPr>
                <w:rFonts w:asciiTheme="majorHAnsi" w:hAnsiTheme="majorHAnsi" w:cstheme="majorHAnsi"/>
              </w:rPr>
              <w:t>Covers land vehicles like bulldozers when driven on public roads.</w:t>
            </w:r>
          </w:p>
        </w:tc>
      </w:tr>
    </w:tbl>
    <w:p w14:paraId="222969F2" w14:textId="77777777" w:rsidR="00943CCF" w:rsidRPr="006C3F25" w:rsidRDefault="00943CCF" w:rsidP="00943CCF">
      <w:pPr>
        <w:pStyle w:val="BodyText"/>
        <w:rPr>
          <w:rFonts w:asciiTheme="majorHAnsi" w:hAnsiTheme="majorHAnsi" w:cstheme="majorHAnsi"/>
        </w:rPr>
      </w:pPr>
    </w:p>
    <w:p w14:paraId="206C0540" w14:textId="77777777" w:rsidR="00943CCF" w:rsidRDefault="00943CCF" w:rsidP="00943CCF">
      <w:pPr>
        <w:pStyle w:val="Compact"/>
      </w:pPr>
    </w:p>
    <w:sectPr w:rsidR="00943CCF">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F261B" w14:textId="77777777" w:rsidR="00A66334" w:rsidRDefault="00A66334">
      <w:pPr>
        <w:spacing w:after="0"/>
      </w:pPr>
      <w:r>
        <w:separator/>
      </w:r>
    </w:p>
  </w:endnote>
  <w:endnote w:type="continuationSeparator" w:id="0">
    <w:p w14:paraId="1C2A9288" w14:textId="77777777" w:rsidR="00A66334" w:rsidRDefault="00A663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1E41" w14:textId="77777777" w:rsidR="003442FE" w:rsidRDefault="003442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F73AE" w14:textId="77777777" w:rsidR="00A66334" w:rsidRDefault="00A66334">
      <w:r>
        <w:separator/>
      </w:r>
    </w:p>
  </w:footnote>
  <w:footnote w:type="continuationSeparator" w:id="0">
    <w:p w14:paraId="2E1C90F3" w14:textId="77777777" w:rsidR="00A66334" w:rsidRDefault="00A66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F5027" w14:textId="77777777" w:rsidR="003442FE" w:rsidRDefault="003442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6C7D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04829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323972490">
    <w:abstractNumId w:val="0"/>
  </w:num>
  <w:num w:numId="2" w16cid:durableId="1572159703">
    <w:abstractNumId w:val="1"/>
  </w:num>
  <w:num w:numId="3" w16cid:durableId="1448161068">
    <w:abstractNumId w:val="1"/>
  </w:num>
  <w:num w:numId="4" w16cid:durableId="642084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2FE"/>
    <w:rsid w:val="00284D31"/>
    <w:rsid w:val="003442FE"/>
    <w:rsid w:val="003B2FDD"/>
    <w:rsid w:val="0041287C"/>
    <w:rsid w:val="00494D51"/>
    <w:rsid w:val="00943CCF"/>
    <w:rsid w:val="00A66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066D"/>
  <w15:docId w15:val="{39E544B1-5F0E-4277-A715-B53D73007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38</Pages>
  <Words>8978</Words>
  <Characters>51176</Characters>
  <Application>Microsoft Office Word</Application>
  <DocSecurity>0</DocSecurity>
  <Lines>426</Lines>
  <Paragraphs>120</Paragraphs>
  <ScaleCrop>false</ScaleCrop>
  <Company/>
  <LinksUpToDate>false</LinksUpToDate>
  <CharactersWithSpaces>60034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Alexander</dc:creator>
  <cp:keywords/>
  <cp:lastModifiedBy>Matt Alexander</cp:lastModifiedBy>
  <cp:revision>3</cp:revision>
  <cp:lastPrinted>2026-05-13T15:41:00Z</cp:lastPrinted>
  <dcterms:created xsi:type="dcterms:W3CDTF">2026-05-13T15:29:00Z</dcterms:created>
  <dcterms:modified xsi:type="dcterms:W3CDTF">2026-05-13T15:43:00Z</dcterms:modified>
</cp:coreProperties>
</file>