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phase_6_north_star_making_the_gat_3db3b5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Phase 6 — North Star: Making the Gateway Monitor Truly State-of-the-Art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What this is:</w:t>
      </w:r>
      <w:r>
        <w:rPr>
          <w:rFonts w:eastAsia="source serif 4" w:cs="source serif 4" w:ascii="source serif 4" w:hAnsi="source serif 4"/>
          <w:color w:val="000000"/>
        </w:rPr>
        <w:t xml:space="preserve"> a forward-looking evolution plan that takes the v1–v3 tool (collectors → Delta medallion → report + Activator) and pushes it to the frontier of what is </w:t>
      </w:r>
      <w:r>
        <w:rPr>
          <w:rFonts w:eastAsia="source serif 4" w:cs="source serif 4" w:ascii="source serif 4" w:hAnsi="source serif 4"/>
          <w:i/>
          <w:color w:val="000000"/>
        </w:rPr>
        <w:t xml:space="preserve">actually achievable in Microsoft Fabric / Windows in 2026</w:t>
      </w:r>
      <w:r>
        <w:rPr>
          <w:rFonts w:eastAsia="source serif 4" w:cs="source serif 4" w:ascii="source serif 4" w:hAnsi="source serif 4"/>
          <w:color w:val="000000"/>
        </w:rPr>
        <w:t xml:space="preserve"> — not speculation. Every capability carries a feasibility grade and a primary source.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Feasibility key:</w:t>
      </w:r>
      <w:r>
        <w:rPr>
          <w:rFonts w:eastAsia="source serif 4" w:cs="source serif 4" w:ascii="source serif 4" w:hAnsi="source serif 4"/>
          <w:color w:val="000000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[Feasible-now]</w:t>
      </w:r>
      <w:r>
        <w:rPr>
          <w:rFonts w:eastAsia="source serif 4" w:cs="source serif 4" w:ascii="source serif 4" w:hAnsi="source serif 4"/>
          <w:color w:val="000000"/>
        </w:rPr>
        <w:t xml:space="preserve"> ·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[Feasible-with-effort]</w:t>
      </w:r>
      <w:r>
        <w:rPr>
          <w:rFonts w:eastAsia="source serif 4" w:cs="source serif 4" w:ascii="source serif 4" w:hAnsi="source serif 4"/>
          <w:color w:val="000000"/>
        </w:rPr>
        <w:t xml:space="preserve"> ·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[Experimental]</w:t>
      </w:r>
      <w:r>
        <w:rPr>
          <w:rFonts w:eastAsia="source serif 4" w:cs="source serif 4" w:ascii="source serif 4" w:hAnsi="source serif 4"/>
          <w:color w:val="000000"/>
        </w:rPr>
        <w:t xml:space="preserve"> ·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[Blocked-by-platform]</w:t>
      </w:r>
      <w:r>
        <w:rPr>
          <w:rFonts w:eastAsia="source serif 4" w:cs="source serif 4" w:ascii="source serif 4" w:hAnsi="source serif 4"/>
          <w:color w:val="000000"/>
        </w:rPr>
        <w:t xml:space="preserve"> ·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[Unverified]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Full evidence: </w:t>
      </w:r>
      <w:hyperlink r:id="rId5">
        <w:r>
          <w:rPr>
            <w:rStyle w:val="VerbatimChar"/>
            <w:rFonts w:eastAsia="source sans 3" w:cs="source sans 3" w:ascii="source sans 3" w:hAnsi="source sans 3"/>
            <w:color w:val="#000"/>
            <w:u w:val="single"/>
            <w:shd w:val="clear" w:color="auto" w:fill="F8F8FA"/>
          </w:rPr>
          <w:t xml:space="preserve">frontier_instrumentation.md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 (OTel/ETW/tracing) and </w:t>
      </w:r>
      <w:hyperlink r:id="rId6">
        <w:r>
          <w:rPr>
            <w:rStyle w:val="VerbatimChar"/>
            <w:rFonts w:eastAsia="source sans 3" w:cs="source sans 3" w:ascii="source sans 3" w:hAnsi="source sans 3"/>
            <w:color w:val="#000"/>
            <w:u w:val="single"/>
            <w:shd w:val="clear" w:color="auto" w:fill="F8F8FA"/>
          </w:rPr>
          <w:t xml:space="preserve">frontier_intelligence.md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 (AIOps).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bm_0_the_headline_i_was_wrong_abo_ca817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0. The headline: I was wrong about a "permanent" ceiling — and that's good news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Across this project I repeatedly labeled </w:t>
      </w:r>
      <w:r>
        <w:rPr>
          <w:rFonts w:eastAsia="source serif 4" w:cs="source serif 4" w:ascii="source serif 4" w:hAnsi="source serif 4"/>
          <w:b/>
          <w:color w:val="000000"/>
        </w:rPr>
        <w:t xml:space="preserve">query→identity attribution as "inherently fuzzy"</w:t>
      </w:r>
      <w:r>
        <w:rPr>
          <w:rFonts w:eastAsia="source serif 4" w:cs="source serif 4" w:ascii="source serif 4" w:hAnsi="source serif 4"/>
          <w:color w:val="000000"/>
        </w:rPr>
        <w:t xml:space="preserve"> — a permanent design limit of gateway logs. </w:t>
      </w:r>
      <w:r>
        <w:rPr>
          <w:rFonts w:eastAsia="source serif 4" w:cs="source serif 4" w:ascii="source serif 4" w:hAnsi="source serif 4"/>
          <w:b/>
          <w:color w:val="000000"/>
        </w:rPr>
        <w:t xml:space="preserve">Frontier research refutes that.</w:t>
      </w:r>
      <w:r>
        <w:rPr>
          <w:rFonts w:eastAsia="source serif 4" w:cs="source serif 4" w:ascii="source serif 4" w:hAnsi="source serif 4"/>
          <w:color w:val="000000"/>
        </w:rPr>
        <w:t xml:space="preserve"> It is breakable </w:t>
      </w:r>
      <w:r>
        <w:rPr>
          <w:rFonts w:eastAsia="source serif 4" w:cs="source serif 4" w:ascii="source serif 4" w:hAnsi="source serif 4"/>
          <w:i/>
          <w:color w:val="000000"/>
        </w:rPr>
        <w:t xml:space="preserve">today</w:t>
      </w:r>
      <w:r>
        <w:rPr>
          <w:rFonts w:eastAsia="source serif 4" w:cs="source serif 4" w:ascii="source serif 4" w:hAnsi="source serif 4"/>
          <w:color w:val="000000"/>
        </w:rPr>
        <w:t xml:space="preserve">, with no new infrastructure: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The gateway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QueryStart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log's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RequestId is byte-identical to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XmlaRequestId /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OperationId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in Fabric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Workspace Monitoring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's Eventhouse table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PowerBIDatasetsWorkspace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 A KQL join on that key returns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ExecutingUser (UPN),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ItemId (DatasetId), DAX text, and AS-engine CPU/duration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the exact fields the CSV lacks (</w:t>
      </w:r>
      <w:hyperlink r:id="rId7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MS Fabric semantic model operations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; </w:t>
      </w:r>
      <w:hyperlink r:id="rId8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Chris Webb / Fabric CAT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).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[Feasible-now]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Even without Workspace Monitoring, the gateway's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EvaluationContext field already carries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datasetId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for Fabric Semantic Model / Dataflow Gen2 / Power Platform workloads (</w:t>
      </w:r>
      <w:hyperlink r:id="rId9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MS Learn gateway perf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).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[Feasible-now]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flips differentiator #3 from "best-effort/fuzzy" to </w:t>
      </w:r>
      <w:r>
        <w:rPr>
          <w:rFonts w:eastAsia="source serif 4" w:cs="source serif 4" w:ascii="source serif 4" w:hAnsi="source serif 4"/>
          <w:b/>
          <w:color w:val="000000"/>
        </w:rPr>
        <w:t xml:space="preserve">near-exact for the common case</w:t>
      </w:r>
      <w:r>
        <w:rPr>
          <w:rFonts w:eastAsia="source serif 4" w:cs="source serif 4" w:ascii="source serif 4" w:hAnsi="source serif 4"/>
          <w:color w:val="000000"/>
        </w:rPr>
        <w:t xml:space="preserve"> (Fabric semantic models). The honest residual: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UserId</w:t>
      </w:r>
      <w:r>
        <w:rPr>
          <w:rFonts w:eastAsia="source serif 4" w:cs="source serif 4" w:ascii="source serif 4" w:hAnsi="source serif 4"/>
          <w:color w:val="000000"/>
        </w:rPr>
        <w:t xml:space="preserve"> per </w:t>
      </w:r>
      <w:r>
        <w:rPr>
          <w:rFonts w:eastAsia="source serif 4" w:cs="source serif 4" w:ascii="source serif 4" w:hAnsi="source serif 4"/>
          <w:i/>
          <w:color w:val="000000"/>
        </w:rPr>
        <w:t xml:space="preserve">DirectQuery</w:t>
      </w:r>
      <w:r>
        <w:rPr>
          <w:rFonts w:eastAsia="source serif 4" w:cs="source serif 4" w:ascii="source serif 4" w:hAnsi="source serif 4"/>
          <w:color w:val="000000"/>
        </w:rPr>
        <w:t xml:space="preserve"> execution and Dataflow Gen1 / Paginated Reports remain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[Blocked-by-platform]</w:t>
      </w:r>
      <w:r>
        <w:rPr>
          <w:rFonts w:eastAsia="source serif 4" w:cs="source serif 4" w:ascii="source serif 4" w:hAnsi="source serif 4"/>
          <w:color w:val="000000"/>
        </w:rPr>
        <w:t xml:space="preserve">. But the "which dataset / which user triggered this" question — the #3 pain point — is now answerable. </w:t>
      </w:r>
      <w:r>
        <w:rPr>
          <w:rFonts w:eastAsia="source serif 4" w:cs="source serif 4" w:ascii="source serif 4" w:hAnsi="source serif 4"/>
          <w:b/>
          <w:color w:val="000000"/>
        </w:rPr>
        <w:t xml:space="preserve">This single finding is the most important result of the entire project.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bm_1_two_ceilings_reassesse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Two ceilings, reassessed</w:t>
      </w:r>
      <w:bookmarkEnd w:id="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Ceiling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Old verdict (mine)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Frontier verdict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How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Query→identity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"inherently fuzzy"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Breakable now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RequestId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↔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XmlaRequestId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join to Workspace Monitoring;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EvaluationContext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datasetId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Per-query network cost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"host-level only"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Breakable with effort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ETW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Microsoft-Windows-TCPIP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/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Kernel-Network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per-PID bytes+RTT, time-correlated to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QueryTrackingId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Neither requires modifying Microsoft's gateway. Both are grounded in primary docs.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bm_2_the_architecture_leap_otlp_n_88cf07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The architecture leap: OTLP-native telemetry bus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Today's tool parses CSV. The state-of-the-art version treats the gateway host as a </w:t>
      </w:r>
      <w:r>
        <w:rPr>
          <w:rFonts w:eastAsia="source serif 4" w:cs="source serif 4" w:ascii="source serif 4" w:hAnsi="source serif 4"/>
          <w:b/>
          <w:color w:val="000000"/>
        </w:rPr>
        <w:t xml:space="preserve">fully instrumented node emitting OpenTelemetry</w:t>
      </w:r>
      <w:r>
        <w:rPr>
          <w:rFonts w:eastAsia="source serif 4" w:cs="source serif 4" w:ascii="source serif 4" w:hAnsi="source serif 4"/>
          <w:color w:val="000000"/>
        </w:rPr>
        <w:t xml:space="preserve"> — metrics, traces, logs (and eventually profiles) — through one wire protocol to any backend. OTel reached </w:t>
      </w:r>
      <w:hyperlink r:id="rId10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CNCF Graduation (May 2026)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; Azure Monitor OTLP ingestion is </w:t>
      </w:r>
      <w:hyperlink r:id="rId11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GA (June 2026)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Gateway Host (Windows)</w:t>
        <w:br/>
        <w:t xml:space="preserve">  Microsoft.PowerBI.EnterpriseGateway.exe ─┐  CLR profiler (OTel .NET auto-instr.)</w:t>
        <w:br/>
        <w:t xml:space="preserve">  Mashup.Container.NetFX45.exe (×N)        ─┤  → per-query HTTP/SQL spans</w:t>
        <w:br/>
        <w:t xml:space="preserve">  ETW consumer (TCPIP + Kernel-Network)    ─┤  → per-PID bytes/RTT metrics</w:t>
        <w:br/>
        <w:t xml:space="preserve">  CSV filelog receiver (existing parser)   ─┘  → log records</w:t>
        <w:br/>
        <w:t xml:space="preserve">                    │  OTLP</w:t>
        <w:br/>
        <w:t xml:space="preserve">                    ▼</w:t>
        <w:br/>
        <w:t xml:space="preserve">          OTel Collector (local sidecar)</w:t>
        <w:br/>
        <w:t xml:space="preserve">                    │  fan-out (add a backend = add an exporter block, zero code)</w:t>
        <w:br/>
        <w:t xml:space="preserve">        ┌───────────┼───────────────────────────┐</w:t>
        <w:br/>
        <w:t xml:space="preserve">        ▼           ▼                           ▼</w:t>
        <w:br/>
        <w:t xml:space="preserve">  Azure Monitor   Fabric Eventhouse (ADX exp.)  Prometheus/Grafana</w:t>
        <w:br/>
        <w:t xml:space="preserve">                    │  KQL join on OperationId==RequestId</w:t>
        <w:br/>
        <w:t xml:space="preserve">                    ▼</w:t>
        <w:br/>
        <w:t xml:space="preserve">        Fabric Workspace Monitoring  →  identity (ExecutingUser, DatasetId, DAX)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Sources: </w:t>
      </w:r>
      <w:hyperlink r:id="rId12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OTel .NET zero-code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, </w:t>
      </w:r>
      <w:hyperlink r:id="rId13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ADX/Eventhouse OTel exporter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, </w:t>
      </w:r>
      <w:hyperlink r:id="rId14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ETW TcpIp_SendIPV4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Why it matters:</w:t>
      </w:r>
      <w:r>
        <w:rPr>
          <w:rFonts w:eastAsia="source serif 4" w:cs="source serif 4" w:ascii="source serif 4" w:hAnsi="source serif 4"/>
          <w:color w:val="000000"/>
        </w:rPr>
        <w:t xml:space="preserve"> bespoke CSV parsing is a dead-end that breaks on every gateway upgrade (pain #4). An OTLP-native design future-proofs the tool, interoperates with the entire observability ecosystem, and makes the schema-adaptive parser a </w:t>
      </w:r>
      <w:r>
        <w:rPr>
          <w:rFonts w:eastAsia="source serif 4" w:cs="source serif 4" w:ascii="source serif 4" w:hAnsi="source serif 4"/>
          <w:i/>
          <w:color w:val="000000"/>
        </w:rPr>
        <w:t xml:space="preserve">fallback</w:t>
      </w:r>
      <w:r>
        <w:rPr>
          <w:rFonts w:eastAsia="source serif 4" w:cs="source serif 4" w:ascii="source serif 4" w:hAnsi="source serif 4"/>
          <w:color w:val="000000"/>
        </w:rPr>
        <w:t xml:space="preserve">, not the core.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bm_3_the_four_intelligence_layers_7bb3b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The four intelligence layers (passive → predictive → self-explaining → self-healing)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signals are only half the tool. The frontier is what you </w:t>
      </w:r>
      <w:r>
        <w:rPr>
          <w:rFonts w:eastAsia="source serif 4" w:cs="source serif 4" w:ascii="source serif 4" w:hAnsi="source serif 4"/>
          <w:i/>
          <w:color w:val="000000"/>
        </w:rPr>
        <w:t xml:space="preserve">do</w:t>
      </w:r>
      <w:r>
        <w:rPr>
          <w:rFonts w:eastAsia="source serif 4" w:cs="source serif 4" w:ascii="source serif 4" w:hAnsi="source serif 4"/>
          <w:color w:val="000000"/>
        </w:rPr>
        <w:t xml:space="preserve"> with them. All four layers are Fabric-native.</w:t>
      </w:r>
    </w:p>
    <w:p>
      <w:pPr>
        <w:spacing w:line="360" w:before="315" w:after="105" w:lineRule="auto"/>
        <w:ind w:left="-30"/>
        <w:jc w:val="left"/>
      </w:pPr>
      <w:bookmarkStart w:id="5" w:name="layer_1_detection_replace_static_6c650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Layer 1 — Detection (replace static thresholds)</w:t>
      </w:r>
      <w:bookmarkEnd w:id="5"/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series_decompose_anomalies()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on CPU/spool/duration — seasonality-aware, scores outliers, processes thousands of series in seconds. Drop-in for Eventhouse.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[Feasible-now]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</w:t>
      </w:r>
      <w:hyperlink r:id="rId15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KQL anomaly detection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diffpatterns /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autocluster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during a failure window, auto-surface "78% of errors = GW02 + OracleDB + MashupCrash vs 12% baseline." Automated top-offender attribution, no ML training.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[Feasible-now]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</w:t>
      </w:r>
      <w:hyperlink r:id="rId16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anomaly diagnosis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)</w:t>
      </w:r>
    </w:p>
    <w:p>
      <w:pPr>
        <w:spacing w:line="360" w:before="315" w:after="105" w:lineRule="auto"/>
        <w:ind w:left="-30"/>
        <w:jc w:val="left"/>
      </w:pPr>
      <w:bookmarkStart w:id="6" w:name="layer_2_prediction_from_it_broke_bf69a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Layer 2 — Prediction (from "it broke" to "it will break")</w:t>
      </w:r>
      <w:bookmarkEnd w:id="6"/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series_decompose_forecast()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"spool disk exhausts in ~2h at current trajectory" → Activator fires </w:t>
      </w:r>
      <w:r>
        <w:rPr>
          <w:rFonts w:eastAsia="source serif 4" w:cs="source serif 4" w:ascii="source serif 4" w:hAnsi="source serif 4"/>
          <w:i/>
          <w:color w:val="000000"/>
          <w:sz w:val="21"/>
        </w:rPr>
        <w:t xml:space="preserve">before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the outage.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[Feasible-now]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SynapseML Isolation Forest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unsupervised multivariate anomaly across CPU+spool+duration+RTT+memory jointly; works day one.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[Feasible-now]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batch (</w:t>
      </w:r>
      <w:hyperlink r:id="rId17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Isolation Forest MVAD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LightGBM refresh-failure classifier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P(failure|features) heatmap in the fleet view; needs 4–8 weeks labeled history.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[Feasible-with-effort]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</w:t>
      </w:r>
      <w:hyperlink r:id="rId18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predictive maintenance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GAT multivariate model via KQL Python plugin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real-time inference inside Eventhouse.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[Feasible-with-effort]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</w:t>
      </w:r>
      <w:hyperlink r:id="rId19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MVAD tutorial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)</w:t>
      </w:r>
    </w:p>
    <w:p>
      <w:pPr>
        <w:spacing w:line="360" w:before="315" w:after="105" w:lineRule="auto"/>
        <w:ind w:left="-30"/>
        <w:jc w:val="left"/>
      </w:pPr>
      <w:bookmarkStart w:id="7" w:name="layer_3_explanation_the_jarvis_laye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Layer 3 — Explanation (the "Jarvis" layer)</w:t>
      </w:r>
      <w:bookmarkEnd w:id="7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Fabric Data Agent (NL2KQL)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GA. Operator asks "why did the Sales refresh fail at 3 AM?" → agent correlates gateway errors + network + Event Log + refresh history across ≤5 sources and answers in plain English with citations.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[Feasible-now]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</w:t>
      </w:r>
      <w:hyperlink r:id="rId20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Data Agent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LLM alert enrichment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SynapseML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OpenAIChatCompletion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/AI Functions turn a raw Activator alert into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{likely_cause, confidence, recommended_actions, runbook_url}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labeled AI-hypothesis-not-confirmed with evidence citations.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[Feasible-with-effort]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</w:t>
      </w:r>
      <w:hyperlink r:id="rId21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AI Functions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Eventhouse Remote MCP server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expose the telemetry as an MCP tool any AI agent (Copilot Studio, AI Foundry) can reason over.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[Feasible-now]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read-only (</w:t>
      </w:r>
      <w:hyperlink r:id="rId22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MCP Eventhouse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)</w:t>
      </w:r>
    </w:p>
    <w:p>
      <w:pPr>
        <w:spacing w:line="360" w:before="315" w:after="105" w:lineRule="auto"/>
        <w:ind w:left="-30"/>
        <w:jc w:val="left"/>
      </w:pPr>
      <w:bookmarkStart w:id="8" w:name="layer_4_self_healing_closed_loop_58f6a8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Layer 4 — Self-healing (closed loop, with guardrails)</w:t>
      </w:r>
      <w:bookmarkEnd w:id="8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Activator → User Data Function → REST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spool threshold → UDF restarts gateway / clears spool / re-validates creds → writes audit → posts Teams Adaptive Card.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[Feasible-now]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</w:t>
      </w:r>
      <w:hyperlink r:id="rId23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Activator+UDF tutorial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Guardrails (the responsible-Jarvis bar):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Tier 1 autonomous (notify, read-only health check); Tier 2 human-in-loop (restart, spool cleanup — Adaptive Card approve/deny); Tier 3 recommend-only (scale-out, migration).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Circuit breaker: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&gt;3 same-remediations/30 min → suppress + escalate. Activator's stateful transitions + impact-preview prevent remediation storms.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bm_4_consolidated_state_of_the_ar_ed8cb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Consolidated "state-of-the-art" capability map</w:t>
      </w:r>
      <w:bookmarkEnd w:id="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Capability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Layer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Feasibility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Breaks a ceiling / pain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RequestId↔XmlaRequestId identity join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Ingest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[Feasible-now]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Ceiling 1 (identity), pain #3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EvaluationContext datasetId parse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Ingest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[Feasible-now]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Ceiling 1 partial, pain #3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ETW per-PID network bytes+RTT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Ingest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[Feasible-with-effort]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Ceiling 2 (network), pain #7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OTel .NET CLR profiler spans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Ingest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[Feasible-with-effort]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per-query latency; identity if traceparent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[Unverified]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OTLP Collector → Eventhouse/Azure Monitor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[Feasible-now→effort]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future-proofs, kills pain #4 fragility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series_decompose_anomalies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Detect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[Feasible-now]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proactive vs pain #1/#5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diffpatterns/autocluster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Detect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[Feasible-now]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auto-attribution, pain #2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series_decompose_forecast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Predict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[Feasible-now]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pre-failure alerting, pain #9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Isolation Forest MVAD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Predict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[Feasible-now]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batch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pain #5/#6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LightGBM failure classifier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Predict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[Feasible-with-effort]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pain #2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Fabric Data Agent NL2KQL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Explain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[Feasible-now]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pain #2/#8 (usability)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LLM alert enrichment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Explain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[Feasible-with-effort]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pain #2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Activator→UDF self-healing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Heal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[Feasible-now]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pain #1/#9/#10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eBPF on Windows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[Blocked-by-platform]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(use ETW instead)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W3C traceparent PBI→gateway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[Unverified]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would make identity exact end-to-end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Per-OPDG CU attribution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[Unverified]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proxy via query-volume↔CU-timepoint join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bm_5_evolution_roadmap_v1_shipped_1e6c27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 Evolution roadmap (v1 shipped-shape → v6 frontier)</w:t>
      </w:r>
      <w:bookmarkEnd w:id="10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v1 (built):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collectors + schema-adaptive medallion + report + basic Activator offline alert.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v2: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ETW network collector (Ceiling 2) +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series_decompose_anomalies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/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forecast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diffpatterns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triage. </w:t>
      </w:r>
      <w:r>
        <w:rPr>
          <w:rFonts w:eastAsia="source serif 4" w:cs="source serif 4" w:ascii="source serif 4" w:hAnsi="source serif 4"/>
          <w:i/>
          <w:color w:val="000000"/>
          <w:sz w:val="21"/>
        </w:rPr>
        <w:t xml:space="preserve">Mostly </w:t>
      </w:r>
      <w:r>
        <w:rPr>
          <w:rStyle w:val="VerbatimChar"/>
          <w:rFonts w:eastAsia="source serif 4" w:cs="source serif 4" w:ascii="source serif 4" w:hAnsi="source serif 4"/>
          <w:i/>
          <w:color w:val="000000"/>
          <w:sz w:val="21"/>
          <w:shd w:val="clear" w:color="auto" w:fill="F8F8FA"/>
        </w:rPr>
        <w:t xml:space="preserve">[Feasible-now].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v3: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Identity join to Workspace Monitoring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(Ceiling 1) + Fabric Data Agent NL ops + Activator→UDF Tier-2 self-healing with approval cards.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v4: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OTLP-native bus (OTel Collector sidecar; CSV becomes fallback) + Isolation Forest MVAD + LLM alert enrichment.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v5: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LightGBM/GAT predictive failure + query fingerprinting + capacity/CU advisory.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v6 (frontier):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OTel .NET CLR profiler for true per-query distributed spans; Granger-causal RCA; MCP-exposed agentic ops. Carries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[Experimental]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/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[Unverified]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items — gated on pilot validation.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Sequencing rule: </w:t>
      </w:r>
      <w:r>
        <w:rPr>
          <w:rFonts w:eastAsia="source serif 4" w:cs="source serif 4" w:ascii="source serif 4" w:hAnsi="source serif 4"/>
          <w:b/>
          <w:color w:val="000000"/>
        </w:rPr>
        <w:t xml:space="preserve">highest pain ÷ effort first.</w:t>
      </w:r>
      <w:r>
        <w:rPr>
          <w:rFonts w:eastAsia="source serif 4" w:cs="source serif 4" w:ascii="source serif 4" w:hAnsi="source serif 4"/>
          <w:color w:val="000000"/>
        </w:rPr>
        <w:t xml:space="preserve"> v2–v3 are almost entirely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[Feasible-now]</w:t>
      </w:r>
      <w:r>
        <w:rPr>
          <w:rFonts w:eastAsia="source serif 4" w:cs="source serif 4" w:ascii="source serif 4" w:hAnsi="source serif 4"/>
          <w:color w:val="000000"/>
        </w:rPr>
        <w:t xml:space="preserve"> and deliver the two ceiling breaks + the intelligence that operators have begged for. v4+ is where it becomes genuinely novel vs. anything shipping today.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bm_6_what_makes_this_state_of_the_4656df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 What makes this state-of-the-art (and what would be hype)</w:t>
      </w:r>
      <w:bookmarkEnd w:id="1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Genuinely SOTA, defensible: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First gateway monitor to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break identity attribution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(RequestId join) and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per-query network cost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(ETW) — both confirmed-missing in all 10 existing tools.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First to be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OTLP-native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rather than CSV-bound — interoperates with the whole observability ecosystem and survives gateway upgrades.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First with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predictive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(forecast saturation) +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self-explaining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(Data Agent/LLM RCA) +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self-healing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(Activator→UDF with guardrails) layers, all Fabric-native.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What would be hype — explicitly NOT claimed: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Not "fully autonomous ops." Human-in-loop for anything destructive; circuit breakers mandatory.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Not eBPF on Windows (blocked) — ETW is the honest equivalent.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Not exact per-DirectQuery user attribution (blocked) — dataset+session, not per-visual user.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Not per-OPDG CU billing (unconfirmed) — proxy estimate only, labeled.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LLM RCA is a </w:t>
      </w:r>
      <w:r>
        <w:rPr>
          <w:rFonts w:eastAsia="source serif 4" w:cs="source serif 4" w:ascii="source serif 4" w:hAnsi="source serif 4"/>
          <w:i/>
          <w:color w:val="000000"/>
          <w:sz w:val="21"/>
        </w:rPr>
        <w:t xml:space="preserve">hypothesis with citations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never an autonomous decision-maker.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" w:name="bm_7_immediate_next_3_actions_whe_4dac7f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 Immediate next 3 actions (when a Fabric env is available)</w:t>
      </w:r>
      <w:bookmarkEnd w:id="12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Prove the identity join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enable Workspace Monitoring on a test workspace, run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OperationId==RequestId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KQL join, confirm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ExecutingUser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/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ItemId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populate. This validates the project's biggest claim (Phase 5 item, elevated).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Stand up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series_decompose_anomalies +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forecast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on real gateway telemetry — the cheapest, highest-visible intelligence win; converts static thresholds to predictive alerts in ~2 days.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Wire one Activator→UDF Tier-2 loop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(offline → approval card → restart → audit) with the circuit breaker — proves the self-healing pattern end-to-end before scaling it.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i/>
          <w:color w:val="000000"/>
        </w:rPr>
        <w:t xml:space="preserve">Phase 6 north-star complete. The two "permanent" ceilings are not permanent. Every frontier capability is grounded in a primary source and honestly graded; the sci-fi is labeled as such. This is the plan for a tool built for the future, not a copy of what already exists.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./frontier_instrumentation.md" TargetMode="External"/><Relationship Id="rId6" Type="http://schemas.openxmlformats.org/officeDocument/2006/relationships/hyperlink" Target="./frontier_intelligence.md" TargetMode="External"/><Relationship Id="rId7" Type="http://schemas.openxmlformats.org/officeDocument/2006/relationships/hyperlink" Target="https://learn.microsoft.com/en-us/fabric/enterprise/powerbi/semantic-model-operations" TargetMode="External"/><Relationship Id="rId8" Type="http://schemas.openxmlformats.org/officeDocument/2006/relationships/hyperlink" Target="https://blog.crossjoin.co.uk/2024/09/01/finding-power-bi-semantic-model-refresh-operations-in-gateway-logs/" TargetMode="External"/><Relationship Id="rId9" Type="http://schemas.openxmlformats.org/officeDocument/2006/relationships/hyperlink" Target="https://learn.microsoft.com/en-us/data-integration/gateway/service-gateway-performance" TargetMode="External"/><Relationship Id="rId10" Type="http://schemas.openxmlformats.org/officeDocument/2006/relationships/hyperlink" Target="https://byteiota.com/opentelemetry-cncf-graduation-developer-guide/" TargetMode="External"/><Relationship Id="rId11" Type="http://schemas.openxmlformats.org/officeDocument/2006/relationships/hyperlink" Target="https://techcommunity.microsoft.com/blog/azureobservabilityblog/direct-opentelemetry-ingestion-into-azure-monitor-is-now-generally-available/4524044" TargetMode="External"/><Relationship Id="rId12" Type="http://schemas.openxmlformats.org/officeDocument/2006/relationships/hyperlink" Target="https://opentelemetry.io/docs/zero-code/dotnet/" TargetMode="External"/><Relationship Id="rId13" Type="http://schemas.openxmlformats.org/officeDocument/2006/relationships/hyperlink" Target="https://github.com/open-telemetry/opentelemetry-collector-contrib/blob/main/exporter/azuredataexplorerexporter/README.md" TargetMode="External"/><Relationship Id="rId14" Type="http://schemas.openxmlformats.org/officeDocument/2006/relationships/hyperlink" Target="https://learn.microsoft.com/en-us/windows/win32/ETW/tcpip-sendipv4" TargetMode="External"/><Relationship Id="rId15" Type="http://schemas.openxmlformats.org/officeDocument/2006/relationships/hyperlink" Target="https://learn.microsoft.com/en-us/kusto/query/anomaly-detection?view=microsoft-fabric" TargetMode="External"/><Relationship Id="rId16" Type="http://schemas.openxmlformats.org/officeDocument/2006/relationships/hyperlink" Target="https://learn.microsoft.com/en-us/kusto/query/anomaly-diagnosis?view=microsoft-fabric" TargetMode="External"/><Relationship Id="rId17" Type="http://schemas.openxmlformats.org/officeDocument/2006/relationships/hyperlink" Target="https://learn.microsoft.com/en-us/fabric/data-science/isolation-forest-multivariate-anomaly-detection" TargetMode="External"/><Relationship Id="rId18" Type="http://schemas.openxmlformats.org/officeDocument/2006/relationships/hyperlink" Target="https://learn.microsoft.com/en-us/fabric/data-science/predictive-maintenance" TargetMode="External"/><Relationship Id="rId19" Type="http://schemas.openxmlformats.org/officeDocument/2006/relationships/hyperlink" Target="https://learn.microsoft.com/en-us/fabric/real-time-intelligence/multivariate-anomaly-detection" TargetMode="External"/><Relationship Id="rId20" Type="http://schemas.openxmlformats.org/officeDocument/2006/relationships/hyperlink" Target="https://learn.microsoft.com/en-us/fabric/data-science/concept-data-agent" TargetMode="External"/><Relationship Id="rId21" Type="http://schemas.openxmlformats.org/officeDocument/2006/relationships/hyperlink" Target="https://learn.microsoft.com/en-us/fabric/data-science/ai-services/how-to-use-openai-ai-functions" TargetMode="External"/><Relationship Id="rId22" Type="http://schemas.openxmlformats.org/officeDocument/2006/relationships/hyperlink" Target="https://learn.microsoft.com/en-us/fabric/real-time-intelligence/mcp-remote-eventhouse" TargetMode="External"/><Relationship Id="rId23" Type="http://schemas.openxmlformats.org/officeDocument/2006/relationships/hyperlink" Target="https://learn.microsoft.com/en-us/fabric/real-time-hub/business-events/tutorial-business-events-event-stream-user-data-function-activator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2026-07-01T01:29:57.712Z</dcterms:created>
  <dcterms:modified xsi:type="dcterms:W3CDTF">2026-07-01T01:29:57.712Z</dcterms:modified>
</cp:coreProperties>
</file>