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Architecture Comparison – Detailed Benchmark Write‑Up</w:t>
      </w:r>
    </w:p>
    <w:p>
      <w:r>
        <w:t>Generated: 2026-02-07 11:46:30</w:t>
      </w:r>
    </w:p>
    <w:p>
      <w:r>
        <w:t>Repository: this report assumes the codebase is accessible via GitHub, and references file paths within the repo so reviewers can inspect the implementation directly.</w:t>
      </w:r>
    </w:p>
    <w:p>
      <w:pPr>
        <w:pStyle w:val="Heading2"/>
      </w:pPr>
      <w:r>
        <w:t>1. Purpose and Research Question</w:t>
      </w:r>
    </w:p>
    <w:p>
      <w:r>
        <w:t>This benchmark asks whether the choice of data architecture (typed TypeScript, DBT/SQL, Drizzle ORM, or Cube semantic layer) affects a model’s ability to implement analytics tasks correctly. The goal is not to compare business logic choices, but to compare how effectively models can navigate and use different data contexts.</w:t>
      </w:r>
    </w:p>
    <w:p>
      <w:pPr>
        <w:pStyle w:val="Heading2"/>
      </w:pPr>
      <w:r>
        <w:t>2. Repository Layout (Key Paths)</w:t>
      </w:r>
    </w:p>
    <w:p>
      <w:r>
        <w:t>Core harness and sandbox definitions:</w:t>
      </w:r>
    </w:p>
    <w:p>
      <w:r>
        <w:t>• scripts/modular-benchmark.ts – orchestrates runs, tool use, validation, and summary output</w:t>
      </w:r>
    </w:p>
    <w:p>
      <w:r>
        <w:t>• sandboxes/typed/sandbox.config.ts – typed TypeScript sandbox config &amp; validator</w:t>
      </w:r>
    </w:p>
    <w:p>
      <w:r>
        <w:t>• sandboxes/dbt/sandbox.config.ts – DBT/SQL sandbox config &amp; validator</w:t>
      </w:r>
    </w:p>
    <w:p>
      <w:r>
        <w:t>• sandboxes/drizzle/sandbox.config.ts – Drizzle ORM sandbox config &amp; validator</w:t>
      </w:r>
    </w:p>
    <w:p>
      <w:r>
        <w:t>• sandboxes/cube/sandbox.config.ts – Cube semantic layer sandbox config &amp; validator</w:t>
      </w:r>
    </w:p>
    <w:p>
      <w:r>
        <w:t>Data for all sandboxes: data/*.json</w:t>
      </w:r>
    </w:p>
    <w:p>
      <w:pPr>
        <w:pStyle w:val="Heading2"/>
      </w:pPr>
      <w:r>
        <w:t>3. Tasks and Expected Outputs</w:t>
      </w:r>
    </w:p>
    <w:p>
      <w:r>
        <w:t>Three metrics are evaluated across all sandboxes:</w:t>
      </w:r>
    </w:p>
    <w:p>
      <w:r>
        <w:t>• ARPU (Average Revenue Per User): total paid invoice amount / unique paying customers</w:t>
      </w:r>
    </w:p>
    <w:p>
      <w:r>
        <w:t>• Churn Rate: active subscriptions with cancel_at_period_end=true / total active subscriptions</w:t>
      </w:r>
    </w:p>
    <w:p>
      <w:r>
        <w:t>• LTV (Average Customer LTV): average of per‑customer paid revenue totals</w:t>
      </w:r>
    </w:p>
    <w:p>
      <w:r>
        <w:t>Expected values are computed directly from data/*.json within scripts/modular-benchmark.ts and used for validation.</w:t>
      </w:r>
    </w:p>
    <w:p>
      <w:pPr>
        <w:pStyle w:val="Heading2"/>
      </w:pPr>
      <w:r>
        <w:t>4. Model Interaction Protocol</w:t>
      </w:r>
    </w:p>
    <w:p>
      <w:r>
        <w:t>Each sandbox provides a system prompt and task prompt, and the model must use a constrained tool interface: read_file, write_file, list_files, done. The harness enforces tool use and re-prompts when the model fails to use tools. If the model never completes within max turns (default 20), the task is marked as failed.</w:t>
      </w:r>
    </w:p>
    <w:p>
      <w:pPr>
        <w:pStyle w:val="Heading2"/>
      </w:pPr>
      <w:r>
        <w:t>5. Validation Mechanics (Per Sandbox)</w:t>
      </w:r>
    </w:p>
    <w:p>
      <w:r>
        <w:t>Typed (TypeScript):</w:t>
      </w:r>
    </w:p>
    <w:p>
      <w:r>
        <w:t>• Model writes a function in src/analytics/queries.ts</w:t>
      </w:r>
    </w:p>
    <w:p>
      <w:r>
        <w:t>• Validator imports the function and executes it against JSON data</w:t>
      </w:r>
    </w:p>
    <w:p>
      <w:r>
        <w:t>• Pass if numeric result within tolerance</w:t>
      </w:r>
    </w:p>
    <w:p>
      <w:r>
        <w:t>DBT (SQL):</w:t>
      </w:r>
    </w:p>
    <w:p>
      <w:r>
        <w:t>• Model writes a SQL file in models/staging/</w:t>
      </w:r>
    </w:p>
    <w:p>
      <w:r>
        <w:t>• Validator runs SQL in DuckDB with JSON tables</w:t>
      </w:r>
    </w:p>
    <w:p>
      <w:r>
        <w:t>• Pass if numeric result within tolerance</w:t>
      </w:r>
    </w:p>
    <w:p>
      <w:r>
        <w:t>• Filename matching is relaxed to accept common variants (e.g., stg_arpu.sql, stg_stripe_arpu.sql, etc.)</w:t>
      </w:r>
    </w:p>
    <w:p>
      <w:r>
        <w:t>Drizzle (ORM):</w:t>
      </w:r>
    </w:p>
    <w:p>
      <w:r>
        <w:t>• Model writes async function in src/queries.ts</w:t>
      </w:r>
    </w:p>
    <w:p>
      <w:r>
        <w:t>• Validator loads SQLite in‑memory DB populated from JSON and executes function</w:t>
      </w:r>
    </w:p>
    <w:p>
      <w:r>
        <w:t>Cube (Semantic Layer):</w:t>
      </w:r>
    </w:p>
    <w:p>
      <w:r>
        <w:t>• Model adds a measure in src/cubes.ts</w:t>
      </w:r>
    </w:p>
    <w:p>
      <w:r>
        <w:t>• Validator extracts SQL from measure definition and executes in DuckDB</w:t>
      </w:r>
    </w:p>
    <w:p>
      <w:r>
        <w:t>• Note: Validator does not inject default filters; measures are evaluated as written</w:t>
      </w:r>
    </w:p>
    <w:p>
      <w:pPr>
        <w:pStyle w:val="Heading2"/>
      </w:pPr>
      <w:r>
        <w:t>6. Fairness Adjustments and Known Fixes</w:t>
      </w:r>
    </w:p>
    <w:p>
      <w:r>
        <w:t>To reduce architecture bias caused by test harness issues, the following adjustments were made:</w:t>
      </w:r>
    </w:p>
    <w:p>
      <w:r>
        <w:t>• Cube validator removed auto‑filter injection (status=paid/active), so measures are not silently corrected.</w:t>
      </w:r>
    </w:p>
    <w:p>
      <w:r>
        <w:t>• DBT validator relaxed file name matching to accept common variants.</w:t>
      </w:r>
    </w:p>
    <w:p>
      <w:r>
        <w:t>• Drizzle better-sqlite3 native module rebuilt for current Node version.</w:t>
      </w:r>
    </w:p>
    <w:p>
      <w:pPr>
        <w:pStyle w:val="Heading2"/>
      </w:pPr>
      <w:r>
        <w:t>7. Results Summary (Single Run per Model)</w:t>
      </w:r>
    </w:p>
    <w:p>
      <w:r>
        <w:t>Each cell shows pass count out of 3 tasks for a model and sandbox.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typed</w:t>
            </w:r>
          </w:p>
        </w:tc>
        <w:tc>
          <w:tcPr>
            <w:tcW w:type="dxa" w:w="1728"/>
          </w:tcPr>
          <w:p>
            <w:r>
              <w:t>dbt</w:t>
            </w:r>
          </w:p>
        </w:tc>
        <w:tc>
          <w:tcPr>
            <w:tcW w:type="dxa" w:w="1728"/>
          </w:tcPr>
          <w:p>
            <w:r>
              <w:t>drizzle</w:t>
            </w:r>
          </w:p>
        </w:tc>
        <w:tc>
          <w:tcPr>
            <w:tcW w:type="dxa" w:w="1728"/>
          </w:tcPr>
          <w:p>
            <w:r>
              <w:t>cube</w:t>
            </w:r>
          </w:p>
        </w:tc>
      </w:tr>
      <w:tr>
        <w:tc>
          <w:tcPr>
            <w:tcW w:type="dxa" w:w="1728"/>
          </w:tcPr>
          <w:p>
            <w:r>
              <w:t>google/gemini-3-flash-preview</w:t>
            </w:r>
          </w:p>
        </w:tc>
        <w:tc>
          <w:tcPr>
            <w:tcW w:type="dxa" w:w="1728"/>
          </w:tcPr>
          <w:p>
            <w:r>
              <w:t>0/3</w:t>
            </w:r>
          </w:p>
        </w:tc>
        <w:tc>
          <w:tcPr>
            <w:tcW w:type="dxa" w:w="1728"/>
          </w:tcPr>
          <w:p>
            <w:r>
              <w:t>1/3</w:t>
            </w:r>
          </w:p>
        </w:tc>
        <w:tc>
          <w:tcPr>
            <w:tcW w:type="dxa" w:w="1728"/>
          </w:tcPr>
          <w:p>
            <w:r>
              <w:t>0/3</w:t>
            </w:r>
          </w:p>
        </w:tc>
        <w:tc>
          <w:tcPr>
            <w:tcW w:type="dxa" w:w="1728"/>
          </w:tcPr>
          <w:p>
            <w:r>
              <w:t>0/3</w:t>
            </w:r>
          </w:p>
        </w:tc>
      </w:tr>
      <w:tr>
        <w:tc>
          <w:tcPr>
            <w:tcW w:type="dxa" w:w="1728"/>
          </w:tcPr>
          <w:p>
            <w:r>
              <w:t>moonshotai/kimi-k2.5</w:t>
            </w:r>
          </w:p>
        </w:tc>
        <w:tc>
          <w:tcPr>
            <w:tcW w:type="dxa" w:w="1728"/>
          </w:tcPr>
          <w:p>
            <w:r>
              <w:t>2/3</w:t>
            </w:r>
          </w:p>
        </w:tc>
        <w:tc>
          <w:tcPr>
            <w:tcW w:type="dxa" w:w="1728"/>
          </w:tcPr>
          <w:p>
            <w:r>
              <w:t>0/3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3/3</w:t>
            </w:r>
          </w:p>
        </w:tc>
      </w:tr>
      <w:tr>
        <w:tc>
          <w:tcPr>
            <w:tcW w:type="dxa" w:w="1728"/>
          </w:tcPr>
          <w:p>
            <w:r>
              <w:t>z-ai/glm-4.7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2/3</w:t>
            </w:r>
          </w:p>
        </w:tc>
        <w:tc>
          <w:tcPr>
            <w:tcW w:type="dxa" w:w="1728"/>
          </w:tcPr>
          <w:p>
            <w:r>
              <w:t>0/3</w:t>
            </w:r>
          </w:p>
        </w:tc>
        <w:tc>
          <w:tcPr>
            <w:tcW w:type="dxa" w:w="1728"/>
          </w:tcPr>
          <w:p>
            <w:r>
              <w:t>1/3</w:t>
            </w:r>
          </w:p>
        </w:tc>
      </w:tr>
      <w:tr>
        <w:tc>
          <w:tcPr>
            <w:tcW w:type="dxa" w:w="1728"/>
          </w:tcPr>
          <w:p>
            <w:r>
              <w:t>minimax/minimax-m2.1</w:t>
            </w:r>
          </w:p>
        </w:tc>
        <w:tc>
          <w:tcPr>
            <w:tcW w:type="dxa" w:w="1728"/>
          </w:tcPr>
          <w:p>
            <w:r>
              <w:t>0/3</w:t>
            </w:r>
          </w:p>
        </w:tc>
        <w:tc>
          <w:tcPr>
            <w:tcW w:type="dxa" w:w="1728"/>
          </w:tcPr>
          <w:p>
            <w:r>
              <w:t>0/3</w:t>
            </w:r>
          </w:p>
        </w:tc>
        <w:tc>
          <w:tcPr>
            <w:tcW w:type="dxa" w:w="1728"/>
          </w:tcPr>
          <w:p>
            <w:r>
              <w:t>0/3</w:t>
            </w:r>
          </w:p>
        </w:tc>
        <w:tc>
          <w:tcPr>
            <w:tcW w:type="dxa" w:w="1728"/>
          </w:tcPr>
          <w:p>
            <w:r>
              <w:t>0/3</w:t>
            </w:r>
          </w:p>
        </w:tc>
      </w:tr>
      <w:tr>
        <w:tc>
          <w:tcPr>
            <w:tcW w:type="dxa" w:w="1728"/>
          </w:tcPr>
          <w:p>
            <w:r>
              <w:t>x-ai/grok-code-fast-1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1/3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1/3</w:t>
            </w:r>
          </w:p>
        </w:tc>
      </w:tr>
      <w:tr>
        <w:tc>
          <w:tcPr>
            <w:tcW w:type="dxa" w:w="1728"/>
          </w:tcPr>
          <w:p>
            <w:r>
              <w:t>arcee-ai/trinity-large-preview:free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0/3</w:t>
            </w:r>
          </w:p>
        </w:tc>
        <w:tc>
          <w:tcPr>
            <w:tcW w:type="dxa" w:w="1728"/>
          </w:tcPr>
          <w:p>
            <w:r>
              <w:t>0/3</w:t>
            </w:r>
          </w:p>
        </w:tc>
        <w:tc>
          <w:tcPr>
            <w:tcW w:type="dxa" w:w="1728"/>
          </w:tcPr>
          <w:p>
            <w:r>
              <w:t>0/3</w:t>
            </w:r>
          </w:p>
        </w:tc>
      </w:tr>
      <w:tr>
        <w:tc>
          <w:tcPr>
            <w:tcW w:type="dxa" w:w="1728"/>
          </w:tcPr>
          <w:p>
            <w:r>
              <w:t>qwen/qwen3-coder-next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0/3</w:t>
            </w:r>
          </w:p>
        </w:tc>
        <w:tc>
          <w:tcPr>
            <w:tcW w:type="dxa" w:w="1728"/>
          </w:tcPr>
          <w:p>
            <w:r>
              <w:t>1/3</w:t>
            </w:r>
          </w:p>
        </w:tc>
        <w:tc>
          <w:tcPr>
            <w:tcW w:type="dxa" w:w="1728"/>
          </w:tcPr>
          <w:p>
            <w:r>
              <w:t>1/3</w:t>
            </w:r>
          </w:p>
        </w:tc>
      </w:tr>
    </w:tbl>
    <w:p/>
    <w:p>
      <w:pPr>
        <w:pStyle w:val="Heading2"/>
      </w:pPr>
      <w:r>
        <w:t>8. Charts</w:t>
      </w:r>
    </w:p>
    <w:p>
      <w:r>
        <w:t>Matrix heatmap of pass rates (x/3 tasks):</w:t>
      </w:r>
    </w:p>
    <w:p>
      <w:r>
        <w:drawing>
          <wp:inline xmlns:a="http://schemas.openxmlformats.org/drawingml/2006/main" xmlns:pic="http://schemas.openxmlformats.org/drawingml/2006/picture">
            <wp:extent cx="5943600" cy="35121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Total passes per model (out of 12 tasks):</w:t>
      </w:r>
    </w:p>
    <w:p>
      <w:r>
        <w:drawing>
          <wp:inline xmlns:a="http://schemas.openxmlformats.org/drawingml/2006/main" xmlns:pic="http://schemas.openxmlformats.org/drawingml/2006/picture">
            <wp:extent cx="5943600" cy="27016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_model_tota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Total passes per sandbox (across 7 models, out of 21 tasks):</w:t>
      </w:r>
    </w:p>
    <w:p>
      <w:r>
        <w:drawing>
          <wp:inline xmlns:a="http://schemas.openxmlformats.org/drawingml/2006/main" xmlns:pic="http://schemas.openxmlformats.org/drawingml/2006/picture">
            <wp:extent cx="5029200" cy="32330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_sandbox_tota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Pass breakdown per model by sandbox:</w:t>
      </w:r>
    </w:p>
    <w:p>
      <w:r>
        <w:drawing>
          <wp:inline xmlns:a="http://schemas.openxmlformats.org/drawingml/2006/main" xmlns:pic="http://schemas.openxmlformats.org/drawingml/2006/picture">
            <wp:extent cx="5943600" cy="2971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_model_stack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 Key Observations (Qualitative)</w:t>
      </w:r>
    </w:p>
    <w:p>
      <w:r>
        <w:t>• Tool compliance varies widely. Some models repeatedly output no tool calls, leading to max‑turn failures.</w:t>
      </w:r>
    </w:p>
    <w:p>
      <w:r>
        <w:t>• DBT performance is sensitive to table naming and schema‑prefix assumptions (e.g., raw_stripe.* or stripe_invoices).</w:t>
      </w:r>
    </w:p>
    <w:p>
      <w:r>
        <w:t>• Drizzle and Cube are more sensitive to syntax/DSL correctness than plain SQL or JS.</w:t>
      </w:r>
    </w:p>
    <w:p>
      <w:r>
        <w:t>• Typed TypeScript tends to be robust for code‑centric models but can still miss filters or grouping logic.</w:t>
      </w:r>
    </w:p>
    <w:p>
      <w:pPr>
        <w:pStyle w:val="Heading2"/>
      </w:pPr>
      <w:r>
        <w:t>10. How to Reproduce</w:t>
      </w:r>
    </w:p>
    <w:p>
      <w:r>
        <w:t>From repo root:</w:t>
      </w:r>
    </w:p>
    <w:p>
      <w:r>
        <w:t>• node --experimental-strip-types scripts/modular-benchmark.ts --sandbox=all --model=&lt;MODEL_ID&gt;</w:t>
      </w:r>
    </w:p>
    <w:p>
      <w:r>
        <w:t>• Requires OPENROUTER_API_KEY or ANTHROPIC_API_KEY depending on model provider.</w:t>
      </w:r>
    </w:p>
    <w:p>
      <w:r>
        <w:t>• Each run writes artifacts to sandbox-runs/. Clear it between runs to avoid disk exhaustion.</w:t>
      </w:r>
    </w:p>
    <w:p>
      <w:pPr>
        <w:pStyle w:val="Heading2"/>
      </w:pPr>
      <w:r>
        <w:t>11. Limitations and Critique Points</w:t>
      </w:r>
    </w:p>
    <w:p>
      <w:r>
        <w:t>• Single‑run snapshots are high variance; multi‑run averages are needed for robust comparisons.</w:t>
      </w:r>
    </w:p>
    <w:p>
      <w:r>
        <w:t>• Some models do not follow tool‑use constraints; this conflates model capability with tool‑use compliance.</w:t>
      </w:r>
    </w:p>
    <w:p>
      <w:r>
        <w:t>• Cube validation extracts SQL via heuristics; non‑standard measure definitions can lead to false negatives.</w:t>
      </w:r>
    </w:p>
    <w:p>
      <w:r>
        <w:t>• DBT validation executes SQL directly in DuckDB rather than compiling a DBT project; this omits dbt-specific context.</w:t>
      </w:r>
    </w:p>
    <w:p>
      <w:r>
        <w:t>• Typed validation runs TS via type‑stripping; it does not enforce compile‑time type correctness.</w:t>
      </w:r>
    </w:p>
    <w:p>
      <w:pPr>
        <w:pStyle w:val="Heading2"/>
      </w:pPr>
      <w:r>
        <w:t>12. Recommendations for Future Iterations</w:t>
      </w:r>
    </w:p>
    <w:p>
      <w:r>
        <w:t>• Run N≥5 repetitions per model to reduce variance and compute confidence intervals.</w:t>
      </w:r>
    </w:p>
    <w:p>
      <w:r>
        <w:t>• Track a separate “tool compliance” metric to isolate tool‑use failures from logic failures.</w:t>
      </w:r>
    </w:p>
    <w:p>
      <w:r>
        <w:t>• Add automated error categorization to the main harness output for easier analysis.</w:t>
      </w:r>
    </w:p>
    <w:p>
      <w:r>
        <w:t>• Consider adding a “strict mode” for Cube to require explicit SQL or standardized measure templates.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