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Architecture Comparison – Benchmark Report</w:t>
      </w:r>
    </w:p>
    <w:p>
      <w:r>
        <w:t>Generated: 2026-02-07 11:24:37</w:t>
      </w:r>
    </w:p>
    <w:p>
      <w:pPr>
        <w:pStyle w:val="Heading2"/>
      </w:pPr>
      <w:r>
        <w:t>Scope</w:t>
      </w:r>
    </w:p>
    <w:p>
      <w:r>
        <w:t>This report summarizes a single-run benchmark across four sandbox architectures (typed TypeScript, DBT/SQL, Drizzle ORM, and Cube semantic layer) for seven models. Each model was run once across all sandboxes with three tasks: ARPU, churn rate, and LTV.</w:t>
      </w:r>
    </w:p>
    <w:p>
      <w:pPr>
        <w:pStyle w:val="Heading2"/>
      </w:pPr>
      <w:r>
        <w:t>Method</w:t>
      </w:r>
    </w:p>
    <w:p>
      <w:r>
        <w:t>For each sandbox, the model must read context files and write the required function/model/measure. Validation executes the model output against the same JSON-backed data. Pass/fail is determined by a numeric tolerance for each metric.</w:t>
      </w:r>
    </w:p>
    <w:p>
      <w:r>
        <w:t>Fairness adjustments in the harness include: DBT validation accepts common filename variants; Cube validation no longer injects default filters; Drizzle runs against a rebuilt better-sqlite3 binary.</w:t>
      </w:r>
    </w:p>
    <w:p>
      <w:pPr>
        <w:pStyle w:val="Heading2"/>
      </w:pPr>
      <w:r>
        <w:t>Results Summary</w:t>
      </w:r>
    </w:p>
    <w:p>
      <w:r>
        <w:t>Each cell shows pass count out of 3 tasks for the model and sandbox.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typed</w:t>
            </w:r>
          </w:p>
        </w:tc>
        <w:tc>
          <w:tcPr>
            <w:tcW w:type="dxa" w:w="1728"/>
          </w:tcPr>
          <w:p>
            <w:r>
              <w:t>dbt</w:t>
            </w:r>
          </w:p>
        </w:tc>
        <w:tc>
          <w:tcPr>
            <w:tcW w:type="dxa" w:w="1728"/>
          </w:tcPr>
          <w:p>
            <w:r>
              <w:t>drizzle</w:t>
            </w:r>
          </w:p>
        </w:tc>
        <w:tc>
          <w:tcPr>
            <w:tcW w:type="dxa" w:w="1728"/>
          </w:tcPr>
          <w:p>
            <w:r>
              <w:t>cube</w:t>
            </w:r>
          </w:p>
        </w:tc>
      </w:tr>
      <w:tr>
        <w:tc>
          <w:tcPr>
            <w:tcW w:type="dxa" w:w="1728"/>
          </w:tcPr>
          <w:p>
            <w:r>
              <w:t>google/gemini-3-flash-preview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moonshotai/kimi-k2.5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</w:tr>
      <w:tr>
        <w:tc>
          <w:tcPr>
            <w:tcW w:type="dxa" w:w="1728"/>
          </w:tcPr>
          <w:p>
            <w:r>
              <w:t>z-ai/glm-4.7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  <w:tr>
        <w:tc>
          <w:tcPr>
            <w:tcW w:type="dxa" w:w="1728"/>
          </w:tcPr>
          <w:p>
            <w:r>
              <w:t>minimax/minimax-m2.1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x-ai/grok-code-fast-1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  <w:tr>
        <w:tc>
          <w:tcPr>
            <w:tcW w:type="dxa" w:w="1728"/>
          </w:tcPr>
          <w:p>
            <w:r>
              <w:t>arcee-ai/trinity-large-preview:free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</w:tr>
      <w:tr>
        <w:tc>
          <w:tcPr>
            <w:tcW w:type="dxa" w:w="1728"/>
          </w:tcPr>
          <w:p>
            <w:r>
              <w:t>qwen/qwen3-coder-next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0/3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  <w:tc>
          <w:tcPr>
            <w:tcW w:type="dxa" w:w="1728"/>
          </w:tcPr>
          <w:p>
            <w:r>
              <w:t>1/3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Key Observations</w:t>
      </w:r>
    </w:p>
    <w:p>
      <w:r>
        <w:t>- Tool-use compliance varies by model: some models repeatedly returned no tool calls, leading to max-turn failures.</w:t>
        <w:br/>
        <w:t>- DBT can pass (e.g., GLM 4.7 and Grok Code Fast), but some models stall or use invalid table names.</w:t>
        <w:br/>
        <w:t>- Drizzle and Cube performance is model-dependent; Kimi performed strongly on both, while others struggled with syntax or measure definitions.</w:t>
        <w:br/>
        <w:t>- Typed functions are generally reliable for stronger code-focused models (e.g., Grok, Qwen, GLM).</w:t>
      </w:r>
    </w:p>
    <w:p>
      <w:pPr>
        <w:pStyle w:val="Heading2"/>
      </w:pPr>
      <w:r>
        <w:t>Limitations</w:t>
      </w:r>
    </w:p>
    <w:p>
      <w:r>
        <w:t>This is a single-run snapshot per model; variance can be significant. For statistically robust conclusions, repeat runs per model are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