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Default="0048539C" w:rsidP="00F82B7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5FC30C25" w14:textId="625D9657"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 xml:space="preserve">: </w:t>
      </w:r>
      <w:r w:rsidRPr="0073795C">
        <w:rPr>
          <w:rFonts w:ascii="Arial" w:hAnsi="Arial" w:cs="Arial"/>
          <w:color w:val="222222"/>
          <w:sz w:val="22"/>
          <w:szCs w:val="22"/>
          <w:shd w:val="clear" w:color="auto" w:fill="FFFFFF"/>
        </w:rPr>
        <w:t>In</w:t>
      </w:r>
      <w:r>
        <w:rPr>
          <w:rFonts w:ascii="Arial" w:hAnsi="Arial" w:cs="Arial"/>
          <w:color w:val="222222"/>
          <w:sz w:val="22"/>
          <w:szCs w:val="22"/>
          <w:shd w:val="clear" w:color="auto" w:fill="FFFFFF"/>
        </w:rPr>
        <w:t xml:space="preserve">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A6458B" w:rsidRPr="00C92B9A">
        <w:rPr>
          <w:rFonts w:ascii="Arial" w:hAnsi="Arial" w:cs="Arial"/>
          <w:color w:val="000000" w:themeColor="text1"/>
          <w:sz w:val="22"/>
          <w:szCs w:val="22"/>
          <w:shd w:val="clear" w:color="auto" w:fill="FFFFFF"/>
        </w:rPr>
        <w:t>Thank</w:t>
      </w:r>
      <w:r w:rsidR="00A6458B" w:rsidRPr="005D43DA">
        <w:rPr>
          <w:rFonts w:ascii="Arial" w:hAnsi="Arial" w:cs="Arial"/>
          <w:color w:val="000000" w:themeColor="text1"/>
          <w:sz w:val="22"/>
          <w:szCs w:val="22"/>
          <w:shd w:val="clear" w:color="auto" w:fill="FFFFFF"/>
        </w:rPr>
        <w:t xml:space="preserve">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w:t>
      </w:r>
      <w:r w:rsidR="000B17F0">
        <w:rPr>
          <w:rFonts w:ascii="Arial" w:hAnsi="Arial" w:cs="Arial"/>
          <w:color w:val="222222"/>
          <w:sz w:val="22"/>
          <w:szCs w:val="22"/>
          <w:shd w:val="clear" w:color="auto" w:fill="FFFFFF"/>
        </w:rPr>
        <w:lastRenderedPageBreak/>
        <w:t xml:space="preserve">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0B17F0" w:rsidRPr="00C92B9A">
        <w:rPr>
          <w:rFonts w:ascii="Arial" w:hAnsi="Arial" w:cs="Arial"/>
          <w:color w:val="FF0000"/>
          <w:sz w:val="22"/>
          <w:szCs w:val="22"/>
          <w:shd w:val="clear" w:color="auto" w:fill="FFFFFF"/>
        </w:rPr>
        <w:t xml:space="preserve"> </w:t>
      </w:r>
      <w:r w:rsidR="00B814E9" w:rsidRPr="00C92B9A">
        <w:rPr>
          <w:rFonts w:ascii="Arial" w:hAnsi="Arial" w:cs="Arial"/>
          <w:color w:val="000000" w:themeColor="text1"/>
          <w:sz w:val="22"/>
          <w:szCs w:val="22"/>
          <w:shd w:val="clear" w:color="auto" w:fill="FFFFFF"/>
        </w:rPr>
        <w:t>This</w:t>
      </w:r>
      <w:r w:rsidR="00B814E9" w:rsidRPr="005D43DA">
        <w:rPr>
          <w:rFonts w:ascii="Arial" w:hAnsi="Arial" w:cs="Arial"/>
          <w:color w:val="000000" w:themeColor="text1"/>
          <w:sz w:val="22"/>
          <w:szCs w:val="22"/>
          <w:shd w:val="clear" w:color="auto" w:fill="FFFFFF"/>
        </w:rPr>
        <w:t xml:space="preserve">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3510" w:type="dxa"/>
        <w:tblLook w:val="04A0" w:firstRow="1" w:lastRow="0" w:firstColumn="1" w:lastColumn="0" w:noHBand="0" w:noVBand="1"/>
      </w:tblPr>
      <w:tblGrid>
        <w:gridCol w:w="1475"/>
        <w:gridCol w:w="955"/>
        <w:gridCol w:w="1080"/>
      </w:tblGrid>
      <w:tr w:rsidR="0026733B" w:rsidRPr="0026733B" w14:paraId="447A7E5B" w14:textId="77777777" w:rsidTr="0073795C">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955"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08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73795C">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955"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08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73795C">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955"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08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73795C">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955"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08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73795C">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955"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73795C">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955"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73795C">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955"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73795C">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955"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73795C">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955"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73795C">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pid.str</w:t>
            </w:r>
            <w:proofErr w:type="spellEnd"/>
          </w:p>
        </w:tc>
        <w:tc>
          <w:tcPr>
            <w:tcW w:w="955"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73795C">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955"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73795C">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955"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73795C">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955"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73795C">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955"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73795C">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955"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73795C">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955"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73795C">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955"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73795C">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955"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73795C">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955"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73795C">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955"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73795C">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955"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73795C">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955"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73795C">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955"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73795C">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955"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73795C">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955"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73795C">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955"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73795C">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955"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73795C">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955"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73795C">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955"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F657E">
        <w:rPr>
          <w:rFonts w:ascii="Arial" w:hAnsi="Arial" w:cs="Arial"/>
          <w:b/>
          <w:bCs/>
          <w:color w:val="222222"/>
          <w:sz w:val="22"/>
          <w:szCs w:val="22"/>
          <w:shd w:val="clear" w:color="auto" w:fill="FFFFFF"/>
        </w:rPr>
        <w:t>Comment</w:t>
      </w:r>
      <w:r w:rsidR="00F608BD" w:rsidRPr="009F657E">
        <w:rPr>
          <w:rFonts w:ascii="Arial" w:hAnsi="Arial" w:cs="Arial"/>
          <w:b/>
          <w:bCs/>
          <w:color w:val="222222"/>
          <w:sz w:val="22"/>
          <w:szCs w:val="22"/>
          <w:shd w:val="clear" w:color="auto" w:fill="FFFFFF"/>
        </w:rPr>
        <w:t xml:space="preserve">: </w:t>
      </w:r>
      <w:r w:rsidR="000B17F0" w:rsidRPr="009F657E">
        <w:rPr>
          <w:rFonts w:ascii="Arial" w:hAnsi="Arial" w:cs="Arial"/>
          <w:color w:val="222222"/>
          <w:sz w:val="22"/>
          <w:szCs w:val="22"/>
          <w:shd w:val="clear" w:color="auto" w:fill="FFFFFF"/>
        </w:rPr>
        <w:t>Exposure and Engagement</w:t>
      </w:r>
      <w:r w:rsidR="00F608BD" w:rsidRPr="009F657E">
        <w:rPr>
          <w:rFonts w:ascii="Arial" w:hAnsi="Arial" w:cs="Arial"/>
          <w:color w:val="222222"/>
          <w:sz w:val="22"/>
          <w:szCs w:val="22"/>
          <w:shd w:val="clear" w:color="auto" w:fill="FFFFFF"/>
        </w:rPr>
        <w:t xml:space="preserve">; </w:t>
      </w:r>
      <w:r w:rsidR="000B17F0" w:rsidRPr="009F657E">
        <w:rPr>
          <w:rFonts w:ascii="Arial" w:hAnsi="Arial" w:cs="Arial"/>
          <w:color w:val="222222"/>
          <w:sz w:val="22"/>
          <w:szCs w:val="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4A99D2CE" w:rsidR="00334101" w:rsidRDefault="00926F88" w:rsidP="00BA19FE">
      <w:pPr>
        <w:rPr>
          <w:rFonts w:ascii="Arial" w:hAnsi="Arial" w:cs="Arial"/>
          <w:color w:val="222222"/>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9A1CE1" w:rsidRPr="00C92B9A">
        <w:rPr>
          <w:rFonts w:ascii="Arial" w:hAnsi="Arial" w:cs="Arial"/>
          <w:color w:val="222222"/>
          <w:sz w:val="22"/>
          <w:szCs w:val="22"/>
        </w:rPr>
        <w:t>Thank</w:t>
      </w:r>
      <w:r w:rsidR="009A1CE1">
        <w:rPr>
          <w:rFonts w:ascii="Arial" w:hAnsi="Arial" w:cs="Arial"/>
          <w:color w:val="222222"/>
          <w:sz w:val="22"/>
          <w:szCs w:val="22"/>
        </w:rPr>
        <w:t xml:space="preserve"> you for raising this issue,</w:t>
      </w:r>
      <w:r w:rsidR="00C92B9A">
        <w:rPr>
          <w:rFonts w:ascii="Arial" w:hAnsi="Arial" w:cs="Arial"/>
          <w:color w:val="222222"/>
          <w:sz w:val="22"/>
          <w:szCs w:val="22"/>
        </w:rPr>
        <w:t xml:space="preserve"> as well,</w:t>
      </w:r>
      <w:r w:rsidR="009A1CE1">
        <w:rPr>
          <w:rFonts w:ascii="Arial" w:hAnsi="Arial" w:cs="Arial"/>
          <w:color w:val="222222"/>
          <w:sz w:val="22"/>
          <w:szCs w:val="22"/>
        </w:rPr>
        <w:t xml:space="preserv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5A6E502D" w:rsidR="00EC4585" w:rsidRPr="00EC4585" w:rsidRDefault="00926F88" w:rsidP="00BA19FE">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EC4585" w:rsidRPr="00C92B9A">
        <w:rPr>
          <w:rFonts w:ascii="Arial" w:hAnsi="Arial" w:cs="Arial"/>
          <w:color w:val="000000" w:themeColor="text1"/>
          <w:sz w:val="22"/>
          <w:szCs w:val="22"/>
          <w:shd w:val="clear" w:color="auto" w:fill="FFFFFF"/>
        </w:rPr>
        <w:t>We</w:t>
      </w:r>
      <w:r w:rsidR="00EC4585" w:rsidRPr="00EC4585">
        <w:rPr>
          <w:rFonts w:ascii="Arial" w:hAnsi="Arial" w:cs="Arial"/>
          <w:color w:val="000000" w:themeColor="text1"/>
          <w:sz w:val="22"/>
          <w:szCs w:val="22"/>
          <w:shd w:val="clear" w:color="auto" w:fill="FFFFFF"/>
        </w:rPr>
        <w:t xml:space="preserve"> feel that these </w:t>
      </w:r>
      <w:r w:rsidR="00C92B9A">
        <w:rPr>
          <w:rFonts w:ascii="Arial" w:hAnsi="Arial" w:cs="Arial"/>
          <w:color w:val="000000" w:themeColor="text1"/>
          <w:sz w:val="22"/>
          <w:szCs w:val="22"/>
          <w:shd w:val="clear" w:color="auto" w:fill="FFFFFF"/>
        </w:rPr>
        <w:t xml:space="preserve">are </w:t>
      </w:r>
      <w:r w:rsidR="00EC4585" w:rsidRPr="00EC4585">
        <w:rPr>
          <w:rFonts w:ascii="Arial" w:hAnsi="Arial" w:cs="Arial"/>
          <w:color w:val="000000" w:themeColor="text1"/>
          <w:sz w:val="22"/>
          <w:szCs w:val="22"/>
          <w:shd w:val="clear" w:color="auto" w:fill="FFFFFF"/>
        </w:rPr>
        <w:t xml:space="preserve">important variables </w:t>
      </w:r>
      <w:r w:rsidR="00C92B9A">
        <w:rPr>
          <w:rFonts w:ascii="Arial" w:hAnsi="Arial" w:cs="Arial"/>
          <w:color w:val="000000" w:themeColor="text1"/>
          <w:sz w:val="22"/>
          <w:szCs w:val="22"/>
          <w:shd w:val="clear" w:color="auto" w:fill="FFFFFF"/>
        </w:rPr>
        <w:t>to include as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controls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Political identity has</w:t>
      </w:r>
      <w:r w:rsidR="00EC4585" w:rsidRPr="00EC4585">
        <w:rPr>
          <w:rFonts w:ascii="Arial" w:hAnsi="Arial" w:cs="Arial"/>
          <w:color w:val="000000" w:themeColor="text1"/>
          <w:sz w:val="22"/>
          <w:szCs w:val="22"/>
          <w:shd w:val="clear" w:color="auto" w:fill="FFFFFF"/>
        </w:rPr>
        <w:t xml:space="preserve"> long-been associated with a range of civic and political behaviors, including attention to and engagement with political information. Theoretically, political identity (as we capture via ideology and party affiliation) ha</w:t>
      </w:r>
      <w:r w:rsidR="00147318">
        <w:rPr>
          <w:rFonts w:ascii="Arial" w:hAnsi="Arial" w:cs="Arial"/>
          <w:color w:val="000000" w:themeColor="text1"/>
          <w:sz w:val="22"/>
          <w:szCs w:val="22"/>
          <w:shd w:val="clear" w:color="auto" w:fill="FFFFFF"/>
        </w:rPr>
        <w:t>s</w:t>
      </w:r>
      <w:r w:rsidR="00EC4585" w:rsidRPr="00EC4585">
        <w:rPr>
          <w:rFonts w:ascii="Arial" w:hAnsi="Arial" w:cs="Arial"/>
          <w:color w:val="000000" w:themeColor="text1"/>
          <w:sz w:val="22"/>
          <w:szCs w:val="22"/>
          <w:shd w:val="clear" w:color="auto" w:fill="FFFFFF"/>
        </w:rPr>
        <w:t xml:space="preserve"> been linked to mass media and news consumption via models of active citizenship; for example the ‘dutiful’ and monitorial citizens who pay attention to news during election cycles (Bennett et al, 2009; Shehata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2010), as well as theoretical models that address the nature of selective exposure and ideological news (e.g., Holbert et al., 2012; Stroud, 2011). Accordingly, party identity is also implicated in incidental exposure studies via the news attraction concept introduced by Thorson (</w:t>
      </w:r>
      <w:r w:rsidR="00147318">
        <w:rPr>
          <w:rFonts w:ascii="Arial" w:hAnsi="Arial" w:cs="Arial"/>
          <w:color w:val="000000" w:themeColor="text1"/>
          <w:sz w:val="22"/>
          <w:szCs w:val="22"/>
          <w:shd w:val="clear" w:color="auto" w:fill="FFFFFF"/>
        </w:rPr>
        <w:t xml:space="preserve">as partisans may be more interested in news, as cited </w:t>
      </w:r>
      <w:r w:rsidR="00EC4585" w:rsidRPr="00EC4585">
        <w:rPr>
          <w:rFonts w:ascii="Arial" w:hAnsi="Arial" w:cs="Arial"/>
          <w:color w:val="000000" w:themeColor="text1"/>
          <w:sz w:val="22"/>
          <w:szCs w:val="22"/>
          <w:shd w:val="clear" w:color="auto" w:fill="FFFFFF"/>
        </w:rPr>
        <w:t xml:space="preserve">in the paper) </w:t>
      </w:r>
      <w:r w:rsidR="00147318">
        <w:rPr>
          <w:rFonts w:ascii="Arial" w:hAnsi="Arial" w:cs="Arial"/>
          <w:color w:val="000000" w:themeColor="text1"/>
          <w:sz w:val="22"/>
          <w:szCs w:val="22"/>
          <w:shd w:val="clear" w:color="auto" w:fill="FFFFFF"/>
        </w:rPr>
        <w:t xml:space="preserve">as well as incidental exposure to attitude-consistent political information (as tested by Lee &amp; Kim, 2017).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0B39596C"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 we included these variables in the models to account for possible confounding influences on our variables of interest. For brevity’s sake, we omit this more detailed discussion from the literature review. But this comment did lead us to consider the connections between these antecedent characteristics and our news attraction concept</w:t>
      </w:r>
      <w:r w:rsidR="00147318">
        <w:rPr>
          <w:rFonts w:ascii="Arial" w:hAnsi="Arial" w:cs="Arial"/>
          <w:color w:val="000000" w:themeColor="text1"/>
          <w:sz w:val="22"/>
          <w:szCs w:val="22"/>
          <w:shd w:val="clear" w:color="auto" w:fill="FFFFFF"/>
        </w:rPr>
        <w:t xml:space="preserve">.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3D5CF07"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To address this comment, we added a justification for including these variables to the manuscript on page 16 (where we report on</w:t>
      </w:r>
      <w:r w:rsidR="00147318">
        <w:rPr>
          <w:rFonts w:ascii="Arial" w:hAnsi="Arial" w:cs="Arial"/>
          <w:color w:val="000000" w:themeColor="text1"/>
          <w:sz w:val="22"/>
          <w:szCs w:val="22"/>
          <w:shd w:val="clear" w:color="auto" w:fill="FFFFFF"/>
        </w:rPr>
        <w:t xml:space="preserve"> the c</w:t>
      </w:r>
      <w:r w:rsidRPr="00EC4585">
        <w:rPr>
          <w:rFonts w:ascii="Arial" w:hAnsi="Arial" w:cs="Arial"/>
          <w:color w:val="000000" w:themeColor="text1"/>
          <w:sz w:val="22"/>
          <w:szCs w:val="22"/>
          <w:shd w:val="clear" w:color="auto" w:fill="FFFFFF"/>
        </w:rPr>
        <w:t>ontrol</w:t>
      </w:r>
      <w:r w:rsidR="00147318">
        <w:rPr>
          <w:rFonts w:ascii="Arial" w:hAnsi="Arial" w:cs="Arial"/>
          <w:color w:val="000000" w:themeColor="text1"/>
          <w:sz w:val="22"/>
          <w:szCs w:val="22"/>
          <w:shd w:val="clear" w:color="auto" w:fill="FFFFFF"/>
        </w:rPr>
        <w:t xml:space="preserve"> variables</w:t>
      </w:r>
      <w:r w:rsidRPr="00EC4585">
        <w:rPr>
          <w:rFonts w:ascii="Arial" w:hAnsi="Arial" w:cs="Arial"/>
          <w:color w:val="000000" w:themeColor="text1"/>
          <w:sz w:val="22"/>
          <w:szCs w:val="22"/>
          <w:shd w:val="clear" w:color="auto" w:fill="FFFFFF"/>
        </w:rPr>
        <w:t xml:space="preserve">). In addition, we noted these findings in the Discussion section </w:t>
      </w:r>
      <w:r w:rsidRPr="00147318">
        <w:rPr>
          <w:rFonts w:ascii="Arial" w:hAnsi="Arial" w:cs="Arial"/>
          <w:color w:val="000000" w:themeColor="text1"/>
          <w:sz w:val="22"/>
          <w:szCs w:val="22"/>
          <w:shd w:val="clear" w:color="auto" w:fill="FFFFFF"/>
        </w:rPr>
        <w:t>on page</w:t>
      </w:r>
      <w:r w:rsidR="00926BF4">
        <w:rPr>
          <w:rFonts w:ascii="Arial" w:hAnsi="Arial" w:cs="Arial"/>
          <w:color w:val="000000" w:themeColor="text1"/>
          <w:sz w:val="22"/>
          <w:szCs w:val="22"/>
          <w:shd w:val="clear" w:color="auto" w:fill="FFFFFF"/>
        </w:rPr>
        <w:t>s</w:t>
      </w:r>
      <w:r w:rsidRPr="00147318">
        <w:rPr>
          <w:rFonts w:ascii="Arial" w:hAnsi="Arial" w:cs="Arial"/>
          <w:color w:val="000000" w:themeColor="text1"/>
          <w:sz w:val="22"/>
          <w:szCs w:val="22"/>
          <w:shd w:val="clear" w:color="auto" w:fill="FFFFFF"/>
        </w:rPr>
        <w:t xml:space="preserve"> </w:t>
      </w:r>
      <w:r w:rsidR="00147318" w:rsidRPr="00147318">
        <w:rPr>
          <w:rFonts w:ascii="Arial" w:hAnsi="Arial" w:cs="Arial"/>
          <w:color w:val="000000" w:themeColor="text1"/>
          <w:sz w:val="22"/>
          <w:szCs w:val="22"/>
          <w:shd w:val="clear" w:color="auto" w:fill="FFFFFF"/>
        </w:rPr>
        <w:t>26</w:t>
      </w:r>
      <w:r w:rsidR="00926BF4">
        <w:rPr>
          <w:rFonts w:ascii="Arial" w:hAnsi="Arial" w:cs="Arial"/>
          <w:color w:val="000000" w:themeColor="text1"/>
          <w:sz w:val="22"/>
          <w:szCs w:val="22"/>
          <w:shd w:val="clear" w:color="auto" w:fill="FFFFFF"/>
        </w:rPr>
        <w:t xml:space="preserve"> and 27</w:t>
      </w:r>
      <w:r w:rsidRPr="00147318">
        <w:rPr>
          <w:rFonts w:ascii="Arial" w:hAnsi="Arial" w:cs="Arial"/>
          <w:color w:val="000000" w:themeColor="text1"/>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BA19FE">
        <w:rPr>
          <w:rFonts w:ascii="Arial" w:hAnsi="Arial" w:cs="Arial"/>
          <w:color w:val="222222"/>
          <w:sz w:val="22"/>
          <w:szCs w:val="22"/>
          <w:shd w:val="clear" w:color="auto" w:fill="FFFFFF"/>
        </w:rPr>
        <w:t>headline,</w:t>
      </w:r>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6123">
        <w:rPr>
          <w:rFonts w:ascii="Arial" w:hAnsi="Arial" w:cs="Arial"/>
          <w:b/>
          <w:bCs/>
          <w:color w:val="000000" w:themeColor="text1"/>
          <w:sz w:val="22"/>
          <w:szCs w:val="22"/>
        </w:rPr>
        <w:t>Response</w:t>
      </w:r>
      <w:r w:rsidRPr="00E46123">
        <w:rPr>
          <w:rFonts w:ascii="Arial" w:hAnsi="Arial" w:cs="Arial"/>
          <w:color w:val="000000" w:themeColor="text1"/>
          <w:sz w:val="22"/>
          <w:szCs w:val="22"/>
        </w:rPr>
        <w:t xml:space="preserve">: </w:t>
      </w:r>
      <w:r w:rsidR="00EC4585" w:rsidRPr="00E46123">
        <w:rPr>
          <w:rFonts w:ascii="Arial" w:hAnsi="Arial" w:cs="Arial"/>
          <w:color w:val="000000" w:themeColor="text1"/>
          <w:sz w:val="22"/>
          <w:szCs w:val="22"/>
          <w:shd w:val="clear" w:color="auto" w:fill="FFFFFF"/>
        </w:rPr>
        <w:t>We agree</w:t>
      </w:r>
      <w:r w:rsidR="00EC4585" w:rsidRPr="00E41CB3">
        <w:rPr>
          <w:rFonts w:ascii="Arial" w:hAnsi="Arial" w:cs="Arial"/>
          <w:color w:val="000000" w:themeColor="text1"/>
          <w:sz w:val="22"/>
          <w:szCs w:val="22"/>
          <w:shd w:val="clear" w:color="auto" w:fill="FFFFFF"/>
        </w:rPr>
        <w:t xml:space="preserv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 xml:space="preserve">As noted above, in the previous version of the manuscript, there was some ambiguity about the nature of the linkage between respondents and the social media data we collected. To be clear again, no personally identifying information was collected from individual participants and we did not have access to respondents’ social media accounts.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7CDD1C00" w14:textId="77777777" w:rsidR="007C5181"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p>
    <w:p w14:paraId="07C9DC01"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2CA2B455" w14:textId="31422766"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w:t>
      </w:r>
      <w:r w:rsidR="007C5181">
        <w:rPr>
          <w:rFonts w:ascii="Arial" w:hAnsi="Arial" w:cs="Arial"/>
          <w:b/>
          <w:bCs/>
          <w:color w:val="222222"/>
          <w:sz w:val="22"/>
          <w:szCs w:val="22"/>
          <w:shd w:val="clear" w:color="auto" w:fill="FFFFFF"/>
        </w:rPr>
        <w:t xml:space="preserve"> </w:t>
      </w:r>
      <w:r w:rsidRPr="00F608BD">
        <w:rPr>
          <w:rFonts w:ascii="Arial" w:hAnsi="Arial" w:cs="Arial"/>
          <w:b/>
          <w:bCs/>
          <w:color w:val="222222"/>
          <w:sz w:val="22"/>
          <w:szCs w:val="22"/>
          <w:shd w:val="clear" w:color="auto" w:fill="FFFFFF"/>
        </w:rPr>
        <w:t>1</w:t>
      </w:r>
      <w:r w:rsidR="007C5181">
        <w:rPr>
          <w:rFonts w:ascii="Arial" w:hAnsi="Arial" w:cs="Arial"/>
          <w:b/>
          <w:bCs/>
          <w:color w:val="222222"/>
          <w:sz w:val="22"/>
          <w:szCs w:val="22"/>
          <w:shd w:val="clear" w:color="auto" w:fill="FFFFFF"/>
        </w:rPr>
        <w:t xml:space="preserve"> Comments</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7C5181">
        <w:rPr>
          <w:rFonts w:ascii="Arial" w:hAnsi="Arial" w:cs="Arial"/>
          <w:b/>
          <w:bCs/>
          <w:color w:val="222222"/>
          <w:sz w:val="22"/>
          <w:szCs w:val="22"/>
          <w:highlight w:val="red"/>
        </w:rPr>
        <w:t>Response</w:t>
      </w:r>
      <w:r w:rsidRPr="007C5181">
        <w:rPr>
          <w:rFonts w:ascii="Arial" w:hAnsi="Arial" w:cs="Arial"/>
          <w:color w:val="222222"/>
          <w:sz w:val="22"/>
          <w:szCs w:val="22"/>
        </w:rPr>
        <w:t>:</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3BC517AB"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4D035775" w14:textId="51EE3DC9"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BC20DF">
        <w:rPr>
          <w:rFonts w:ascii="Arial" w:hAnsi="Arial" w:cs="Arial"/>
          <w:b/>
          <w:bCs/>
          <w:color w:val="222222"/>
          <w:sz w:val="22"/>
          <w:szCs w:val="22"/>
        </w:rPr>
        <w:t>Response</w:t>
      </w:r>
      <w:r w:rsidR="00926F88" w:rsidRPr="00BC20DF">
        <w:rPr>
          <w:rFonts w:ascii="Arial" w:hAnsi="Arial" w:cs="Arial"/>
          <w:color w:val="222222"/>
          <w:sz w:val="22"/>
          <w:szCs w:val="22"/>
        </w:rPr>
        <w:t xml:space="preserve">: </w:t>
      </w:r>
      <w:r w:rsidR="00E41CB3" w:rsidRPr="00BC20DF">
        <w:rPr>
          <w:rFonts w:ascii="Arial" w:hAnsi="Arial" w:cs="Arial"/>
          <w:color w:val="000000" w:themeColor="text1"/>
          <w:sz w:val="22"/>
          <w:szCs w:val="22"/>
        </w:rPr>
        <w:t>Thank you for the close reading of the paper and we appreciate your helpful comments.</w:t>
      </w:r>
      <w:r w:rsidR="00E41CB3" w:rsidRPr="00E41CB3">
        <w:rPr>
          <w:rFonts w:ascii="Arial" w:hAnsi="Arial" w:cs="Arial"/>
          <w:color w:val="000000" w:themeColor="text1"/>
          <w:sz w:val="22"/>
          <w:szCs w:val="22"/>
        </w:rPr>
        <w:t xml:space="preserve">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180908C4" w:rsidR="00926F88" w:rsidRDefault="00926F88" w:rsidP="00BA19FE">
      <w:pPr>
        <w:rPr>
          <w:rFonts w:ascii="Arial" w:hAnsi="Arial" w:cs="Arial"/>
          <w:color w:val="222222"/>
          <w:sz w:val="22"/>
          <w:szCs w:val="22"/>
        </w:rPr>
      </w:pPr>
      <w:r w:rsidRPr="00BC20DF">
        <w:rPr>
          <w:rFonts w:ascii="Arial" w:hAnsi="Arial" w:cs="Arial"/>
          <w:b/>
          <w:bCs/>
          <w:color w:val="222222"/>
          <w:sz w:val="22"/>
          <w:szCs w:val="22"/>
        </w:rPr>
        <w:t>Response</w:t>
      </w:r>
      <w:r w:rsidRPr="00BC20DF">
        <w:rPr>
          <w:rFonts w:ascii="Arial" w:hAnsi="Arial" w:cs="Arial"/>
          <w:color w:val="222222"/>
          <w:sz w:val="22"/>
          <w:szCs w:val="22"/>
        </w:rPr>
        <w:t xml:space="preserve">:  </w:t>
      </w:r>
      <w:r w:rsidR="00E41CB3" w:rsidRPr="00BC20DF">
        <w:rPr>
          <w:rFonts w:ascii="Arial" w:hAnsi="Arial" w:cs="Arial"/>
          <w:sz w:val="22"/>
          <w:szCs w:val="22"/>
        </w:rPr>
        <w:t>This is</w:t>
      </w:r>
      <w:r w:rsidR="00E41CB3" w:rsidRPr="00E41CB3">
        <w:rPr>
          <w:rFonts w:ascii="Arial" w:hAnsi="Arial" w:cs="Arial"/>
          <w:sz w:val="22"/>
          <w:szCs w:val="22"/>
        </w:rPr>
        <w:t xml:space="preserve">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 Weeks &amp; Lane, 2020)</w:t>
      </w:r>
      <w:r w:rsidR="00E41CB3" w:rsidRPr="00E41CB3">
        <w:rPr>
          <w:rFonts w:ascii="Arial" w:hAnsi="Arial" w:cs="Arial"/>
          <w:sz w:val="22"/>
          <w:szCs w:val="22"/>
        </w:rPr>
        <w:t xml:space="preserve">. However, we agree that these concepts are imperfect and inherently difficult to capture. We added this note </w:t>
      </w:r>
      <w:r w:rsidR="004978A3">
        <w:rPr>
          <w:rFonts w:ascii="Arial" w:hAnsi="Arial" w:cs="Arial"/>
          <w:sz w:val="22"/>
          <w:szCs w:val="22"/>
        </w:rPr>
        <w:t xml:space="preserve">to the limitations section on page </w:t>
      </w:r>
      <w:r w:rsidR="004978A3" w:rsidRPr="004978A3">
        <w:rPr>
          <w:rFonts w:ascii="Arial" w:hAnsi="Arial" w:cs="Arial"/>
          <w:sz w:val="22"/>
          <w:szCs w:val="22"/>
        </w:rPr>
        <w:t>25</w:t>
      </w:r>
      <w:r w:rsidR="00E41CB3" w:rsidRPr="004978A3">
        <w:rPr>
          <w:rFonts w:ascii="Arial" w:hAnsi="Arial" w:cs="Arial"/>
          <w:sz w:val="22"/>
          <w:szCs w:val="22"/>
        </w:rPr>
        <w:t>.</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00E41CB3" w:rsidRPr="00BC20DF">
        <w:rPr>
          <w:rFonts w:ascii="Arial" w:hAnsi="Arial" w:cs="Arial"/>
          <w:color w:val="000000" w:themeColor="text1"/>
          <w:sz w:val="22"/>
          <w:szCs w:val="22"/>
        </w:rPr>
        <w:t>This</w:t>
      </w:r>
      <w:r w:rsidR="00E41CB3" w:rsidRPr="00E41CB3">
        <w:rPr>
          <w:rFonts w:ascii="Arial" w:hAnsi="Arial" w:cs="Arial"/>
          <w:color w:val="000000" w:themeColor="text1"/>
          <w:sz w:val="22"/>
          <w:szCs w:val="22"/>
        </w:rPr>
        <w:t xml:space="preserve">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0158EECA" w14:textId="02768F29" w:rsidR="00926F88" w:rsidRPr="00BC20DF"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Pr="00BC20DF">
        <w:rPr>
          <w:rFonts w:ascii="Arial" w:hAnsi="Arial" w:cs="Arial"/>
          <w:color w:val="000000" w:themeColor="text1"/>
          <w:sz w:val="22"/>
          <w:szCs w:val="22"/>
        </w:rPr>
        <w:t>We</w:t>
      </w:r>
      <w:r w:rsidRPr="003F2AC0">
        <w:rPr>
          <w:rFonts w:ascii="Arial" w:hAnsi="Arial" w:cs="Arial"/>
          <w:color w:val="000000" w:themeColor="text1"/>
          <w:sz w:val="22"/>
          <w:szCs w:val="22"/>
        </w:rPr>
        <w:t xml:space="preserv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 xml:space="preserve">sample from Facebook Research (15 countries and N = 49,934)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64F4A9F3" w14:textId="77777777" w:rsidR="00BC20DF" w:rsidRDefault="00E41CB3" w:rsidP="00BA19FE">
      <w:pPr>
        <w:rPr>
          <w:rFonts w:ascii="Arial" w:hAnsi="Arial" w:cs="Arial"/>
          <w:b/>
          <w:bCs/>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4D1CB9D2" w14:textId="77777777" w:rsidR="00BC20DF" w:rsidRDefault="00BC20DF">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0F07167B" w14:textId="1928CBBC"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3</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xml:space="preserve">: </w:t>
      </w:r>
      <w:r w:rsidRPr="00D76152">
        <w:rPr>
          <w:rFonts w:ascii="Arial" w:hAnsi="Arial" w:cs="Arial"/>
          <w:color w:val="000000" w:themeColor="text1"/>
          <w:sz w:val="22"/>
          <w:szCs w:val="22"/>
        </w:rPr>
        <w:t>Thank</w:t>
      </w:r>
      <w:r w:rsidRPr="003F2AC0">
        <w:rPr>
          <w:rFonts w:ascii="Arial" w:hAnsi="Arial" w:cs="Arial"/>
          <w:color w:val="000000" w:themeColor="text1"/>
          <w:sz w:val="22"/>
          <w:szCs w:val="22"/>
        </w:rPr>
        <w:t xml:space="preserve">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Thanks</w:t>
      </w:r>
      <w:r>
        <w:rPr>
          <w:rFonts w:ascii="Arial" w:hAnsi="Arial" w:cs="Arial"/>
          <w:color w:val="222222"/>
          <w:sz w:val="22"/>
          <w:szCs w:val="22"/>
        </w:rPr>
        <w:t xml:space="preserve">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039371D9"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4A833306" w14:textId="264958EE" w:rsidR="000728E2" w:rsidRDefault="000728E2" w:rsidP="00BA19FE">
      <w:pPr>
        <w:rPr>
          <w:rFonts w:ascii="Arial" w:hAnsi="Arial" w:cs="Arial"/>
          <w:color w:val="222222"/>
          <w:sz w:val="22"/>
          <w:szCs w:val="22"/>
          <w:shd w:val="clear" w:color="auto" w:fill="FFFFFF"/>
        </w:rPr>
      </w:pPr>
    </w:p>
    <w:p w14:paraId="0843DCAC" w14:textId="0B8146CD" w:rsidR="000728E2" w:rsidRDefault="000728E2" w:rsidP="000728E2">
      <w:pPr>
        <w:rPr>
          <w:rFonts w:ascii="Arial" w:hAnsi="Arial" w:cs="Arial"/>
          <w:color w:val="222222"/>
          <w:sz w:val="22"/>
          <w:szCs w:val="22"/>
          <w:shd w:val="clear" w:color="auto" w:fill="FFFFFF"/>
        </w:rPr>
      </w:pPr>
      <w:r w:rsidRPr="000728E2">
        <w:rPr>
          <w:rFonts w:ascii="Arial" w:hAnsi="Arial" w:cs="Arial"/>
          <w:b/>
          <w:bCs/>
          <w:color w:val="222222"/>
          <w:sz w:val="22"/>
          <w:szCs w:val="22"/>
          <w:shd w:val="clear" w:color="auto" w:fill="FFFFFF"/>
        </w:rPr>
        <w:t>Response</w:t>
      </w:r>
      <w:r w:rsidRPr="000728E2">
        <w:rPr>
          <w:rFonts w:ascii="Arial" w:hAnsi="Arial" w:cs="Arial"/>
          <w:color w:val="222222"/>
          <w:sz w:val="22"/>
          <w:szCs w:val="22"/>
          <w:shd w:val="clear" w:color="auto" w:fill="FFFFFF"/>
        </w:rPr>
        <w:t>: We’ve</w:t>
      </w:r>
      <w:r>
        <w:rPr>
          <w:rFonts w:ascii="Arial" w:hAnsi="Arial" w:cs="Arial"/>
          <w:color w:val="222222"/>
          <w:sz w:val="22"/>
          <w:szCs w:val="22"/>
          <w:shd w:val="clear" w:color="auto" w:fill="FFFFFF"/>
        </w:rPr>
        <w:t xml:space="preserve"> taken your suggestion and revised the H2a and H2b to </w:t>
      </w:r>
      <w:proofErr w:type="gramStart"/>
      <w:r>
        <w:rPr>
          <w:rFonts w:ascii="Arial" w:hAnsi="Arial" w:cs="Arial"/>
          <w:color w:val="222222"/>
          <w:sz w:val="22"/>
          <w:szCs w:val="22"/>
          <w:shd w:val="clear" w:color="auto" w:fill="FFFFFF"/>
        </w:rPr>
        <w:t>more explicitly predict interaction effects (pg. XX)</w:t>
      </w:r>
      <w:proofErr w:type="gramEnd"/>
      <w:r>
        <w:rPr>
          <w:rFonts w:ascii="Arial" w:hAnsi="Arial" w:cs="Arial"/>
          <w:color w:val="222222"/>
          <w:sz w:val="22"/>
          <w:szCs w:val="22"/>
          <w:shd w:val="clear" w:color="auto" w:fill="FFFFFF"/>
        </w:rPr>
        <w:t>.</w:t>
      </w:r>
    </w:p>
    <w:p w14:paraId="50672BE1" w14:textId="77777777" w:rsidR="00F5091F" w:rsidRDefault="00F5091F" w:rsidP="00BA19FE">
      <w:pPr>
        <w:rPr>
          <w:rFonts w:ascii="Arial" w:hAnsi="Arial" w:cs="Arial"/>
          <w:color w:val="222222"/>
          <w:sz w:val="22"/>
          <w:szCs w:val="22"/>
          <w:shd w:val="clear" w:color="auto" w:fill="FFFFFF"/>
        </w:rPr>
      </w:pPr>
    </w:p>
    <w:p w14:paraId="626757E4" w14:textId="0D8BD9DE" w:rsidR="00F5091F"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Was</w:t>
      </w:r>
      <w:r w:rsidR="000B17F0" w:rsidRPr="00BA19FE">
        <w:rPr>
          <w:rFonts w:ascii="Arial" w:hAnsi="Arial" w:cs="Arial"/>
          <w:color w:val="222222"/>
          <w:sz w:val="22"/>
          <w:szCs w:val="22"/>
          <w:shd w:val="clear" w:color="auto" w:fill="FFFFFF"/>
        </w:rPr>
        <w:t xml:space="preserve">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192678D0" w14:textId="77777777" w:rsid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Yes, the</w:t>
      </w:r>
      <w:r>
        <w:rPr>
          <w:rFonts w:ascii="Arial" w:hAnsi="Arial" w:cs="Arial"/>
          <w:color w:val="222222"/>
          <w:sz w:val="22"/>
          <w:szCs w:val="22"/>
          <w:shd w:val="clear" w:color="auto" w:fill="FFFFFF"/>
        </w:rPr>
        <w:t xml:space="preserve"> questionnaire did specify “information on social media.” Thank you for pointing out this oversight. We have clarified the measure on pg. 13. </w:t>
      </w:r>
    </w:p>
    <w:p w14:paraId="73F58A11" w14:textId="77777777" w:rsidR="00166212" w:rsidRDefault="00166212" w:rsidP="00166212">
      <w:pPr>
        <w:rPr>
          <w:rFonts w:ascii="Arial" w:hAnsi="Arial" w:cs="Arial"/>
          <w:color w:val="222222"/>
          <w:sz w:val="22"/>
          <w:szCs w:val="22"/>
          <w:shd w:val="clear" w:color="auto" w:fill="FFFFFF"/>
        </w:rPr>
      </w:pPr>
    </w:p>
    <w:p w14:paraId="2DBEAB75"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 agree that self-reported measures are limited. However, we would offer three defenses of the approach. </w:t>
      </w:r>
    </w:p>
    <w:p w14:paraId="06C475F5" w14:textId="77777777" w:rsidR="00166212" w:rsidRDefault="00166212" w:rsidP="00166212">
      <w:pPr>
        <w:rPr>
          <w:rFonts w:ascii="Arial" w:hAnsi="Arial" w:cs="Arial"/>
          <w:color w:val="222222"/>
          <w:sz w:val="22"/>
          <w:szCs w:val="22"/>
          <w:shd w:val="clear" w:color="auto" w:fill="FFFFFF"/>
        </w:rPr>
      </w:pPr>
    </w:p>
    <w:p w14:paraId="39EDF24C"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First, the measures are indeed based on prior literature (Weeks et al., 2017), and this paper is citied in the measures section. </w:t>
      </w:r>
    </w:p>
    <w:p w14:paraId="78753395" w14:textId="77777777" w:rsidR="00166212" w:rsidRDefault="00166212" w:rsidP="00166212">
      <w:pPr>
        <w:rPr>
          <w:rFonts w:ascii="Arial" w:hAnsi="Arial" w:cs="Arial"/>
          <w:color w:val="222222"/>
          <w:sz w:val="22"/>
          <w:szCs w:val="22"/>
          <w:shd w:val="clear" w:color="auto" w:fill="FFFFFF"/>
        </w:rPr>
      </w:pPr>
    </w:p>
    <w:p w14:paraId="4348E380" w14:textId="77777777" w:rsidR="00166212" w:rsidRPr="007D0F34"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Pr>
          <w:rFonts w:ascii="Arial" w:hAnsi="Arial" w:cs="Arial"/>
          <w:color w:val="222222"/>
          <w:sz w:val="22"/>
          <w:szCs w:val="22"/>
          <w:shd w:val="clear" w:color="auto" w:fill="FFFFFF"/>
        </w:rPr>
        <w:t>Bailón</w:t>
      </w:r>
      <w:proofErr w:type="spellEnd"/>
      <w:r>
        <w:rPr>
          <w:rFonts w:ascii="Arial" w:hAnsi="Arial" w:cs="Arial"/>
          <w:color w:val="222222"/>
          <w:sz w:val="22"/>
          <w:szCs w:val="22"/>
          <w:shd w:val="clear" w:color="auto" w:fill="FFFFFF"/>
        </w:rPr>
        <w:t xml:space="preserve"> &amp; </w:t>
      </w:r>
      <w:proofErr w:type="spellStart"/>
      <w:r>
        <w:rPr>
          <w:rFonts w:ascii="Arial" w:hAnsi="Arial" w:cs="Arial"/>
          <w:color w:val="222222"/>
          <w:sz w:val="22"/>
          <w:szCs w:val="22"/>
          <w:shd w:val="clear" w:color="auto" w:fill="FFFFFF"/>
        </w:rPr>
        <w:t>Xenos</w:t>
      </w:r>
      <w:proofErr w:type="spellEnd"/>
      <w:r>
        <w:rPr>
          <w:rFonts w:ascii="Arial" w:hAnsi="Arial" w:cs="Arial"/>
          <w:color w:val="222222"/>
          <w:sz w:val="22"/>
          <w:szCs w:val="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Pr>
          <w:rFonts w:ascii="Arial" w:hAnsi="Arial" w:cs="Arial"/>
          <w:color w:val="222222"/>
          <w:sz w:val="22"/>
          <w:szCs w:val="22"/>
          <w:shd w:val="clear" w:color="auto" w:fill="FFFFFF"/>
        </w:rPr>
        <w:t>Considering the nature of the variables in our study (attraction, exposure, engagement), there</w:t>
      </w:r>
      <w:proofErr w:type="gramEnd"/>
      <w:r>
        <w:rPr>
          <w:rFonts w:ascii="Arial" w:hAnsi="Arial" w:cs="Arial"/>
          <w:color w:val="222222"/>
          <w:sz w:val="22"/>
          <w:szCs w:val="22"/>
          <w:shd w:val="clear" w:color="auto" w:fill="FFFFFF"/>
        </w:rPr>
        <w:t xml:space="preserve"> is a high likelihood that they are all biased in the same way, which counterintuitively means that the effects estimates are likely </w:t>
      </w:r>
      <w:r>
        <w:rPr>
          <w:rFonts w:ascii="Arial" w:hAnsi="Arial" w:cs="Arial"/>
          <w:i/>
          <w:iCs/>
          <w:color w:val="222222"/>
          <w:sz w:val="22"/>
          <w:szCs w:val="22"/>
          <w:shd w:val="clear" w:color="auto" w:fill="FFFFFF"/>
        </w:rPr>
        <w:t>not biased.</w:t>
      </w:r>
    </w:p>
    <w:p w14:paraId="5E4C6F74" w14:textId="77777777" w:rsidR="00166212" w:rsidRDefault="00166212" w:rsidP="00166212">
      <w:pPr>
        <w:rPr>
          <w:rFonts w:ascii="Arial" w:hAnsi="Arial" w:cs="Arial"/>
          <w:color w:val="222222"/>
          <w:sz w:val="22"/>
          <w:szCs w:val="22"/>
          <w:shd w:val="clear" w:color="auto" w:fill="FFFFFF"/>
        </w:rPr>
      </w:pPr>
    </w:p>
    <w:p w14:paraId="355C99B2"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We have expanded our discussion of these limitations in both the measures (pg. 11) and limitations sections (pgs. 25-26).</w:t>
      </w:r>
    </w:p>
    <w:p w14:paraId="3C81125D" w14:textId="77777777" w:rsidR="00166212" w:rsidRDefault="00166212" w:rsidP="00166212">
      <w:pPr>
        <w:rPr>
          <w:rFonts w:ascii="Arial" w:hAnsi="Arial" w:cs="Arial"/>
          <w:color w:val="222222"/>
          <w:sz w:val="22"/>
          <w:szCs w:val="22"/>
          <w:shd w:val="clear" w:color="auto" w:fill="FFFFFF"/>
        </w:rPr>
      </w:pPr>
    </w:p>
    <w:p w14:paraId="3EAA4550"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González-</w:t>
      </w:r>
      <w:proofErr w:type="spellStart"/>
      <w:r>
        <w:rPr>
          <w:rFonts w:ascii="Arial" w:hAnsi="Arial" w:cs="Arial"/>
          <w:color w:val="222222"/>
          <w:sz w:val="20"/>
          <w:szCs w:val="20"/>
          <w:shd w:val="clear" w:color="auto" w:fill="FFFFFF"/>
        </w:rPr>
        <w:t>Bailón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Xenos</w:t>
      </w:r>
      <w:proofErr w:type="spellEnd"/>
      <w:r>
        <w:rPr>
          <w:rFonts w:ascii="Arial" w:hAnsi="Arial" w:cs="Arial"/>
          <w:color w:val="222222"/>
          <w:sz w:val="20"/>
          <w:szCs w:val="20"/>
          <w:shd w:val="clear" w:color="auto" w:fill="FFFFFF"/>
        </w:rPr>
        <w:t>, M. (2020). Surveys underestimate online news exposure: a comparison of self-reported and observational data in nine countries. </w:t>
      </w:r>
      <w:r>
        <w:rPr>
          <w:rFonts w:ascii="Arial" w:hAnsi="Arial" w:cs="Arial"/>
          <w:i/>
          <w:iCs/>
          <w:color w:val="222222"/>
          <w:sz w:val="20"/>
          <w:szCs w:val="20"/>
          <w:shd w:val="clear" w:color="auto" w:fill="FFFFFF"/>
        </w:rPr>
        <w:t>SSRN Electronic Journal</w:t>
      </w:r>
      <w:r>
        <w:rPr>
          <w:rFonts w:ascii="Arial" w:hAnsi="Arial" w:cs="Arial"/>
          <w:color w:val="222222"/>
          <w:sz w:val="20"/>
          <w:szCs w:val="20"/>
          <w:shd w:val="clear" w:color="auto" w:fill="FFFFFF"/>
        </w:rPr>
        <w:t>.</w:t>
      </w:r>
      <w:r>
        <w:rPr>
          <w:rFonts w:ascii="Arial" w:hAnsi="Arial" w:cs="Arial"/>
          <w:color w:val="222222"/>
          <w:sz w:val="22"/>
          <w:szCs w:val="22"/>
          <w:shd w:val="clear" w:color="auto" w:fill="FFFFFF"/>
        </w:rPr>
        <w:t xml:space="preserve"> </w:t>
      </w:r>
    </w:p>
    <w:p w14:paraId="2531EB80" w14:textId="77777777" w:rsidR="00166212" w:rsidRDefault="00166212" w:rsidP="00166212">
      <w:pPr>
        <w:rPr>
          <w:rFonts w:ascii="Arial" w:hAnsi="Arial" w:cs="Arial"/>
          <w:color w:val="222222"/>
          <w:sz w:val="22"/>
          <w:szCs w:val="22"/>
          <w:shd w:val="clear" w:color="auto" w:fill="FFFFFF"/>
        </w:rPr>
      </w:pPr>
    </w:p>
    <w:p w14:paraId="07245463"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 xml:space="preserve">King, G., Keohane, R. O., &amp; </w:t>
      </w:r>
      <w:proofErr w:type="spellStart"/>
      <w:r>
        <w:rPr>
          <w:rFonts w:ascii="Arial" w:hAnsi="Arial" w:cs="Arial"/>
          <w:color w:val="222222"/>
          <w:sz w:val="20"/>
          <w:szCs w:val="20"/>
          <w:shd w:val="clear" w:color="auto" w:fill="FFFFFF"/>
        </w:rPr>
        <w:t>Verba</w:t>
      </w:r>
      <w:proofErr w:type="spellEnd"/>
      <w:r>
        <w:rPr>
          <w:rFonts w:ascii="Arial" w:hAnsi="Arial" w:cs="Arial"/>
          <w:color w:val="222222"/>
          <w:sz w:val="20"/>
          <w:szCs w:val="20"/>
          <w:shd w:val="clear" w:color="auto" w:fill="FFFFFF"/>
        </w:rPr>
        <w:t>, S. (1994). </w:t>
      </w:r>
      <w:r>
        <w:rPr>
          <w:rFonts w:ascii="Arial" w:hAnsi="Arial" w:cs="Arial"/>
          <w:i/>
          <w:iCs/>
          <w:color w:val="222222"/>
          <w:sz w:val="20"/>
          <w:szCs w:val="20"/>
          <w:shd w:val="clear" w:color="auto" w:fill="FFFFFF"/>
        </w:rPr>
        <w:t>Designing social inquiry: Scientific inference in qualitative research</w:t>
      </w:r>
      <w:r>
        <w:rPr>
          <w:rFonts w:ascii="Arial" w:hAnsi="Arial" w:cs="Arial"/>
          <w:color w:val="222222"/>
          <w:sz w:val="20"/>
          <w:szCs w:val="20"/>
          <w:shd w:val="clear" w:color="auto" w:fill="FFFFFF"/>
        </w:rPr>
        <w:t>. Princeton university press.</w:t>
      </w:r>
    </w:p>
    <w:p w14:paraId="17C60700" w14:textId="77777777" w:rsidR="00166212" w:rsidRDefault="00166212" w:rsidP="00166212">
      <w:pPr>
        <w:rPr>
          <w:rFonts w:ascii="Arial" w:hAnsi="Arial" w:cs="Arial"/>
          <w:color w:val="222222"/>
          <w:sz w:val="22"/>
          <w:szCs w:val="22"/>
          <w:shd w:val="clear" w:color="auto" w:fill="FFFFFF"/>
        </w:rPr>
      </w:pPr>
    </w:p>
    <w:p w14:paraId="230744D9"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Third, despite their limitations, we respectfully argue that self-reported measures are still the best way to measure news exposure in the general population. While advances in computational methods allow for direct observation of exposure, it is difficult for researchers to obtain reliable and externally valid data from social media companies (notably,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Pr>
          <w:rFonts w:ascii="Arial" w:hAnsi="Arial" w:cs="Arial"/>
          <w:color w:val="222222"/>
          <w:sz w:val="22"/>
          <w:szCs w:val="22"/>
          <w:shd w:val="clear" w:color="auto" w:fill="FFFFFF"/>
        </w:rPr>
        <w:t>CrowdTangle</w:t>
      </w:r>
      <w:proofErr w:type="spellEnd"/>
      <w:r>
        <w:rPr>
          <w:rFonts w:ascii="Arial" w:hAnsi="Arial" w:cs="Arial"/>
          <w:color w:val="222222"/>
          <w:sz w:val="22"/>
          <w:szCs w:val="22"/>
          <w:shd w:val="clear" w:color="auto" w:fill="FFFFFF"/>
        </w:rPr>
        <w:t xml:space="preserve">) does not provide individual-level data. Rather, it only provides aggregate engagement metrics for </w:t>
      </w:r>
      <w:proofErr w:type="gramStart"/>
      <w:r>
        <w:rPr>
          <w:rFonts w:ascii="Arial" w:hAnsi="Arial" w:cs="Arial"/>
          <w:color w:val="222222"/>
          <w:sz w:val="22"/>
          <w:szCs w:val="22"/>
          <w:shd w:val="clear" w:color="auto" w:fill="FFFFFF"/>
        </w:rPr>
        <w:t>particular posts</w:t>
      </w:r>
      <w:proofErr w:type="gramEnd"/>
      <w:r>
        <w:rPr>
          <w:rFonts w:ascii="Arial" w:hAnsi="Arial" w:cs="Arial"/>
          <w:color w:val="222222"/>
          <w:sz w:val="22"/>
          <w:szCs w:val="22"/>
          <w:shd w:val="clear" w:color="auto" w:fill="FFFFFF"/>
        </w:rPr>
        <w:t xml:space="preserve">. Thus, </w:t>
      </w:r>
      <w:proofErr w:type="gramStart"/>
      <w:r>
        <w:rPr>
          <w:rFonts w:ascii="Arial" w:hAnsi="Arial" w:cs="Arial"/>
          <w:color w:val="222222"/>
          <w:sz w:val="22"/>
          <w:szCs w:val="22"/>
          <w:shd w:val="clear" w:color="auto" w:fill="FFFFFF"/>
        </w:rPr>
        <w:t>despite the fact that</w:t>
      </w:r>
      <w:proofErr w:type="gramEnd"/>
      <w:r>
        <w:rPr>
          <w:rFonts w:ascii="Arial" w:hAnsi="Arial" w:cs="Arial"/>
          <w:color w:val="222222"/>
          <w:sz w:val="22"/>
          <w:szCs w:val="22"/>
          <w:shd w:val="clear" w:color="auto" w:fill="FFFFFF"/>
        </w:rPr>
        <w:t xml:space="preserve"> direct news exposure data exists, it is not readily available to academic researchers (including us).</w:t>
      </w:r>
    </w:p>
    <w:p w14:paraId="68E8F4FF" w14:textId="77777777" w:rsidR="00166212" w:rsidRDefault="00166212" w:rsidP="00166212">
      <w:pPr>
        <w:rPr>
          <w:rFonts w:ascii="Arial" w:hAnsi="Arial" w:cs="Arial"/>
          <w:color w:val="222222"/>
          <w:sz w:val="22"/>
          <w:szCs w:val="22"/>
          <w:shd w:val="clear" w:color="auto" w:fill="FFFFFF"/>
        </w:rPr>
      </w:pPr>
    </w:p>
    <w:p w14:paraId="4C0BD55E"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Web-tracking software provides another approach that researchers can employ. However, participation rates in web-tracking studies are generally </w:t>
      </w:r>
      <w:proofErr w:type="gramStart"/>
      <w:r>
        <w:rPr>
          <w:rFonts w:ascii="Arial" w:hAnsi="Arial" w:cs="Arial"/>
          <w:color w:val="222222"/>
          <w:sz w:val="22"/>
          <w:szCs w:val="22"/>
          <w:shd w:val="clear" w:color="auto" w:fill="FFFFFF"/>
        </w:rPr>
        <w:t>low, and</w:t>
      </w:r>
      <w:proofErr w:type="gramEnd"/>
      <w:r>
        <w:rPr>
          <w:rFonts w:ascii="Arial" w:hAnsi="Arial" w:cs="Arial"/>
          <w:color w:val="222222"/>
          <w:sz w:val="22"/>
          <w:szCs w:val="22"/>
          <w:shd w:val="clear" w:color="auto" w:fill="FFFFFF"/>
        </w:rPr>
        <w:t xml:space="preserve"> combining survey data with web-tracking data results in study attrition that alters the contours of the sample. These studies are best treated as “small-N” or “phenomenon-driven” studies rather than as studies of the general population. Therefore, we respectfully assert that while self-reported measures are indeed limited by poor recall and critiquing them has become common in our field, they still provide valuable insights into the relationships between exposure and other variables of interest in the general population.</w:t>
      </w:r>
    </w:p>
    <w:p w14:paraId="4931DE35" w14:textId="77777777" w:rsidR="00166212" w:rsidRDefault="00166212" w:rsidP="00BA19FE">
      <w:pPr>
        <w:rPr>
          <w:rFonts w:ascii="Arial" w:hAnsi="Arial" w:cs="Arial"/>
          <w:color w:val="222222"/>
          <w:sz w:val="22"/>
          <w:szCs w:val="22"/>
          <w:shd w:val="clear" w:color="auto" w:fill="FFFFFF"/>
        </w:rPr>
      </w:pPr>
    </w:p>
    <w:p w14:paraId="705330B5" w14:textId="77777777" w:rsidR="00F5091F" w:rsidRDefault="00F5091F" w:rsidP="00BA19FE">
      <w:pPr>
        <w:rPr>
          <w:rFonts w:ascii="Arial" w:hAnsi="Arial" w:cs="Arial"/>
          <w:color w:val="222222"/>
          <w:sz w:val="22"/>
          <w:szCs w:val="22"/>
          <w:shd w:val="clear" w:color="auto" w:fill="FFFFFF"/>
        </w:rPr>
      </w:pPr>
    </w:p>
    <w:p w14:paraId="76847A2A"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166212" w:rsidRDefault="00166212" w:rsidP="00BA19FE">
      <w:pPr>
        <w:rPr>
          <w:rFonts w:ascii="Arial" w:hAnsi="Arial" w:cs="Arial"/>
          <w:color w:val="222222"/>
          <w:sz w:val="22"/>
          <w:szCs w:val="22"/>
          <w:shd w:val="clear" w:color="auto" w:fill="FFFFFF"/>
        </w:rPr>
      </w:pPr>
    </w:p>
    <w:p w14:paraId="0D2A0D7E" w14:textId="77777777" w:rsidR="00166212" w:rsidRP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xml:space="preserve">: The incidental exposure question was designed as a corollary to the total exposure battery. That is, it’s placement in the survey (directly after the total exposure battery), means that respondents should have their previous responses at the top of their minds when answering the incidental question. Thus, the incidental question makes an indirect reference to the total exposure question and was not intended to be a stand-alone measure. </w:t>
      </w:r>
    </w:p>
    <w:p w14:paraId="21545033" w14:textId="77777777" w:rsidR="00166212" w:rsidRPr="00166212" w:rsidRDefault="00166212" w:rsidP="00166212">
      <w:pPr>
        <w:rPr>
          <w:rFonts w:ascii="Arial" w:hAnsi="Arial" w:cs="Arial"/>
          <w:color w:val="222222"/>
          <w:sz w:val="22"/>
          <w:szCs w:val="22"/>
          <w:shd w:val="clear" w:color="auto" w:fill="FFFFFF"/>
        </w:rPr>
      </w:pPr>
    </w:p>
    <w:p w14:paraId="51FCFB0A" w14:textId="3A957B8F" w:rsidR="00F5091F" w:rsidRDefault="00166212" w:rsidP="00166212">
      <w:pPr>
        <w:rPr>
          <w:rFonts w:ascii="Arial" w:hAnsi="Arial" w:cs="Arial"/>
          <w:color w:val="222222"/>
          <w:sz w:val="22"/>
          <w:szCs w:val="22"/>
          <w:shd w:val="clear" w:color="auto" w:fill="FFFFFF"/>
        </w:rPr>
      </w:pPr>
      <w:r w:rsidRPr="00166212">
        <w:rPr>
          <w:rFonts w:ascii="Arial" w:hAnsi="Arial" w:cs="Arial"/>
          <w:color w:val="222222"/>
          <w:sz w:val="22"/>
          <w:szCs w:val="22"/>
          <w:shd w:val="clear" w:color="auto" w:fill="FFFFFF"/>
        </w:rPr>
        <w:t>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w:t>
      </w:r>
      <w:r>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rPr>
        <w:br/>
      </w:r>
    </w:p>
    <w:p w14:paraId="43936DA8"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a separate “high-effort engagement” variable created? This needs more justification both theoretically and operationally.</w:t>
      </w:r>
    </w:p>
    <w:p w14:paraId="5558887A" w14:textId="77777777" w:rsidR="00166212" w:rsidRPr="00166212" w:rsidRDefault="00166212" w:rsidP="00BA19FE">
      <w:pPr>
        <w:rPr>
          <w:rFonts w:ascii="Arial" w:hAnsi="Arial" w:cs="Arial"/>
          <w:color w:val="222222"/>
          <w:sz w:val="22"/>
          <w:szCs w:val="22"/>
          <w:shd w:val="clear" w:color="auto" w:fill="FFFFFF"/>
        </w:rPr>
      </w:pPr>
    </w:p>
    <w:p w14:paraId="55F5ABF6" w14:textId="40789566" w:rsidR="00F5091F"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rPr>
        <w:t>Response</w:t>
      </w:r>
      <w:r w:rsidRPr="00166212">
        <w:rPr>
          <w:rFonts w:ascii="Arial" w:hAnsi="Arial" w:cs="Arial"/>
          <w:color w:val="222222"/>
          <w:sz w:val="22"/>
          <w:szCs w:val="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BA19FE">
        <w:rPr>
          <w:rFonts w:ascii="Arial" w:hAnsi="Arial" w:cs="Arial"/>
          <w:color w:val="222222"/>
          <w:sz w:val="22"/>
          <w:szCs w:val="22"/>
        </w:rPr>
        <w:br/>
      </w:r>
    </w:p>
    <w:p w14:paraId="1E2910AE" w14:textId="1E149AC4" w:rsidR="00F5091F"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166212">
        <w:rPr>
          <w:rFonts w:ascii="Arial" w:hAnsi="Arial" w:cs="Arial"/>
          <w:color w:val="222222"/>
          <w:sz w:val="22"/>
          <w:szCs w:val="22"/>
        </w:rPr>
        <w:br/>
      </w:r>
      <w:r w:rsidR="000B17F0" w:rsidRPr="00166212">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166212" w:rsidRDefault="00166212" w:rsidP="00BA19FE">
      <w:pPr>
        <w:rPr>
          <w:rFonts w:ascii="Arial" w:hAnsi="Arial" w:cs="Arial"/>
          <w:color w:val="222222"/>
          <w:sz w:val="22"/>
          <w:szCs w:val="22"/>
          <w:shd w:val="clear" w:color="auto" w:fill="FFFFFF"/>
        </w:rPr>
      </w:pPr>
    </w:p>
    <w:p w14:paraId="0454299D" w14:textId="7A401154" w:rsidR="00166212"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This is a valid concern, and we agree that it is important to be specific when measuring key variables. However, the three items 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pg. 25. That said, we would be willing to alter the variable if you believe this is the best approach.</w:t>
      </w:r>
      <w:r>
        <w:rPr>
          <w:rFonts w:ascii="Arial" w:hAnsi="Arial" w:cs="Arial"/>
          <w:color w:val="222222"/>
          <w:sz w:val="22"/>
          <w:szCs w:val="22"/>
          <w:shd w:val="clear" w:color="auto" w:fill="FFFFFF"/>
        </w:rPr>
        <w:t xml:space="preserve"> </w:t>
      </w:r>
    </w:p>
    <w:p w14:paraId="29698734" w14:textId="77777777" w:rsidR="00F5091F" w:rsidRDefault="00F5091F" w:rsidP="00BA19FE">
      <w:pPr>
        <w:rPr>
          <w:rFonts w:ascii="Arial" w:hAnsi="Arial" w:cs="Arial"/>
          <w:color w:val="222222"/>
          <w:sz w:val="22"/>
          <w:szCs w:val="22"/>
          <w:shd w:val="clear" w:color="auto" w:fill="FFFFFF"/>
        </w:rPr>
      </w:pPr>
    </w:p>
    <w:p w14:paraId="46575212" w14:textId="77777777" w:rsidR="00AB3A3A" w:rsidRDefault="00F5091F"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1E8E79D1" w14:textId="77777777" w:rsidR="00AB3A3A" w:rsidRDefault="00AB3A3A">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3BFCF055" w14:textId="1EF455DB"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4</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B4B8212" w:rsidR="00DD75DE" w:rsidRPr="00AB3A3A" w:rsidRDefault="00926F88"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 xml:space="preserve">Thank </w:t>
      </w:r>
      <w:r w:rsidR="003F2AC0" w:rsidRPr="00AB3A3A">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We revised those sections. We also made changes to the literature review to better explicate core concepts. We hope the current version of the manuscript sufficiently addresses these concerns.  </w:t>
      </w:r>
      <w:r w:rsidR="000B17F0" w:rsidRPr="00AB3A3A">
        <w:rPr>
          <w:rFonts w:ascii="Arial" w:hAnsi="Arial" w:cs="Arial"/>
          <w:color w:val="222222"/>
          <w:sz w:val="22"/>
          <w:szCs w:val="22"/>
        </w:rPr>
        <w:br/>
      </w:r>
      <w:r w:rsidR="000B17F0" w:rsidRPr="00AB3A3A">
        <w:rPr>
          <w:rFonts w:ascii="Arial" w:hAnsi="Arial" w:cs="Arial"/>
          <w:color w:val="222222"/>
          <w:sz w:val="22"/>
          <w:szCs w:val="22"/>
        </w:rPr>
        <w:br/>
      </w:r>
      <w:r w:rsidR="00F5091F" w:rsidRPr="00AB3A3A">
        <w:rPr>
          <w:rFonts w:ascii="Arial" w:hAnsi="Arial" w:cs="Arial"/>
          <w:b/>
          <w:bCs/>
          <w:color w:val="222222"/>
          <w:sz w:val="22"/>
          <w:szCs w:val="22"/>
          <w:shd w:val="clear" w:color="auto" w:fill="FFFFFF"/>
        </w:rPr>
        <w:t xml:space="preserve">Comment:  </w:t>
      </w:r>
      <w:r w:rsidR="000B17F0" w:rsidRPr="00AB3A3A">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AB3A3A">
        <w:rPr>
          <w:rFonts w:ascii="Arial" w:hAnsi="Arial" w:cs="Arial"/>
          <w:color w:val="222222"/>
          <w:sz w:val="22"/>
          <w:szCs w:val="22"/>
          <w:shd w:val="clear" w:color="auto" w:fill="FFFFFF"/>
        </w:rPr>
        <w:t>particular study</w:t>
      </w:r>
      <w:proofErr w:type="gramEnd"/>
      <w:r w:rsidR="000B17F0" w:rsidRPr="00AB3A3A">
        <w:rPr>
          <w:rFonts w:ascii="Arial" w:hAnsi="Arial" w:cs="Arial"/>
          <w:color w:val="222222"/>
          <w:sz w:val="22"/>
          <w:szCs w:val="22"/>
          <w:shd w:val="clear" w:color="auto" w:fill="FFFFFF"/>
        </w:rPr>
        <w:t>.</w:t>
      </w:r>
    </w:p>
    <w:p w14:paraId="1AC9F74F" w14:textId="51215476" w:rsidR="00AB3A3A" w:rsidRPr="00AB3A3A" w:rsidRDefault="00AB3A3A" w:rsidP="00BA19FE">
      <w:pPr>
        <w:rPr>
          <w:rFonts w:ascii="Arial" w:hAnsi="Arial" w:cs="Arial"/>
          <w:color w:val="222222"/>
          <w:sz w:val="22"/>
          <w:szCs w:val="22"/>
          <w:shd w:val="clear" w:color="auto" w:fill="FFFFFF"/>
        </w:rPr>
      </w:pPr>
    </w:p>
    <w:p w14:paraId="274B906A" w14:textId="3B4C9C1D" w:rsidR="00F5091F" w:rsidRDefault="00AB3A3A" w:rsidP="00BA19FE">
      <w:pPr>
        <w:rPr>
          <w:rFonts w:ascii="Arial" w:hAnsi="Arial" w:cs="Arial"/>
          <w:color w:val="222222"/>
          <w:sz w:val="22"/>
          <w:szCs w:val="22"/>
          <w:shd w:val="clear" w:color="auto" w:fill="FFFFFF"/>
        </w:rPr>
      </w:pPr>
      <w:r w:rsidRPr="00AB3A3A">
        <w:rPr>
          <w:rFonts w:ascii="Arial" w:hAnsi="Arial" w:cs="Arial"/>
          <w:b/>
          <w:bCs/>
          <w:color w:val="000000" w:themeColor="text1"/>
          <w:sz w:val="22"/>
          <w:szCs w:val="22"/>
        </w:rPr>
        <w:t>Response</w:t>
      </w:r>
      <w:r w:rsidRPr="00AB3A3A">
        <w:rPr>
          <w:rFonts w:ascii="Arial" w:hAnsi="Arial" w:cs="Arial"/>
          <w:color w:val="000000" w:themeColor="text1"/>
          <w:sz w:val="22"/>
          <w:szCs w:val="22"/>
        </w:rPr>
        <w:t xml:space="preserve">: You’re </w:t>
      </w:r>
      <w:proofErr w:type="gramStart"/>
      <w:r w:rsidRPr="00AB3A3A">
        <w:rPr>
          <w:rFonts w:ascii="Arial" w:hAnsi="Arial" w:cs="Arial"/>
          <w:color w:val="000000" w:themeColor="text1"/>
          <w:sz w:val="22"/>
          <w:szCs w:val="22"/>
        </w:rPr>
        <w:t>absolutely right</w:t>
      </w:r>
      <w:proofErr w:type="gramEnd"/>
      <w:r w:rsidRPr="00AB3A3A">
        <w:rPr>
          <w:rFonts w:ascii="Arial" w:hAnsi="Arial" w:cs="Arial"/>
          <w:color w:val="000000" w:themeColor="text1"/>
          <w:sz w:val="22"/>
          <w:szCs w:val="22"/>
        </w:rPr>
        <w:t xml:space="preserve"> on this point. We’ve taken your suggestion and added a “Context of Study” section after the hypotheses and before the Methods (pgs. 10-11).</w:t>
      </w:r>
      <w:r w:rsidRPr="00B1122C">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73795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Thank</w:t>
      </w:r>
      <w:r w:rsidRPr="003F2AC0">
        <w:rPr>
          <w:rFonts w:ascii="Arial" w:hAnsi="Arial" w:cs="Arial"/>
          <w:color w:val="000000" w:themeColor="text1"/>
          <w:sz w:val="22"/>
          <w:szCs w:val="22"/>
        </w:rPr>
        <w:t xml:space="preserve">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000000" w:themeColor="text1"/>
          <w:sz w:val="22"/>
          <w:szCs w:val="22"/>
        </w:rPr>
        <w:t>This comment</w:t>
      </w:r>
      <w:r w:rsidR="003F2AC0" w:rsidRPr="003F2AC0">
        <w:rPr>
          <w:rFonts w:ascii="Arial" w:hAnsi="Arial" w:cs="Arial"/>
          <w:color w:val="000000" w:themeColor="text1"/>
          <w:sz w:val="22"/>
          <w:szCs w:val="22"/>
        </w:rPr>
        <w:t xml:space="preserve">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A41E72" w:rsidRPr="00AB3A3A">
        <w:rPr>
          <w:rFonts w:ascii="Arial" w:hAnsi="Arial" w:cs="Arial"/>
          <w:color w:val="000000" w:themeColor="text1"/>
          <w:sz w:val="22"/>
          <w:szCs w:val="22"/>
        </w:rPr>
        <w:t>Thank</w:t>
      </w:r>
      <w:r w:rsidR="00A41E72" w:rsidRPr="00CA07D9">
        <w:rPr>
          <w:rFonts w:ascii="Arial" w:hAnsi="Arial" w:cs="Arial"/>
          <w:color w:val="000000" w:themeColor="text1"/>
          <w:sz w:val="22"/>
          <w:szCs w:val="22"/>
        </w:rPr>
        <w:t xml:space="preserve">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222222"/>
          <w:sz w:val="22"/>
          <w:szCs w:val="22"/>
        </w:rPr>
        <w:t>This</w:t>
      </w:r>
      <w:r w:rsidR="003F2AC0">
        <w:rPr>
          <w:rFonts w:ascii="Arial" w:hAnsi="Arial" w:cs="Arial"/>
          <w:color w:val="222222"/>
          <w:sz w:val="22"/>
          <w:szCs w:val="22"/>
        </w:rPr>
        <w:t xml:space="preserve">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 xml:space="preserve">predictive mean matching)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xml:space="preserve">, 2018).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commentRangeStart w:id="1"/>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commentRangeEnd w:id="1"/>
      <w:r w:rsidR="0073795C">
        <w:rPr>
          <w:rStyle w:val="CommentReference"/>
        </w:rPr>
        <w:commentReference w:id="1"/>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AB3A3A">
              <w:rPr>
                <w:rFonts w:ascii="Arial" w:hAnsi="Arial" w:cs="Arial"/>
                <w:b/>
                <w:bCs/>
                <w:sz w:val="20"/>
                <w:szCs w:val="20"/>
                <w:highlight w:val="red"/>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AB3A3A"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List-Wise Deletion</w:t>
            </w:r>
          </w:p>
        </w:tc>
      </w:tr>
      <w:tr w:rsidR="005E40CD" w:rsidRPr="00AB3A3A" w14:paraId="1E1B9651" w14:textId="77777777" w:rsidTr="003C36EE">
        <w:trPr>
          <w:trHeight w:val="286"/>
        </w:trPr>
        <w:tc>
          <w:tcPr>
            <w:tcW w:w="2471" w:type="dxa"/>
            <w:tcBorders>
              <w:top w:val="nil"/>
              <w:left w:val="nil"/>
              <w:bottom w:val="nil"/>
              <w:right w:val="nil"/>
            </w:tcBorders>
          </w:tcPr>
          <w:p w14:paraId="6644558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089" w:type="dxa"/>
            <w:tcBorders>
              <w:top w:val="nil"/>
              <w:left w:val="nil"/>
              <w:bottom w:val="nil"/>
              <w:right w:val="nil"/>
            </w:tcBorders>
          </w:tcPr>
          <w:p w14:paraId="66934D47"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AB3A3A" w:rsidRDefault="005E40CD" w:rsidP="003C36EE">
            <w:pPr>
              <w:widowControl w:val="0"/>
              <w:jc w:val="center"/>
              <w:rPr>
                <w:rFonts w:ascii="Arial" w:hAnsi="Arial" w:cs="Arial"/>
                <w:sz w:val="20"/>
                <w:szCs w:val="20"/>
              </w:rPr>
            </w:pPr>
          </w:p>
        </w:tc>
      </w:tr>
      <w:tr w:rsidR="005E40CD" w:rsidRPr="00AB3A3A" w14:paraId="4F5515AE" w14:textId="77777777" w:rsidTr="003C36EE">
        <w:trPr>
          <w:trHeight w:val="286"/>
        </w:trPr>
        <w:tc>
          <w:tcPr>
            <w:tcW w:w="2471" w:type="dxa"/>
            <w:tcBorders>
              <w:top w:val="nil"/>
              <w:left w:val="nil"/>
              <w:bottom w:val="nil"/>
              <w:right w:val="nil"/>
            </w:tcBorders>
          </w:tcPr>
          <w:p w14:paraId="23625773"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089" w:type="dxa"/>
            <w:tcBorders>
              <w:top w:val="nil"/>
              <w:left w:val="nil"/>
              <w:bottom w:val="nil"/>
              <w:right w:val="nil"/>
            </w:tcBorders>
          </w:tcPr>
          <w:p w14:paraId="0EC1AF32"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AB3A3A" w:rsidRDefault="005E40CD" w:rsidP="003C36EE">
            <w:pPr>
              <w:widowControl w:val="0"/>
              <w:jc w:val="center"/>
              <w:rPr>
                <w:rFonts w:ascii="Arial" w:hAnsi="Arial" w:cs="Arial"/>
                <w:sz w:val="20"/>
                <w:szCs w:val="20"/>
              </w:rPr>
            </w:pPr>
          </w:p>
        </w:tc>
      </w:tr>
      <w:tr w:rsidR="005E40CD" w:rsidRPr="00AB3A3A"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089" w:type="dxa"/>
            <w:tcBorders>
              <w:top w:val="nil"/>
              <w:left w:val="nil"/>
              <w:bottom w:val="single" w:sz="4" w:space="0" w:color="auto"/>
              <w:right w:val="nil"/>
            </w:tcBorders>
          </w:tcPr>
          <w:p w14:paraId="03C964BF"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AB3A3A" w:rsidRDefault="005E40CD" w:rsidP="003C36EE">
            <w:pPr>
              <w:widowControl w:val="0"/>
              <w:jc w:val="center"/>
              <w:rPr>
                <w:rFonts w:ascii="Arial" w:hAnsi="Arial" w:cs="Arial"/>
                <w:sz w:val="20"/>
                <w:szCs w:val="20"/>
              </w:rPr>
            </w:pPr>
          </w:p>
        </w:tc>
      </w:tr>
    </w:tbl>
    <w:p w14:paraId="6F1FACCA" w14:textId="77777777" w:rsidR="005E40CD" w:rsidRPr="00AB3A3A"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AB3A3A"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Table 2 Models</w:t>
            </w:r>
          </w:p>
        </w:tc>
      </w:tr>
      <w:tr w:rsidR="005E40CD" w:rsidRPr="00AB3A3A" w14:paraId="4A136A95" w14:textId="77777777" w:rsidTr="003C36EE">
        <w:trPr>
          <w:trHeight w:val="275"/>
        </w:trPr>
        <w:tc>
          <w:tcPr>
            <w:tcW w:w="3079" w:type="dxa"/>
            <w:tcBorders>
              <w:top w:val="nil"/>
              <w:left w:val="nil"/>
              <w:bottom w:val="nil"/>
              <w:right w:val="nil"/>
            </w:tcBorders>
          </w:tcPr>
          <w:p w14:paraId="794DE122" w14:textId="77777777" w:rsidR="005E40CD" w:rsidRPr="00AB3A3A"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M1</w:t>
            </w:r>
          </w:p>
        </w:tc>
        <w:tc>
          <w:tcPr>
            <w:tcW w:w="1623" w:type="dxa"/>
            <w:tcBorders>
              <w:top w:val="nil"/>
              <w:left w:val="nil"/>
              <w:bottom w:val="nil"/>
              <w:right w:val="nil"/>
            </w:tcBorders>
          </w:tcPr>
          <w:p w14:paraId="3C98B98F"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M2</w:t>
            </w:r>
          </w:p>
        </w:tc>
      </w:tr>
      <w:tr w:rsidR="005E40CD" w:rsidRPr="00AB3A3A" w14:paraId="150606F3" w14:textId="77777777" w:rsidTr="003C36EE">
        <w:trPr>
          <w:trHeight w:val="275"/>
        </w:trPr>
        <w:tc>
          <w:tcPr>
            <w:tcW w:w="3079" w:type="dxa"/>
            <w:tcBorders>
              <w:top w:val="nil"/>
              <w:left w:val="nil"/>
              <w:bottom w:val="nil"/>
              <w:right w:val="nil"/>
            </w:tcBorders>
          </w:tcPr>
          <w:p w14:paraId="65ECA27B"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AB3A3A" w:rsidRDefault="005E40CD" w:rsidP="003C36EE">
            <w:pPr>
              <w:widowControl w:val="0"/>
              <w:jc w:val="center"/>
              <w:rPr>
                <w:rFonts w:ascii="Arial" w:hAnsi="Arial" w:cs="Arial"/>
                <w:sz w:val="20"/>
                <w:szCs w:val="20"/>
              </w:rPr>
            </w:pPr>
          </w:p>
        </w:tc>
      </w:tr>
      <w:tr w:rsidR="005E40CD" w:rsidRPr="00AB3A3A" w14:paraId="2DA28E98" w14:textId="77777777" w:rsidTr="003C36EE">
        <w:trPr>
          <w:trHeight w:val="275"/>
        </w:trPr>
        <w:tc>
          <w:tcPr>
            <w:tcW w:w="3079" w:type="dxa"/>
            <w:tcBorders>
              <w:top w:val="nil"/>
              <w:left w:val="nil"/>
              <w:bottom w:val="nil"/>
              <w:right w:val="nil"/>
            </w:tcBorders>
          </w:tcPr>
          <w:p w14:paraId="234551C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355DF27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01</w:t>
            </w:r>
          </w:p>
        </w:tc>
        <w:tc>
          <w:tcPr>
            <w:tcW w:w="1623" w:type="dxa"/>
            <w:tcBorders>
              <w:top w:val="nil"/>
              <w:left w:val="nil"/>
              <w:bottom w:val="nil"/>
              <w:right w:val="nil"/>
            </w:tcBorders>
          </w:tcPr>
          <w:p w14:paraId="702A9BA9"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.02</w:t>
            </w:r>
          </w:p>
        </w:tc>
      </w:tr>
      <w:tr w:rsidR="005E40CD" w:rsidRPr="00AB3A3A" w14:paraId="5F65FD16" w14:textId="77777777" w:rsidTr="003C36EE">
        <w:trPr>
          <w:trHeight w:val="288"/>
        </w:trPr>
        <w:tc>
          <w:tcPr>
            <w:tcW w:w="3079" w:type="dxa"/>
            <w:tcBorders>
              <w:top w:val="nil"/>
              <w:left w:val="nil"/>
              <w:bottom w:val="nil"/>
              <w:right w:val="nil"/>
            </w:tcBorders>
          </w:tcPr>
          <w:p w14:paraId="50451BC9"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0647BB33"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-1,634.20.</w:t>
            </w:r>
          </w:p>
        </w:tc>
        <w:tc>
          <w:tcPr>
            <w:tcW w:w="1623" w:type="dxa"/>
            <w:tcBorders>
              <w:top w:val="nil"/>
              <w:left w:val="nil"/>
              <w:bottom w:val="nil"/>
              <w:right w:val="nil"/>
            </w:tcBorders>
          </w:tcPr>
          <w:p w14:paraId="08E54A74"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-1,285.53</w:t>
            </w:r>
          </w:p>
        </w:tc>
      </w:tr>
      <w:tr w:rsidR="005E40CD" w:rsidRPr="00AB3A3A" w14:paraId="7FD172A0" w14:textId="77777777" w:rsidTr="003C36EE">
        <w:trPr>
          <w:trHeight w:val="288"/>
        </w:trPr>
        <w:tc>
          <w:tcPr>
            <w:tcW w:w="3079" w:type="dxa"/>
            <w:tcBorders>
              <w:top w:val="nil"/>
              <w:left w:val="nil"/>
              <w:bottom w:val="nil"/>
              <w:right w:val="nil"/>
            </w:tcBorders>
          </w:tcPr>
          <w:p w14:paraId="66AB10A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.45</w:t>
            </w:r>
          </w:p>
        </w:tc>
        <w:tc>
          <w:tcPr>
            <w:tcW w:w="1623" w:type="dxa"/>
            <w:tcBorders>
              <w:top w:val="nil"/>
              <w:left w:val="nil"/>
              <w:bottom w:val="nil"/>
              <w:right w:val="nil"/>
            </w:tcBorders>
          </w:tcPr>
          <w:p w14:paraId="4C9B607D"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0.46</w:t>
            </w:r>
          </w:p>
        </w:tc>
      </w:tr>
      <w:tr w:rsidR="005E40CD" w:rsidRPr="00AB3A3A"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AB3A3A" w:rsidRDefault="005E40CD" w:rsidP="003C36EE">
            <w:pPr>
              <w:widowControl w:val="0"/>
              <w:rPr>
                <w:rFonts w:ascii="Arial" w:hAnsi="Arial" w:cs="Arial"/>
                <w:b/>
                <w:bCs/>
                <w:sz w:val="20"/>
                <w:szCs w:val="20"/>
              </w:rPr>
            </w:pPr>
            <w:r w:rsidRPr="00AB3A3A">
              <w:rPr>
                <w:rFonts w:ascii="Arial" w:hAnsi="Arial" w:cs="Arial"/>
                <w:b/>
                <w:bCs/>
                <w:sz w:val="20"/>
                <w:szCs w:val="20"/>
              </w:rPr>
              <w:t>Fit Statistics List-Wise Deletion</w:t>
            </w:r>
          </w:p>
        </w:tc>
      </w:tr>
      <w:tr w:rsidR="005E40CD" w:rsidRPr="00AB3A3A" w14:paraId="5022E13D" w14:textId="77777777" w:rsidTr="003C36EE">
        <w:trPr>
          <w:trHeight w:val="288"/>
        </w:trPr>
        <w:tc>
          <w:tcPr>
            <w:tcW w:w="3079" w:type="dxa"/>
            <w:tcBorders>
              <w:top w:val="nil"/>
              <w:left w:val="nil"/>
              <w:bottom w:val="nil"/>
              <w:right w:val="nil"/>
            </w:tcBorders>
          </w:tcPr>
          <w:p w14:paraId="29326EA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0ECAC014"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AB3A3A" w:rsidRDefault="005E40CD" w:rsidP="003C36EE">
            <w:pPr>
              <w:widowControl w:val="0"/>
              <w:jc w:val="center"/>
              <w:rPr>
                <w:rFonts w:ascii="Arial" w:hAnsi="Arial" w:cs="Arial"/>
                <w:sz w:val="20"/>
                <w:szCs w:val="20"/>
              </w:rPr>
            </w:pPr>
          </w:p>
        </w:tc>
      </w:tr>
      <w:tr w:rsidR="005E40CD" w:rsidRPr="00AB3A3A" w14:paraId="2C595CFB" w14:textId="77777777" w:rsidTr="003C36EE">
        <w:trPr>
          <w:trHeight w:val="288"/>
        </w:trPr>
        <w:tc>
          <w:tcPr>
            <w:tcW w:w="3079" w:type="dxa"/>
            <w:tcBorders>
              <w:top w:val="nil"/>
              <w:left w:val="nil"/>
              <w:bottom w:val="nil"/>
              <w:right w:val="nil"/>
            </w:tcBorders>
          </w:tcPr>
          <w:p w14:paraId="6527CAA8"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429685A5"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AB3A3A"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AB3A3A">
        <w:rPr>
          <w:rFonts w:ascii="Arial" w:hAnsi="Arial" w:cs="Arial"/>
          <w:b/>
          <w:bCs/>
          <w:color w:val="222222"/>
          <w:sz w:val="22"/>
          <w:szCs w:val="22"/>
        </w:rPr>
        <w:t xml:space="preserve">Response: </w:t>
      </w:r>
      <w:r w:rsidR="006707E1" w:rsidRPr="00AB3A3A">
        <w:rPr>
          <w:rFonts w:ascii="Arial" w:hAnsi="Arial" w:cs="Arial"/>
          <w:color w:val="222222"/>
          <w:sz w:val="22"/>
          <w:szCs w:val="22"/>
        </w:rPr>
        <w:t>In</w:t>
      </w:r>
      <w:r w:rsidR="006707E1">
        <w:rPr>
          <w:rFonts w:ascii="Arial" w:hAnsi="Arial" w:cs="Arial"/>
          <w:color w:val="222222"/>
          <w:sz w:val="22"/>
          <w:szCs w:val="22"/>
        </w:rPr>
        <w:t xml:space="preserve">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CCB4176" w:rsidR="003F2AC0" w:rsidRDefault="00DD75DE" w:rsidP="003F2AC0">
      <w:pPr>
        <w:rPr>
          <w:rFonts w:ascii="Arial" w:hAnsi="Arial" w:cs="Arial"/>
          <w:color w:val="000000" w:themeColor="text1"/>
          <w:sz w:val="22"/>
          <w:szCs w:val="22"/>
          <w:shd w:val="clear" w:color="auto" w:fill="FFFFFF"/>
        </w:rPr>
      </w:pPr>
      <w:r w:rsidRPr="00204B6E">
        <w:rPr>
          <w:rFonts w:ascii="Arial" w:hAnsi="Arial" w:cs="Arial"/>
          <w:b/>
          <w:bCs/>
          <w:color w:val="222222"/>
          <w:sz w:val="22"/>
          <w:szCs w:val="22"/>
        </w:rPr>
        <w:t xml:space="preserve">Response: </w:t>
      </w:r>
      <w:r w:rsidR="003F2AC0" w:rsidRPr="00204B6E">
        <w:rPr>
          <w:rFonts w:ascii="Arial" w:hAnsi="Arial" w:cs="Arial"/>
          <w:color w:val="222222"/>
          <w:sz w:val="22"/>
          <w:szCs w:val="22"/>
        </w:rPr>
        <w:t>We pasted</w:t>
      </w:r>
      <w:r w:rsidR="003F2AC0">
        <w:rPr>
          <w:rFonts w:ascii="Arial" w:hAnsi="Arial" w:cs="Arial"/>
          <w:color w:val="222222"/>
          <w:sz w:val="22"/>
          <w:szCs w:val="22"/>
        </w:rPr>
        <w:t xml:space="preserve">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w:t>
      </w:r>
      <w:r w:rsidR="004978A3">
        <w:rPr>
          <w:rFonts w:ascii="Arial" w:hAnsi="Arial" w:cs="Arial"/>
          <w:color w:val="000000" w:themeColor="text1"/>
          <w:sz w:val="22"/>
          <w:szCs w:val="22"/>
          <w:shd w:val="clear" w:color="auto" w:fill="FFFFFF"/>
        </w:rPr>
        <w:t xml:space="preserve"> that week</w:t>
      </w:r>
      <w:r w:rsidR="003F2AC0">
        <w:rPr>
          <w:rFonts w:ascii="Arial" w:hAnsi="Arial" w:cs="Arial"/>
          <w:color w:val="000000" w:themeColor="text1"/>
          <w:sz w:val="22"/>
          <w:szCs w:val="22"/>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5F409403" w14:textId="77777777" w:rsidR="004978A3"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Default="004978A3" w:rsidP="003F2AC0">
      <w:pPr>
        <w:rPr>
          <w:rFonts w:ascii="Arial" w:hAnsi="Arial" w:cs="Arial"/>
          <w:color w:val="000000" w:themeColor="text1"/>
          <w:sz w:val="22"/>
          <w:szCs w:val="22"/>
          <w:shd w:val="clear" w:color="auto" w:fill="FFFFFF"/>
        </w:rPr>
      </w:pPr>
    </w:p>
    <w:p w14:paraId="684B38D8" w14:textId="522D0916"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Pr>
          <w:rFonts w:ascii="Arial" w:hAnsi="Arial" w:cs="Arial"/>
          <w:color w:val="000000" w:themeColor="text1"/>
          <w:sz w:val="22"/>
          <w:szCs w:val="22"/>
          <w:shd w:val="clear" w:color="auto" w:fill="FFFFFF"/>
        </w:rPr>
        <w:t>being</w:t>
      </w:r>
      <w:r>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0CDAE76E" w14:textId="66FDC448" w:rsidR="003F2AC0" w:rsidRPr="00E41CB3" w:rsidRDefault="004978A3"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page 26. </w:t>
      </w:r>
    </w:p>
    <w:p w14:paraId="308BF076" w14:textId="127D008A" w:rsidR="00DD75DE" w:rsidRPr="00204B6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 xml:space="preserve">Comment: </w:t>
      </w:r>
      <w:r w:rsidRPr="00204B6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04B6E">
        <w:rPr>
          <w:rFonts w:ascii="Arial" w:hAnsi="Arial" w:cs="Arial"/>
          <w:color w:val="222222"/>
          <w:sz w:val="22"/>
          <w:szCs w:val="22"/>
          <w:shd w:val="clear" w:color="auto" w:fill="FFFFFF"/>
        </w:rPr>
        <w:t>-</w:t>
      </w:r>
      <w:r w:rsidRPr="00204B6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04B6E" w:rsidRDefault="00DD75DE" w:rsidP="00BA19FE">
      <w:pPr>
        <w:rPr>
          <w:rFonts w:ascii="Arial" w:hAnsi="Arial" w:cs="Arial"/>
          <w:color w:val="222222"/>
          <w:sz w:val="22"/>
          <w:szCs w:val="22"/>
          <w:shd w:val="clear" w:color="auto" w:fill="FFFFFF"/>
        </w:rPr>
      </w:pPr>
    </w:p>
    <w:p w14:paraId="496AB958" w14:textId="31E242C4" w:rsidR="00DD75DE" w:rsidRDefault="00204B6E" w:rsidP="00BA19FE">
      <w:pPr>
        <w:rPr>
          <w:rFonts w:ascii="Arial" w:hAnsi="Arial" w:cs="Arial"/>
          <w:color w:val="222222"/>
          <w:sz w:val="22"/>
          <w:szCs w:val="22"/>
          <w:shd w:val="clear" w:color="auto" w:fill="FFFFFF"/>
        </w:rPr>
      </w:pPr>
      <w:r w:rsidRPr="00204B6E">
        <w:rPr>
          <w:rFonts w:ascii="Arial" w:hAnsi="Arial" w:cs="Arial"/>
          <w:b/>
          <w:bCs/>
          <w:color w:val="222222"/>
          <w:sz w:val="22"/>
          <w:szCs w:val="22"/>
        </w:rPr>
        <w:t xml:space="preserve">Response: </w:t>
      </w:r>
      <w:r w:rsidRPr="00204B6E">
        <w:rPr>
          <w:rFonts w:ascii="Arial" w:hAnsi="Arial" w:cs="Arial"/>
          <w:color w:val="000000" w:themeColor="text1"/>
          <w:sz w:val="22"/>
          <w:szCs w:val="22"/>
        </w:rPr>
        <w:t>You’re right. Our terminology was needlessly confusing. We cut all mentions of covariates and now refer to all variables</w:t>
      </w:r>
      <w:r w:rsidRPr="00911413">
        <w:rPr>
          <w:rFonts w:ascii="Arial" w:hAnsi="Arial" w:cs="Arial"/>
          <w:color w:val="000000" w:themeColor="text1"/>
          <w:sz w:val="22"/>
          <w:szCs w:val="22"/>
        </w:rPr>
        <w:t xml:space="preserve"> as controls.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14524FCC" w14:textId="6E6DC1FE" w:rsidR="00006A02" w:rsidRPr="00006A02" w:rsidRDefault="00DD75DE" w:rsidP="00BA19FE">
      <w:pPr>
        <w:rPr>
          <w:rFonts w:ascii="Arial" w:hAnsi="Arial" w:cs="Arial"/>
          <w:color w:val="000000" w:themeColor="text1"/>
          <w:sz w:val="22"/>
          <w:szCs w:val="22"/>
        </w:rPr>
      </w:pPr>
      <w:r w:rsidRPr="004978A3">
        <w:rPr>
          <w:rFonts w:ascii="Arial" w:hAnsi="Arial" w:cs="Arial"/>
          <w:b/>
          <w:bCs/>
          <w:color w:val="222222"/>
          <w:sz w:val="22"/>
          <w:szCs w:val="22"/>
        </w:rPr>
        <w:t>Response:</w:t>
      </w:r>
      <w:r>
        <w:rPr>
          <w:rFonts w:ascii="Arial" w:hAnsi="Arial" w:cs="Arial"/>
          <w:b/>
          <w:bCs/>
          <w:color w:val="222222"/>
          <w:sz w:val="22"/>
          <w:szCs w:val="22"/>
        </w:rPr>
        <w:t xml:space="preserve"> </w:t>
      </w:r>
      <w:r w:rsidR="00006A02" w:rsidRPr="00006A02">
        <w:rPr>
          <w:rFonts w:ascii="Arial" w:hAnsi="Arial" w:cs="Arial"/>
          <w:color w:val="000000" w:themeColor="text1"/>
          <w:sz w:val="22"/>
          <w:szCs w:val="22"/>
        </w:rPr>
        <w:t xml:space="preserve">These are </w:t>
      </w:r>
      <w:r w:rsidR="00006A02">
        <w:rPr>
          <w:rFonts w:ascii="Arial" w:hAnsi="Arial" w:cs="Arial"/>
          <w:color w:val="000000" w:themeColor="text1"/>
          <w:sz w:val="22"/>
          <w:szCs w:val="22"/>
        </w:rPr>
        <w:t>good</w:t>
      </w:r>
      <w:r w:rsidR="00006A02" w:rsidRPr="00006A02">
        <w:rPr>
          <w:rFonts w:ascii="Arial" w:hAnsi="Arial" w:cs="Arial"/>
          <w:color w:val="000000" w:themeColor="text1"/>
          <w:sz w:val="22"/>
          <w:szCs w:val="22"/>
        </w:rPr>
        <w:t xml:space="preserve"> questions. Certainly, there is room for follow-up work on the role of news attraction </w:t>
      </w:r>
      <w:r w:rsidR="00006A02">
        <w:rPr>
          <w:rFonts w:ascii="Arial" w:hAnsi="Arial" w:cs="Arial"/>
          <w:color w:val="000000" w:themeColor="text1"/>
          <w:sz w:val="22"/>
          <w:szCs w:val="22"/>
        </w:rPr>
        <w:t xml:space="preserve">in </w:t>
      </w:r>
      <w:r w:rsidR="004978A3">
        <w:rPr>
          <w:rFonts w:ascii="Arial" w:hAnsi="Arial" w:cs="Arial"/>
          <w:color w:val="000000" w:themeColor="text1"/>
          <w:sz w:val="22"/>
          <w:szCs w:val="22"/>
        </w:rPr>
        <w:t>stimulating or</w:t>
      </w:r>
      <w:r w:rsidR="00006A02">
        <w:rPr>
          <w:rFonts w:ascii="Arial" w:hAnsi="Arial" w:cs="Arial"/>
          <w:color w:val="000000" w:themeColor="text1"/>
          <w:sz w:val="22"/>
          <w:szCs w:val="22"/>
        </w:rPr>
        <w:t xml:space="preserve"> hampering</w:t>
      </w:r>
      <w:r w:rsidR="00006A02" w:rsidRPr="00006A02">
        <w:rPr>
          <w:rFonts w:ascii="Arial" w:hAnsi="Arial" w:cs="Arial"/>
          <w:color w:val="000000" w:themeColor="text1"/>
          <w:sz w:val="22"/>
          <w:szCs w:val="22"/>
        </w:rPr>
        <w:t xml:space="preserve"> the normative functions of political learning and </w:t>
      </w:r>
      <w:r w:rsidR="00006A02">
        <w:rPr>
          <w:rFonts w:ascii="Arial" w:hAnsi="Arial" w:cs="Arial"/>
          <w:color w:val="000000" w:themeColor="text1"/>
          <w:sz w:val="22"/>
          <w:szCs w:val="22"/>
        </w:rPr>
        <w:t xml:space="preserve">spread of </w:t>
      </w:r>
      <w:r w:rsidR="00006A02" w:rsidRPr="00006A02">
        <w:rPr>
          <w:rFonts w:ascii="Arial" w:hAnsi="Arial" w:cs="Arial"/>
          <w:color w:val="000000" w:themeColor="text1"/>
          <w:sz w:val="22"/>
          <w:szCs w:val="22"/>
        </w:rPr>
        <w:t xml:space="preserve">misinformation. </w:t>
      </w:r>
    </w:p>
    <w:p w14:paraId="10CFDB60" w14:textId="77777777" w:rsidR="00006A02" w:rsidRPr="00006A02" w:rsidRDefault="00006A02" w:rsidP="00BA19FE">
      <w:pPr>
        <w:rPr>
          <w:rFonts w:ascii="Arial" w:hAnsi="Arial" w:cs="Arial"/>
          <w:color w:val="000000" w:themeColor="text1"/>
          <w:sz w:val="22"/>
          <w:szCs w:val="22"/>
        </w:rPr>
      </w:pPr>
    </w:p>
    <w:p w14:paraId="705BB392" w14:textId="24B9358C" w:rsid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In this paper, w</w:t>
      </w:r>
      <w:r w:rsidRPr="00006A02">
        <w:rPr>
          <w:rFonts w:ascii="Arial" w:hAnsi="Arial" w:cs="Arial"/>
          <w:color w:val="000000" w:themeColor="text1"/>
          <w:sz w:val="22"/>
          <w:szCs w:val="22"/>
        </w:rPr>
        <w:t xml:space="preserve">e were interested in how the emerging media reality (where algorithmic news flows alter who gets political information and who pays attention to it) shape information inequality. Thus, </w:t>
      </w:r>
      <w:r>
        <w:rPr>
          <w:rFonts w:ascii="Arial" w:hAnsi="Arial" w:cs="Arial"/>
          <w:color w:val="000000" w:themeColor="text1"/>
          <w:sz w:val="22"/>
          <w:szCs w:val="22"/>
        </w:rPr>
        <w:t xml:space="preserve">the results are inherently normative in that we assume that these inequalities will equate to stratified news audiences with radical hierarchies that are typical of so-called information deserts. </w:t>
      </w:r>
    </w:p>
    <w:p w14:paraId="1A8558C3" w14:textId="77777777" w:rsidR="00006A02" w:rsidRDefault="00006A02" w:rsidP="00BA19FE">
      <w:pPr>
        <w:rPr>
          <w:rFonts w:ascii="Arial" w:hAnsi="Arial" w:cs="Arial"/>
          <w:color w:val="000000" w:themeColor="text1"/>
          <w:sz w:val="22"/>
          <w:szCs w:val="22"/>
        </w:rPr>
      </w:pPr>
    </w:p>
    <w:p w14:paraId="3B5FAE55" w14:textId="6CCAC828" w:rsidR="00006A02" w:rsidRP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 xml:space="preserve">Thus, it </w:t>
      </w:r>
      <w:r w:rsidRPr="00006A02">
        <w:rPr>
          <w:rFonts w:ascii="Arial" w:hAnsi="Arial" w:cs="Arial"/>
          <w:color w:val="000000" w:themeColor="text1"/>
          <w:sz w:val="22"/>
          <w:szCs w:val="22"/>
        </w:rPr>
        <w:t xml:space="preserve">follows, that the high news attraction group </w:t>
      </w:r>
      <w:r>
        <w:rPr>
          <w:rFonts w:ascii="Arial" w:hAnsi="Arial" w:cs="Arial"/>
          <w:color w:val="000000" w:themeColor="text1"/>
          <w:sz w:val="22"/>
          <w:szCs w:val="22"/>
        </w:rPr>
        <w:t xml:space="preserve">will disproportionally reap the benefits of a range of </w:t>
      </w:r>
      <w:r w:rsidRPr="00006A02">
        <w:rPr>
          <w:rFonts w:ascii="Arial" w:hAnsi="Arial" w:cs="Arial"/>
          <w:color w:val="000000" w:themeColor="text1"/>
          <w:sz w:val="22"/>
          <w:szCs w:val="22"/>
        </w:rPr>
        <w:t xml:space="preserve">pro-social outcomes related to active attention, including higher levels of learning, and a reduced likelihood of falling for misinformation. </w:t>
      </w:r>
      <w:r>
        <w:rPr>
          <w:rFonts w:ascii="Arial" w:hAnsi="Arial" w:cs="Arial"/>
          <w:color w:val="000000" w:themeColor="text1"/>
          <w:sz w:val="22"/>
          <w:szCs w:val="22"/>
        </w:rPr>
        <w:t xml:space="preserve">We tried to make these connections in the Discussion section, but your comment had us revise this section to specifically mention these potential outcomes typical of information hierarchies. </w:t>
      </w:r>
    </w:p>
    <w:p w14:paraId="4F84CC19" w14:textId="77777777" w:rsidR="00006A02" w:rsidRPr="00006A02" w:rsidRDefault="00006A02" w:rsidP="00BA19FE">
      <w:pPr>
        <w:rPr>
          <w:rFonts w:ascii="Arial" w:hAnsi="Arial" w:cs="Arial"/>
          <w:color w:val="000000" w:themeColor="text1"/>
          <w:sz w:val="22"/>
          <w:szCs w:val="22"/>
        </w:rPr>
      </w:pPr>
    </w:p>
    <w:p w14:paraId="4A74FBA6" w14:textId="5BA1EED1" w:rsidR="00DD75DE" w:rsidRDefault="00006A02" w:rsidP="00BA19FE">
      <w:pPr>
        <w:rPr>
          <w:rFonts w:ascii="Arial" w:hAnsi="Arial" w:cs="Arial"/>
          <w:color w:val="222222"/>
          <w:sz w:val="22"/>
          <w:szCs w:val="22"/>
          <w:shd w:val="clear" w:color="auto" w:fill="FFFFFF"/>
        </w:rPr>
      </w:pPr>
      <w:r>
        <w:rPr>
          <w:rFonts w:ascii="Arial" w:hAnsi="Arial" w:cs="Arial"/>
          <w:color w:val="000000" w:themeColor="text1"/>
          <w:sz w:val="22"/>
          <w:szCs w:val="22"/>
        </w:rPr>
        <w:t>W</w:t>
      </w:r>
      <w:r w:rsidRPr="00006A02">
        <w:rPr>
          <w:rFonts w:ascii="Arial" w:hAnsi="Arial" w:cs="Arial"/>
          <w:color w:val="000000" w:themeColor="text1"/>
          <w:sz w:val="22"/>
          <w:szCs w:val="22"/>
        </w:rPr>
        <w:t xml:space="preserve">e </w:t>
      </w:r>
      <w:r>
        <w:rPr>
          <w:rFonts w:ascii="Arial" w:hAnsi="Arial" w:cs="Arial"/>
          <w:color w:val="000000" w:themeColor="text1"/>
          <w:sz w:val="22"/>
          <w:szCs w:val="22"/>
        </w:rPr>
        <w:t xml:space="preserve">integrated these thoughts into </w:t>
      </w:r>
      <w:r w:rsidRPr="00006A02">
        <w:rPr>
          <w:rFonts w:ascii="Arial" w:hAnsi="Arial" w:cs="Arial"/>
          <w:color w:val="000000" w:themeColor="text1"/>
          <w:sz w:val="22"/>
          <w:szCs w:val="22"/>
        </w:rPr>
        <w:t xml:space="preserve">the </w:t>
      </w:r>
      <w:r w:rsidRPr="004978A3">
        <w:rPr>
          <w:rFonts w:ascii="Arial" w:hAnsi="Arial" w:cs="Arial"/>
          <w:color w:val="000000" w:themeColor="text1"/>
          <w:sz w:val="22"/>
          <w:szCs w:val="22"/>
        </w:rPr>
        <w:t>discussion on page</w:t>
      </w:r>
      <w:r w:rsidR="00147318">
        <w:rPr>
          <w:rFonts w:ascii="Arial" w:hAnsi="Arial" w:cs="Arial"/>
          <w:color w:val="000000" w:themeColor="text1"/>
          <w:sz w:val="22"/>
          <w:szCs w:val="22"/>
        </w:rPr>
        <w:t xml:space="preserve"> 26</w:t>
      </w:r>
      <w:r w:rsidR="00926BF4">
        <w:rPr>
          <w:rFonts w:ascii="Arial" w:hAnsi="Arial" w:cs="Arial"/>
          <w:color w:val="000000" w:themeColor="text1"/>
          <w:sz w:val="22"/>
          <w:szCs w:val="22"/>
        </w:rPr>
        <w:t>-27</w:t>
      </w:r>
      <w:r w:rsidR="00147318">
        <w:rPr>
          <w:rFonts w:ascii="Arial" w:hAnsi="Arial" w:cs="Arial"/>
          <w:color w:val="000000" w:themeColor="text1"/>
          <w:sz w:val="22"/>
          <w:szCs w:val="22"/>
        </w:rPr>
        <w:t xml:space="preserve">. </w:t>
      </w:r>
      <w:r w:rsidRPr="00006A02">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204B6E">
        <w:rPr>
          <w:rFonts w:ascii="Arial" w:hAnsi="Arial" w:cs="Arial"/>
          <w:b/>
          <w:bCs/>
          <w:color w:val="222222"/>
          <w:sz w:val="22"/>
          <w:szCs w:val="22"/>
          <w:highlight w:val="yellow"/>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Pr="00204B6E" w:rsidRDefault="00DD75DE" w:rsidP="00BA19FE">
      <w:pPr>
        <w:rPr>
          <w:rFonts w:ascii="Arial" w:hAnsi="Arial" w:cs="Arial"/>
          <w:color w:val="222222"/>
          <w:sz w:val="22"/>
          <w:szCs w:val="22"/>
          <w:shd w:val="clear" w:color="auto" w:fill="FFFFFF"/>
        </w:rPr>
      </w:pPr>
    </w:p>
    <w:p w14:paraId="38763193" w14:textId="5B20991C" w:rsidR="00DD75DE" w:rsidRPr="00204B6E" w:rsidRDefault="00DD75DE" w:rsidP="00BA19FE">
      <w:pPr>
        <w:rPr>
          <w:rFonts w:ascii="Arial" w:hAnsi="Arial" w:cs="Arial"/>
          <w:color w:val="000000" w:themeColor="text1"/>
          <w:sz w:val="22"/>
          <w:szCs w:val="22"/>
        </w:rPr>
      </w:pPr>
      <w:r w:rsidRPr="00204B6E">
        <w:rPr>
          <w:rFonts w:ascii="Arial" w:hAnsi="Arial" w:cs="Arial"/>
          <w:b/>
          <w:bCs/>
          <w:color w:val="000000" w:themeColor="text1"/>
          <w:sz w:val="22"/>
          <w:szCs w:val="22"/>
        </w:rPr>
        <w:t>Response</w:t>
      </w:r>
      <w:r w:rsidRPr="00204B6E">
        <w:rPr>
          <w:rFonts w:ascii="Arial" w:hAnsi="Arial" w:cs="Arial"/>
          <w:color w:val="000000" w:themeColor="text1"/>
          <w:sz w:val="22"/>
          <w:szCs w:val="22"/>
        </w:rPr>
        <w:t xml:space="preserve">: </w:t>
      </w:r>
      <w:r w:rsidR="00204B6E" w:rsidRPr="00204B6E">
        <w:rPr>
          <w:rFonts w:ascii="Arial" w:hAnsi="Arial" w:cs="Arial"/>
          <w:color w:val="000000" w:themeColor="text1"/>
          <w:sz w:val="22"/>
          <w:szCs w:val="22"/>
        </w:rPr>
        <w:t>We have proofread the manuscript. Thank you again for you time and attention to this paper. We feel it is stronger after responding to your comments.</w:t>
      </w:r>
    </w:p>
    <w:p w14:paraId="75E65CE3" w14:textId="77777777" w:rsidR="004245A4" w:rsidRPr="00147318" w:rsidRDefault="004245A4" w:rsidP="00BA19FE">
      <w:pPr>
        <w:rPr>
          <w:rFonts w:ascii="Arial" w:hAnsi="Arial" w:cs="Arial"/>
          <w:b/>
          <w:bCs/>
          <w:color w:val="FF0000"/>
          <w:sz w:val="22"/>
          <w:szCs w:val="22"/>
        </w:rPr>
      </w:pPr>
    </w:p>
    <w:p w14:paraId="3DA2E19C" w14:textId="77777777" w:rsidR="004245A4" w:rsidRPr="00147318" w:rsidRDefault="004245A4" w:rsidP="00BA19FE">
      <w:pPr>
        <w:rPr>
          <w:rFonts w:ascii="Arial" w:hAnsi="Arial" w:cs="Arial"/>
          <w:b/>
          <w:bCs/>
          <w:color w:val="FF0000"/>
          <w:sz w:val="22"/>
          <w:szCs w:val="22"/>
        </w:rPr>
      </w:pPr>
    </w:p>
    <w:p w14:paraId="46E602F0" w14:textId="77777777" w:rsidR="00EC4585" w:rsidRPr="00147318" w:rsidRDefault="00EC4585" w:rsidP="00BA19FE">
      <w:pPr>
        <w:rPr>
          <w:rFonts w:ascii="Arial" w:hAnsi="Arial" w:cs="Arial"/>
          <w:b/>
          <w:bCs/>
          <w:color w:val="FF0000"/>
          <w:sz w:val="22"/>
          <w:szCs w:val="22"/>
        </w:rPr>
      </w:pPr>
    </w:p>
    <w:p w14:paraId="30FE72F1" w14:textId="77777777" w:rsidR="00EC4585" w:rsidRPr="00147318" w:rsidRDefault="00EC4585" w:rsidP="00BA19FE">
      <w:pPr>
        <w:rPr>
          <w:rFonts w:ascii="Arial" w:hAnsi="Arial" w:cs="Arial"/>
          <w:b/>
          <w:bCs/>
          <w:color w:val="FF0000"/>
          <w:sz w:val="22"/>
          <w:szCs w:val="22"/>
        </w:rPr>
      </w:pPr>
    </w:p>
    <w:p w14:paraId="1396375C" w14:textId="77777777" w:rsidR="00974934" w:rsidRPr="00147318" w:rsidRDefault="00974934" w:rsidP="00BA19FE">
      <w:pPr>
        <w:rPr>
          <w:rFonts w:ascii="Arial" w:hAnsi="Arial" w:cs="Arial"/>
          <w:b/>
          <w:bCs/>
          <w:color w:val="FF0000"/>
          <w:sz w:val="22"/>
          <w:szCs w:val="22"/>
        </w:rPr>
      </w:pPr>
    </w:p>
    <w:p w14:paraId="327207D9" w14:textId="77777777" w:rsidR="00974934" w:rsidRPr="00147318" w:rsidRDefault="00974934" w:rsidP="00BA19FE">
      <w:pPr>
        <w:rPr>
          <w:rFonts w:ascii="Arial" w:hAnsi="Arial" w:cs="Arial"/>
          <w:b/>
          <w:bCs/>
          <w:color w:val="FF0000"/>
          <w:sz w:val="22"/>
          <w:szCs w:val="22"/>
        </w:rPr>
      </w:pPr>
    </w:p>
    <w:p w14:paraId="2032BBCF" w14:textId="77777777" w:rsidR="00E41CB3" w:rsidRPr="00147318" w:rsidRDefault="00E41CB3" w:rsidP="00BA19FE">
      <w:pPr>
        <w:rPr>
          <w:rFonts w:ascii="Arial" w:hAnsi="Arial" w:cs="Arial"/>
          <w:b/>
          <w:bCs/>
          <w:color w:val="FF0000"/>
          <w:sz w:val="22"/>
          <w:szCs w:val="22"/>
        </w:rPr>
      </w:pPr>
    </w:p>
    <w:p w14:paraId="5BA3113C" w14:textId="2E6CD4F6" w:rsidR="004245A4" w:rsidRPr="00147318" w:rsidRDefault="004245A4" w:rsidP="00BA19FE">
      <w:pPr>
        <w:rPr>
          <w:rFonts w:ascii="Arial" w:hAnsi="Arial" w:cs="Arial"/>
          <w:b/>
          <w:bCs/>
          <w:color w:val="000000" w:themeColor="text1"/>
          <w:sz w:val="22"/>
          <w:szCs w:val="22"/>
        </w:rPr>
      </w:pPr>
      <w:r w:rsidRPr="001F6698">
        <w:rPr>
          <w:rFonts w:ascii="Arial" w:hAnsi="Arial" w:cs="Arial"/>
          <w:b/>
          <w:bCs/>
          <w:color w:val="000000" w:themeColor="text1"/>
          <w:sz w:val="22"/>
          <w:szCs w:val="22"/>
          <w:highlight w:val="red"/>
        </w:rPr>
        <w:t>References</w:t>
      </w:r>
    </w:p>
    <w:p w14:paraId="2C607B39" w14:textId="77777777" w:rsidR="004245A4" w:rsidRPr="00147318" w:rsidRDefault="004245A4" w:rsidP="00BA19FE">
      <w:pPr>
        <w:rPr>
          <w:rFonts w:ascii="Arial" w:hAnsi="Arial" w:cs="Arial"/>
          <w:b/>
          <w:bCs/>
          <w:color w:val="000000" w:themeColor="text1"/>
          <w:sz w:val="22"/>
          <w:szCs w:val="22"/>
        </w:rPr>
      </w:pPr>
    </w:p>
    <w:p w14:paraId="3490F00D" w14:textId="555BB0E4" w:rsidR="00EC4585" w:rsidRPr="00147318" w:rsidRDefault="00EC4585"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147318">
        <w:rPr>
          <w:rFonts w:ascii="Arial" w:hAnsi="Arial" w:cs="Arial"/>
          <w:i/>
          <w:iCs/>
          <w:color w:val="000000" w:themeColor="text1"/>
          <w:sz w:val="22"/>
          <w:szCs w:val="22"/>
          <w:shd w:val="clear" w:color="auto" w:fill="FFFFFF"/>
        </w:rPr>
        <w:t>Citizenship studies</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13</w:t>
      </w:r>
      <w:r w:rsidRPr="00147318">
        <w:rPr>
          <w:rFonts w:ascii="Arial" w:hAnsi="Arial" w:cs="Arial"/>
          <w:color w:val="000000" w:themeColor="text1"/>
          <w:sz w:val="22"/>
          <w:szCs w:val="22"/>
          <w:shd w:val="clear" w:color="auto" w:fill="FFFFFF"/>
        </w:rPr>
        <w:t>(2), 105-120.</w:t>
      </w:r>
    </w:p>
    <w:p w14:paraId="69C9D383" w14:textId="399DF99D" w:rsidR="004245A4" w:rsidRPr="00147318" w:rsidRDefault="004245A4"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rPr>
        <w:t xml:space="preserve">de </w:t>
      </w:r>
      <w:proofErr w:type="spellStart"/>
      <w:r w:rsidRPr="00147318">
        <w:rPr>
          <w:rFonts w:ascii="Arial" w:hAnsi="Arial" w:cs="Arial"/>
          <w:color w:val="000000" w:themeColor="text1"/>
          <w:sz w:val="22"/>
          <w:szCs w:val="22"/>
        </w:rPr>
        <w:t>Vreese</w:t>
      </w:r>
      <w:proofErr w:type="spellEnd"/>
      <w:r w:rsidRPr="00147318">
        <w:rPr>
          <w:rFonts w:ascii="Arial" w:hAnsi="Arial" w:cs="Arial"/>
          <w:color w:val="000000" w:themeColor="text1"/>
          <w:sz w:val="22"/>
          <w:szCs w:val="22"/>
        </w:rPr>
        <w:t xml:space="preserve">, C. H., </w:t>
      </w:r>
      <w:proofErr w:type="spellStart"/>
      <w:r w:rsidRPr="00147318">
        <w:rPr>
          <w:rFonts w:ascii="Arial" w:hAnsi="Arial" w:cs="Arial"/>
          <w:color w:val="000000" w:themeColor="text1"/>
          <w:sz w:val="22"/>
          <w:szCs w:val="22"/>
        </w:rPr>
        <w:t>Boukes</w:t>
      </w:r>
      <w:proofErr w:type="spellEnd"/>
      <w:r w:rsidRPr="00147318">
        <w:rPr>
          <w:rFonts w:ascii="Arial" w:hAnsi="Arial" w:cs="Arial"/>
          <w:color w:val="000000" w:themeColor="text1"/>
          <w:sz w:val="22"/>
          <w:szCs w:val="22"/>
        </w:rPr>
        <w:t xml:space="preserve">, M., Schuck, A., </w:t>
      </w:r>
      <w:proofErr w:type="spellStart"/>
      <w:r w:rsidRPr="00147318">
        <w:rPr>
          <w:rFonts w:ascii="Arial" w:hAnsi="Arial" w:cs="Arial"/>
          <w:color w:val="000000" w:themeColor="text1"/>
          <w:sz w:val="22"/>
          <w:szCs w:val="22"/>
        </w:rPr>
        <w:t>Vliegenthart</w:t>
      </w:r>
      <w:proofErr w:type="spellEnd"/>
      <w:r w:rsidRPr="00147318">
        <w:rPr>
          <w:rFonts w:ascii="Arial" w:hAnsi="Arial" w:cs="Arial"/>
          <w:color w:val="000000" w:themeColor="text1"/>
          <w:sz w:val="22"/>
          <w:szCs w:val="22"/>
        </w:rPr>
        <w:t xml:space="preserve">, R., Bos, L., &amp; </w:t>
      </w:r>
      <w:proofErr w:type="spellStart"/>
      <w:r w:rsidRPr="00147318">
        <w:rPr>
          <w:rFonts w:ascii="Arial" w:hAnsi="Arial" w:cs="Arial"/>
          <w:color w:val="000000" w:themeColor="text1"/>
          <w:sz w:val="22"/>
          <w:szCs w:val="22"/>
        </w:rPr>
        <w:t>Lelkes</w:t>
      </w:r>
      <w:proofErr w:type="spellEnd"/>
      <w:r w:rsidRPr="00147318">
        <w:rPr>
          <w:rFonts w:ascii="Arial" w:hAnsi="Arial" w:cs="Arial"/>
          <w:color w:val="000000" w:themeColor="text1"/>
          <w:sz w:val="22"/>
          <w:szCs w:val="22"/>
        </w:rPr>
        <w:t xml:space="preserve">, Y. (2017). Linking Survey and Media Content Data: Opportunities, Considerations, and Pitfalls. </w:t>
      </w:r>
      <w:r w:rsidRPr="00147318">
        <w:rPr>
          <w:rFonts w:ascii="Arial" w:hAnsi="Arial" w:cs="Arial"/>
          <w:i/>
          <w:iCs/>
          <w:color w:val="000000" w:themeColor="text1"/>
          <w:sz w:val="22"/>
          <w:szCs w:val="22"/>
        </w:rPr>
        <w:t>Communication Methods and Measures</w:t>
      </w:r>
      <w:r w:rsidRPr="00147318">
        <w:rPr>
          <w:rFonts w:ascii="Arial" w:hAnsi="Arial" w:cs="Arial"/>
          <w:color w:val="000000" w:themeColor="text1"/>
          <w:sz w:val="22"/>
          <w:szCs w:val="22"/>
        </w:rPr>
        <w:t xml:space="preserve">, </w:t>
      </w:r>
      <w:r w:rsidRPr="00147318">
        <w:rPr>
          <w:rFonts w:ascii="Arial" w:hAnsi="Arial" w:cs="Arial"/>
          <w:i/>
          <w:iCs/>
          <w:color w:val="000000" w:themeColor="text1"/>
          <w:sz w:val="22"/>
          <w:szCs w:val="22"/>
        </w:rPr>
        <w:t>11</w:t>
      </w:r>
      <w:r w:rsidRPr="00147318">
        <w:rPr>
          <w:rFonts w:ascii="Arial" w:hAnsi="Arial" w:cs="Arial"/>
          <w:color w:val="000000" w:themeColor="text1"/>
          <w:sz w:val="22"/>
          <w:szCs w:val="22"/>
        </w:rPr>
        <w:t>(4), 221–244</w:t>
      </w:r>
    </w:p>
    <w:p w14:paraId="1284B209" w14:textId="7C7DCD41" w:rsidR="00EC4585" w:rsidRPr="00147318" w:rsidRDefault="004245A4"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rPr>
        <w:t>Ernala</w:t>
      </w:r>
      <w:proofErr w:type="spellEnd"/>
      <w:r w:rsidRPr="00147318">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147318">
        <w:rPr>
          <w:rFonts w:ascii="Arial" w:hAnsi="Arial" w:cs="Arial"/>
          <w:i/>
          <w:iCs/>
          <w:color w:val="000000" w:themeColor="text1"/>
          <w:sz w:val="22"/>
          <w:szCs w:val="22"/>
        </w:rPr>
        <w:t>Proceedings of the 2020 CHI Conference on Human Factors in Computing Systems</w:t>
      </w:r>
      <w:r w:rsidRPr="00147318">
        <w:rPr>
          <w:rFonts w:ascii="Arial" w:hAnsi="Arial" w:cs="Arial"/>
          <w:color w:val="000000" w:themeColor="text1"/>
          <w:sz w:val="22"/>
          <w:szCs w:val="22"/>
        </w:rPr>
        <w:t xml:space="preserve">, 1–14. </w:t>
      </w:r>
    </w:p>
    <w:p w14:paraId="06F66570" w14:textId="77777777" w:rsidR="00E41CB3"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Holbert, R. L., </w:t>
      </w:r>
      <w:proofErr w:type="spellStart"/>
      <w:r w:rsidRPr="00147318">
        <w:rPr>
          <w:rFonts w:ascii="Arial" w:hAnsi="Arial" w:cs="Arial"/>
          <w:color w:val="000000" w:themeColor="text1"/>
          <w:sz w:val="22"/>
          <w:szCs w:val="22"/>
          <w:shd w:val="clear" w:color="auto" w:fill="FFFFFF"/>
        </w:rPr>
        <w:t>Hmielowski</w:t>
      </w:r>
      <w:proofErr w:type="spellEnd"/>
      <w:r w:rsidRPr="00147318">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39</w:t>
      </w:r>
      <w:r w:rsidRPr="00147318">
        <w:rPr>
          <w:rFonts w:ascii="Arial" w:hAnsi="Arial" w:cs="Arial"/>
          <w:color w:val="000000" w:themeColor="text1"/>
          <w:sz w:val="22"/>
          <w:szCs w:val="22"/>
          <w:shd w:val="clear" w:color="auto" w:fill="FFFFFF"/>
        </w:rPr>
        <w:t>(2), 194-216.</w:t>
      </w:r>
    </w:p>
    <w:p w14:paraId="0000EA95" w14:textId="2F7801C3" w:rsidR="00147318" w:rsidRPr="00147318" w:rsidRDefault="00147318"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Lee, J. K., &amp; Kim, E. (2017). Incidental exposure to news: Predictors in the social media setting and effects on information gain online. </w:t>
      </w:r>
      <w:r w:rsidRPr="00147318">
        <w:rPr>
          <w:rFonts w:ascii="Arial" w:hAnsi="Arial" w:cs="Arial"/>
          <w:i/>
          <w:iCs/>
          <w:color w:val="222222"/>
          <w:sz w:val="22"/>
          <w:szCs w:val="22"/>
          <w:shd w:val="clear" w:color="auto" w:fill="FFFFFF"/>
        </w:rPr>
        <w:t>Computers in human behavior</w:t>
      </w:r>
      <w:r w:rsidRPr="00147318">
        <w:rPr>
          <w:rFonts w:ascii="Arial" w:hAnsi="Arial" w:cs="Arial"/>
          <w:color w:val="222222"/>
          <w:sz w:val="22"/>
          <w:szCs w:val="22"/>
          <w:shd w:val="clear" w:color="auto" w:fill="FFFFFF"/>
        </w:rPr>
        <w:t>, </w:t>
      </w:r>
      <w:r w:rsidRPr="00147318">
        <w:rPr>
          <w:rFonts w:ascii="Arial" w:hAnsi="Arial" w:cs="Arial"/>
          <w:i/>
          <w:iCs/>
          <w:color w:val="222222"/>
          <w:sz w:val="22"/>
          <w:szCs w:val="22"/>
          <w:shd w:val="clear" w:color="auto" w:fill="FFFFFF"/>
        </w:rPr>
        <w:t>75</w:t>
      </w:r>
      <w:r w:rsidRPr="00147318">
        <w:rPr>
          <w:rFonts w:ascii="Arial" w:hAnsi="Arial" w:cs="Arial"/>
          <w:color w:val="222222"/>
          <w:sz w:val="22"/>
          <w:szCs w:val="22"/>
          <w:shd w:val="clear" w:color="auto" w:fill="FFFFFF"/>
        </w:rPr>
        <w:t>, 1008-1015</w:t>
      </w:r>
    </w:p>
    <w:p w14:paraId="61D4ABE3" w14:textId="60D900CF"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Shehata, A., </w:t>
      </w:r>
      <w:proofErr w:type="spellStart"/>
      <w:r w:rsidRPr="00147318">
        <w:rPr>
          <w:rFonts w:ascii="Arial" w:hAnsi="Arial" w:cs="Arial"/>
          <w:color w:val="000000" w:themeColor="text1"/>
          <w:sz w:val="22"/>
          <w:szCs w:val="22"/>
          <w:shd w:val="clear" w:color="auto" w:fill="FFFFFF"/>
        </w:rPr>
        <w:t>Ekström</w:t>
      </w:r>
      <w:proofErr w:type="spellEnd"/>
      <w:r w:rsidRPr="00147318">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43</w:t>
      </w:r>
      <w:r w:rsidRPr="00147318">
        <w:rPr>
          <w:rFonts w:ascii="Arial" w:hAnsi="Arial" w:cs="Arial"/>
          <w:color w:val="000000" w:themeColor="text1"/>
          <w:sz w:val="22"/>
          <w:szCs w:val="22"/>
          <w:shd w:val="clear" w:color="auto" w:fill="FFFFFF"/>
        </w:rPr>
        <w:t>(8), 1141-1169.</w:t>
      </w:r>
    </w:p>
    <w:p w14:paraId="27F1D60C" w14:textId="1A39E332"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Stroud, N. J. (2011). </w:t>
      </w:r>
      <w:r w:rsidRPr="00147318">
        <w:rPr>
          <w:rFonts w:ascii="Arial" w:hAnsi="Arial" w:cs="Arial"/>
          <w:i/>
          <w:iCs/>
          <w:color w:val="000000" w:themeColor="text1"/>
          <w:sz w:val="22"/>
          <w:szCs w:val="22"/>
          <w:shd w:val="clear" w:color="auto" w:fill="FFFFFF"/>
        </w:rPr>
        <w:t>Niche news: The politics of news choice</w:t>
      </w:r>
      <w:r w:rsidRPr="00147318">
        <w:rPr>
          <w:rFonts w:ascii="Arial" w:hAnsi="Arial" w:cs="Arial"/>
          <w:color w:val="000000" w:themeColor="text1"/>
          <w:sz w:val="22"/>
          <w:szCs w:val="22"/>
          <w:shd w:val="clear" w:color="auto" w:fill="FFFFFF"/>
        </w:rPr>
        <w:t>. Oxford University Press on Demand.</w:t>
      </w:r>
    </w:p>
    <w:p w14:paraId="5DA29E97" w14:textId="077023A5" w:rsidR="003F2AC0" w:rsidRPr="00147318" w:rsidRDefault="003F2AC0"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 xml:space="preserve">Van </w:t>
      </w:r>
      <w:proofErr w:type="spellStart"/>
      <w:r w:rsidRPr="00147318">
        <w:rPr>
          <w:rFonts w:ascii="Arial" w:hAnsi="Arial" w:cs="Arial"/>
          <w:color w:val="222222"/>
          <w:sz w:val="22"/>
          <w:szCs w:val="22"/>
          <w:shd w:val="clear" w:color="auto" w:fill="FFFFFF"/>
        </w:rPr>
        <w:t>Buuren</w:t>
      </w:r>
      <w:proofErr w:type="spellEnd"/>
      <w:r w:rsidRPr="00147318">
        <w:rPr>
          <w:rFonts w:ascii="Arial" w:hAnsi="Arial" w:cs="Arial"/>
          <w:color w:val="222222"/>
          <w:sz w:val="22"/>
          <w:szCs w:val="22"/>
          <w:shd w:val="clear" w:color="auto" w:fill="FFFFFF"/>
        </w:rPr>
        <w:t>, S. (2018). </w:t>
      </w:r>
      <w:r w:rsidRPr="00147318">
        <w:rPr>
          <w:rFonts w:ascii="Arial" w:hAnsi="Arial" w:cs="Arial"/>
          <w:i/>
          <w:iCs/>
          <w:color w:val="222222"/>
          <w:sz w:val="22"/>
          <w:szCs w:val="22"/>
          <w:shd w:val="clear" w:color="auto" w:fill="FFFFFF"/>
        </w:rPr>
        <w:t>Flexible imputation of missing data</w:t>
      </w:r>
      <w:r w:rsidRPr="00147318">
        <w:rPr>
          <w:rFonts w:ascii="Arial" w:hAnsi="Arial" w:cs="Arial"/>
          <w:color w:val="222222"/>
          <w:sz w:val="22"/>
          <w:szCs w:val="22"/>
          <w:shd w:val="clear" w:color="auto" w:fill="FFFFFF"/>
        </w:rPr>
        <w:t>. CRC press. https://stefvanbuuren.name/fimd/</w:t>
      </w:r>
    </w:p>
    <w:p w14:paraId="15655EB5" w14:textId="3404C11B" w:rsidR="00EC4585" w:rsidRPr="00147318" w:rsidRDefault="00EC4585"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shd w:val="clear" w:color="auto" w:fill="FFFFFF"/>
        </w:rPr>
        <w:t>Zaller</w:t>
      </w:r>
      <w:proofErr w:type="spellEnd"/>
      <w:r w:rsidRPr="00147318">
        <w:rPr>
          <w:rFonts w:ascii="Arial" w:hAnsi="Arial" w:cs="Arial"/>
          <w:color w:val="000000" w:themeColor="text1"/>
          <w:sz w:val="22"/>
          <w:szCs w:val="22"/>
          <w:shd w:val="clear" w:color="auto" w:fill="FFFFFF"/>
        </w:rPr>
        <w:t>, J. (2003). A new standard of news quality: Burglar alarms for the monitorial citizen. </w:t>
      </w:r>
      <w:r w:rsidRPr="00147318">
        <w:rPr>
          <w:rFonts w:ascii="Arial" w:hAnsi="Arial" w:cs="Arial"/>
          <w:i/>
          <w:iCs/>
          <w:color w:val="000000" w:themeColor="text1"/>
          <w:sz w:val="22"/>
          <w:szCs w:val="22"/>
          <w:shd w:val="clear" w:color="auto" w:fill="FFFFFF"/>
        </w:rPr>
        <w:t>Political Communication</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20</w:t>
      </w:r>
      <w:r w:rsidRPr="00147318">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 w:id="1"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70391"/>
    <w:rsid w:val="000728E2"/>
    <w:rsid w:val="000932F9"/>
    <w:rsid w:val="000B17F0"/>
    <w:rsid w:val="000C036D"/>
    <w:rsid w:val="00117797"/>
    <w:rsid w:val="001179CE"/>
    <w:rsid w:val="00147318"/>
    <w:rsid w:val="00166212"/>
    <w:rsid w:val="00186828"/>
    <w:rsid w:val="001A2ADA"/>
    <w:rsid w:val="001B5D91"/>
    <w:rsid w:val="001F6698"/>
    <w:rsid w:val="00204B6E"/>
    <w:rsid w:val="00213A08"/>
    <w:rsid w:val="00222178"/>
    <w:rsid w:val="002509F6"/>
    <w:rsid w:val="0026733B"/>
    <w:rsid w:val="002721A9"/>
    <w:rsid w:val="00334101"/>
    <w:rsid w:val="00345B0D"/>
    <w:rsid w:val="003F2AC0"/>
    <w:rsid w:val="004245A4"/>
    <w:rsid w:val="00433C32"/>
    <w:rsid w:val="0048539C"/>
    <w:rsid w:val="004978A3"/>
    <w:rsid w:val="004D78B0"/>
    <w:rsid w:val="0058577F"/>
    <w:rsid w:val="00596F16"/>
    <w:rsid w:val="005D43DA"/>
    <w:rsid w:val="005D4EC3"/>
    <w:rsid w:val="005E40CD"/>
    <w:rsid w:val="006240FF"/>
    <w:rsid w:val="00626908"/>
    <w:rsid w:val="006707E1"/>
    <w:rsid w:val="00677974"/>
    <w:rsid w:val="006C2470"/>
    <w:rsid w:val="0073795C"/>
    <w:rsid w:val="00743FD9"/>
    <w:rsid w:val="00752E13"/>
    <w:rsid w:val="007C5181"/>
    <w:rsid w:val="007D1868"/>
    <w:rsid w:val="007E46BA"/>
    <w:rsid w:val="00803539"/>
    <w:rsid w:val="00812880"/>
    <w:rsid w:val="0086676E"/>
    <w:rsid w:val="00926BF4"/>
    <w:rsid w:val="00926F88"/>
    <w:rsid w:val="00974934"/>
    <w:rsid w:val="0099084B"/>
    <w:rsid w:val="009A1CE1"/>
    <w:rsid w:val="009F657E"/>
    <w:rsid w:val="00A41E72"/>
    <w:rsid w:val="00A43D20"/>
    <w:rsid w:val="00A6458B"/>
    <w:rsid w:val="00A72E95"/>
    <w:rsid w:val="00A74F58"/>
    <w:rsid w:val="00A81228"/>
    <w:rsid w:val="00AA517B"/>
    <w:rsid w:val="00AB3A3A"/>
    <w:rsid w:val="00B07F1E"/>
    <w:rsid w:val="00B814E9"/>
    <w:rsid w:val="00BA19FE"/>
    <w:rsid w:val="00BA5132"/>
    <w:rsid w:val="00BC20DF"/>
    <w:rsid w:val="00C2098C"/>
    <w:rsid w:val="00C819F6"/>
    <w:rsid w:val="00C92B9A"/>
    <w:rsid w:val="00CA07D9"/>
    <w:rsid w:val="00CF3475"/>
    <w:rsid w:val="00D3222A"/>
    <w:rsid w:val="00D76152"/>
    <w:rsid w:val="00D9355B"/>
    <w:rsid w:val="00DD75DE"/>
    <w:rsid w:val="00E34405"/>
    <w:rsid w:val="00E41CB3"/>
    <w:rsid w:val="00E46123"/>
    <w:rsid w:val="00EC4585"/>
    <w:rsid w:val="00EC531F"/>
    <w:rsid w:val="00EE128D"/>
    <w:rsid w:val="00F3352A"/>
    <w:rsid w:val="00F5091F"/>
    <w:rsid w:val="00F608BD"/>
    <w:rsid w:val="00F61D97"/>
    <w:rsid w:val="00F82B7C"/>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7571</Words>
  <Characters>43161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18</cp:revision>
  <dcterms:created xsi:type="dcterms:W3CDTF">2023-03-28T01:31:00Z</dcterms:created>
  <dcterms:modified xsi:type="dcterms:W3CDTF">2023-03-28T22:04:00Z</dcterms:modified>
</cp:coreProperties>
</file>