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1674EF6D"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incidental exposure may close information gaps, </w:t>
      </w:r>
      <w:r>
        <w:rPr>
          <w:color w:val="FF0000"/>
        </w:rPr>
        <w:t xml:space="preserve">but </w:t>
      </w:r>
      <w:r w:rsidRPr="00742E94">
        <w:rPr>
          <w:color w:val="FF0000"/>
        </w:rPr>
        <w:t>it does not close engagement gaps. Results contribute to theory about news and public affairs on digital media</w:t>
      </w:r>
      <w:r>
        <w:rPr>
          <w:color w:val="FF0000"/>
        </w:rPr>
        <w:t xml:space="preserve"> platforms</w:t>
      </w:r>
      <w:r w:rsidRPr="00742E94">
        <w:rPr>
          <w:color w:val="FF0000"/>
        </w:rPr>
        <w: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4606BFEF"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A80D2B">
        <w:t xml:space="preserve"> recent </w:t>
      </w:r>
      <w:r w:rsidR="0056600D">
        <w:t>research suggests that</w:t>
      </w:r>
      <w:r w:rsidR="0003135C">
        <w:t xml:space="preserve"> interest in </w:t>
      </w:r>
      <w:r w:rsidR="0056600D">
        <w:t>overemphasized as an explanation, whereas changes in</w:t>
      </w:r>
      <w:r w:rsidR="0003135C">
        <w:t xml:space="preserve"> </w:t>
      </w:r>
      <w:r w:rsidR="00545B29">
        <w:t xml:space="preserve">‘supply-side’ </w:t>
      </w:r>
      <w:r w:rsidR="000454A4">
        <w:t xml:space="preserve">dynamics </w:t>
      </w:r>
      <w:r w:rsidR="0056600D">
        <w:t>are neglected</w:t>
      </w:r>
      <w:r w:rsidR="00545B29">
        <w:t xml:space="preserve">. </w:t>
      </w:r>
    </w:p>
    <w:p w14:paraId="47C37654" w14:textId="69AF76C7"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and conversations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 xml:space="preserve">that mass media </w:t>
      </w:r>
      <w:r w:rsidRPr="003E6315">
        <w:lastRenderedPageBreak/>
        <w:t>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03972058"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 xml:space="preserve">provides a plausible reason to question or </w:t>
      </w:r>
      <w:r w:rsidR="00B449D9">
        <w:lastRenderedPageBreak/>
        <w:t>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eflects a deeper level of cognitive involvement and is more closely associated with learning from the news (</w:t>
      </w:r>
      <w:proofErr w:type="spellStart"/>
      <w:r w:rsidR="000C4096" w:rsidRPr="000C4096">
        <w:rPr>
          <w:color w:val="FF0000"/>
        </w:rPr>
        <w:t>Matthes</w:t>
      </w:r>
      <w:proofErr w:type="spellEnd"/>
      <w:r w:rsidR="000C4096" w:rsidRPr="000C4096">
        <w:rPr>
          <w:color w:val="FF0000"/>
        </w:rPr>
        <w:t xml:space="preserve"> et al., 2020; </w:t>
      </w:r>
      <w:proofErr w:type="spellStart"/>
      <w:r w:rsidR="000C4096" w:rsidRPr="000C4096">
        <w:rPr>
          <w:color w:val="FF0000"/>
        </w:rPr>
        <w:t>Nanz</w:t>
      </w:r>
      <w:proofErr w:type="spellEnd"/>
      <w:r w:rsidR="000C4096" w:rsidRPr="000C4096">
        <w:rPr>
          <w:color w:val="FF0000"/>
        </w:rPr>
        <w:t xml:space="preserve"> &amp; </w:t>
      </w:r>
      <w:proofErr w:type="spellStart"/>
      <w:r w:rsidR="000C4096" w:rsidRPr="000C4096">
        <w:rPr>
          <w:color w:val="FF0000"/>
        </w:rPr>
        <w:t>Matthes</w:t>
      </w:r>
      <w:proofErr w:type="spellEnd"/>
      <w:r w:rsidR="000C4096" w:rsidRPr="000C4096">
        <w:rPr>
          <w:color w:val="FF0000"/>
        </w:rPr>
        <w:t xml:space="preserve">,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lastRenderedPageBreak/>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5A899598" w:rsidR="00D239C1" w:rsidRPr="002D04A5" w:rsidRDefault="006E2E52" w:rsidP="006E2E52">
      <w:pPr>
        <w:widowControl w:val="0"/>
        <w:spacing w:line="480" w:lineRule="auto"/>
        <w:ind w:firstLine="720"/>
      </w:pPr>
      <w:r>
        <w:t xml:space="preserve">Other </w:t>
      </w:r>
      <w:proofErr w:type="spellStart"/>
      <w:r>
        <w:t>resesarch</w:t>
      </w:r>
      <w:proofErr w:type="spellEnd"/>
      <w:r>
        <w:t xml:space="preserve">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proofErr w:type="spellStart"/>
      <w:r w:rsidR="00D239C1" w:rsidRPr="00D757CC">
        <w:t>Kümpel</w:t>
      </w:r>
      <w:proofErr w:type="spellEnd"/>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w:t>
      </w:r>
      <w:r>
        <w:lastRenderedPageBreak/>
        <w:t xml:space="preserve">content selection algorithms (DeVito, 2017), which explains why </w:t>
      </w:r>
      <w:r w:rsidR="00D239C1">
        <w:t>some individuals</w:t>
      </w:r>
      <w:r>
        <w:t xml:space="preserve"> are</w:t>
      </w:r>
      <w:r w:rsidR="00D239C1">
        <w:t xml:space="preserve"> immersed in information-rich networks while others are left in ‘social media news deserts’ (Barnidge &amp; </w:t>
      </w:r>
      <w:proofErr w:type="spellStart"/>
      <w:r w:rsidR="00D239C1">
        <w:t>Xenos</w:t>
      </w:r>
      <w:proofErr w:type="spellEnd"/>
      <w:r w:rsidR="00D239C1">
        <w:t>,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w:t>
      </w:r>
      <w:proofErr w:type="spellStart"/>
      <w:r w:rsidR="00D239C1">
        <w:t>Xenos</w:t>
      </w:r>
      <w:proofErr w:type="spellEnd"/>
      <w:r w:rsidR="00D239C1">
        <w:t xml:space="preserve">, 2021; Lee &amp; </w:t>
      </w:r>
      <w:proofErr w:type="spellStart"/>
      <w:r w:rsidR="00D239C1">
        <w:t>Xenos</w:t>
      </w:r>
      <w:proofErr w:type="spellEnd"/>
      <w:r w:rsidR="00D239C1">
        <w:t>,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3D21F5E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 xml:space="preserve">concept more accurately reflects the dynamics of news exposure in which platforms and curation algorithms </w:t>
      </w:r>
      <w:r w:rsidR="00D239C1">
        <w:lastRenderedPageBreak/>
        <w:t>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proofErr w:type="gramStart"/>
      <w:r w:rsidR="00D239C1">
        <w:t>in the course of</w:t>
      </w:r>
      <w:proofErr w:type="gramEnd"/>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is often displaced, and choices themselves may not pertain to specific pieces of news content but rather to ‘</w:t>
      </w:r>
      <w:proofErr w:type="gramStart"/>
      <w:r w:rsidR="00D239C1">
        <w:t>types’</w:t>
      </w:r>
      <w:proofErr w:type="gramEnd"/>
      <w:r w:rsidR="00D239C1">
        <w:t xml:space="preserve">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w:t>
      </w:r>
      <w:r>
        <w:lastRenderedPageBreak/>
        <w:t xml:space="preserve">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xml:space="preserve">. That is, news attraction is an important antecedent of exposure as well as key </w:t>
      </w:r>
      <w:r>
        <w:lastRenderedPageBreak/>
        <w:t>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lastRenderedPageBreak/>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5FFC36DD" w:rsidR="002179DC" w:rsidRPr="00742E94" w:rsidRDefault="002179DC" w:rsidP="002179DC">
      <w:pPr>
        <w:spacing w:line="480" w:lineRule="auto"/>
        <w:ind w:firstLine="720"/>
        <w:rPr>
          <w:color w:val="FF0000"/>
        </w:rPr>
      </w:pPr>
      <w:r>
        <w:rPr>
          <w:color w:val="FF0000"/>
        </w:rPr>
        <w:t>Understanding t</w:t>
      </w:r>
      <w:r w:rsidRPr="00742E94">
        <w:rPr>
          <w:color w:val="FF0000"/>
        </w:rPr>
        <w:t>he U.S. online environment for news and political information is important to contextualize</w:t>
      </w:r>
      <w:r>
        <w:rPr>
          <w:color w:val="FF0000"/>
        </w:rPr>
        <w:t xml:space="preserve"> the</w:t>
      </w:r>
      <w:r w:rsidRPr="00742E94">
        <w:rPr>
          <w:color w:val="FF0000"/>
        </w:rPr>
        <w:t xml:space="preserve"> findings (Rojas &amp; Valenzuela, 2019). Two salient features</w:t>
      </w:r>
      <w:r>
        <w:rPr>
          <w:color w:val="FF0000"/>
        </w:rPr>
        <w:t xml:space="preserve"> of this environment</w:t>
      </w:r>
      <w:r w:rsidRPr="00742E94">
        <w:rPr>
          <w:color w:val="FF0000"/>
        </w:rPr>
        <w:t xml:space="preserve"> are the widespread availability of news on social media and</w:t>
      </w:r>
      <w:r>
        <w:rPr>
          <w:color w:val="FF0000"/>
        </w:rPr>
        <w:t xml:space="preserve"> the</w:t>
      </w:r>
      <w:r w:rsidRPr="00742E94">
        <w:rPr>
          <w:color w:val="FF0000"/>
        </w:rPr>
        <w:t xml:space="preserve"> fragmentation in </w:t>
      </w:r>
      <w:r w:rsidRPr="00742E94">
        <w:rPr>
          <w:color w:val="FF0000"/>
        </w:rPr>
        <w:lastRenderedPageBreak/>
        <w:t>news audiences. Over two-thirds of U.S. adults reported getting news from social media in 2022 (Pew Research Center, 2022). However, less than a quarter are frequent users, and 48% get news only “sometimes” or “rarely.”</w:t>
      </w:r>
      <w:r>
        <w:rPr>
          <w:color w:val="FF0000"/>
        </w:rPr>
        <w:t xml:space="preserve"> Thus, news is widely available, but not everyone uses it regularly.</w:t>
      </w:r>
      <w:r w:rsidRPr="00742E94">
        <w:rPr>
          <w:color w:val="FF0000"/>
        </w:rPr>
        <w:t xml:space="preserve"> Partisan media dominate attention on these platforms</w:t>
      </w:r>
      <w:r>
        <w:rPr>
          <w:color w:val="FF0000"/>
        </w:rPr>
        <w:t xml:space="preserve"> </w:t>
      </w:r>
      <w:r w:rsidRPr="00742E94">
        <w:rPr>
          <w:color w:val="FF0000"/>
        </w:rPr>
        <w:t>(Altay et al., 2022)</w:t>
      </w:r>
      <w:r>
        <w:rPr>
          <w:color w:val="FF0000"/>
        </w:rPr>
        <w:t xml:space="preserve">, </w:t>
      </w:r>
      <w:r w:rsidR="00A84B59">
        <w:rPr>
          <w:color w:val="FF0000"/>
        </w:rPr>
        <w:t>which</w:t>
      </w:r>
      <w:r>
        <w:rPr>
          <w:color w:val="FF0000"/>
        </w:rPr>
        <w:t xml:space="preserve"> </w:t>
      </w:r>
      <w:r w:rsidRPr="00742E94">
        <w:rPr>
          <w:color w:val="FF0000"/>
        </w:rPr>
        <w:t>have</w:t>
      </w:r>
      <w:r w:rsidR="00A84B59">
        <w:rPr>
          <w:color w:val="FF0000"/>
        </w:rPr>
        <w:t xml:space="preserve"> also</w:t>
      </w:r>
      <w:r w:rsidRPr="00742E94">
        <w:rPr>
          <w:color w:val="FF0000"/>
        </w:rPr>
        <w:t xml:space="preserve"> facilitated the proliferation of hyperpartisan and alternative news (</w:t>
      </w:r>
      <w:proofErr w:type="spellStart"/>
      <w:r w:rsidRPr="00742E94">
        <w:rPr>
          <w:color w:val="FF0000"/>
        </w:rPr>
        <w:t>Benkler</w:t>
      </w:r>
      <w:proofErr w:type="spellEnd"/>
      <w:r w:rsidRPr="00742E94">
        <w:rPr>
          <w:color w:val="FF0000"/>
        </w:rPr>
        <w:t xml:space="preserve"> et al., 2018). </w:t>
      </w:r>
      <w:r w:rsidR="00A84B59">
        <w:rPr>
          <w:color w:val="FF0000"/>
        </w:rPr>
        <w:t>Yet</w:t>
      </w:r>
      <w:r>
        <w:rPr>
          <w:color w:val="FF0000"/>
        </w:rPr>
        <w:t>, f</w:t>
      </w:r>
      <w:r w:rsidRPr="00742E94">
        <w:rPr>
          <w:color w:val="FF0000"/>
        </w:rPr>
        <w:t>ragmentation in the audience is not as extensive as previously thought (Fletcher &amp; Nielsen, 2017)</w:t>
      </w:r>
      <w:r w:rsidR="00C36D5A">
        <w:rPr>
          <w:color w:val="FF0000"/>
        </w:rPr>
        <w:t xml:space="preserve">. Thus, </w:t>
      </w:r>
      <w:r w:rsidRPr="00742E94">
        <w:rPr>
          <w:color w:val="FF0000"/>
        </w:rPr>
        <w:t>partisan media are popular, but do not necessarily produce information silos.</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2CB1862"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 xml:space="preserve">We did not collect personal information or access social </w:t>
      </w:r>
      <w:r w:rsidR="00CF3960">
        <w:rPr>
          <w:color w:val="FF0000"/>
        </w:rPr>
        <w:lastRenderedPageBreak/>
        <w:t>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lastRenderedPageBreak/>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 xml:space="preserve">Once shown the </w:t>
      </w:r>
      <w:r w:rsidR="001E2991">
        <w:lastRenderedPageBreak/>
        <w:t>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w:t>
      </w:r>
      <w:r w:rsidR="00D95D65">
        <w:lastRenderedPageBreak/>
        <w:t xml:space="preserve">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 xml:space="preserve">network </w:t>
      </w:r>
      <w:r w:rsidR="003B0A1E">
        <w:rPr>
          <w:i/>
          <w:iCs/>
        </w:rPr>
        <w:lastRenderedPageBreak/>
        <w:t>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1CD522C9"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We included these variables in the models to control for potential confounding influences on our dependent variables, as they have traditionally been linked to civic and political behaviors, such as 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 xml:space="preserve">In the first stage of the analysis, a Latent Class Analysis (LCA) is conducted with the five </w:t>
      </w:r>
      <w:r>
        <w:lastRenderedPageBreak/>
        <w:t>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w:t>
      </w:r>
      <w:r>
        <w:lastRenderedPageBreak/>
        <w:t xml:space="preserve">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lastRenderedPageBreak/>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 xml:space="preserve">low-attraction group reporting </w:t>
      </w:r>
      <w:r w:rsidR="00D20276" w:rsidRPr="00741121">
        <w:lastRenderedPageBreak/>
        <w:t>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w:t>
      </w:r>
      <w:r w:rsidR="00DF4E62">
        <w:lastRenderedPageBreak/>
        <w:t>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w:t>
      </w:r>
      <w:r w:rsidR="00397652">
        <w:lastRenderedPageBreak/>
        <w:t>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w:t>
      </w:r>
      <w:proofErr w:type="spellStart"/>
      <w:r w:rsidR="001C7B2B">
        <w:t>Xenos</w:t>
      </w:r>
      <w:proofErr w:type="spellEnd"/>
      <w:r w:rsidR="001C7B2B">
        <w:t>,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w:t>
      </w:r>
      <w:proofErr w:type="spellStart"/>
      <w:r w:rsidR="00C40535">
        <w:t>incidentality</w:t>
      </w:r>
      <w:proofErr w:type="spellEnd"/>
      <w:r w:rsidR="00C40535">
        <w:t xml:space="preserve">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proofErr w:type="spellStart"/>
      <w:r w:rsidR="0029700A">
        <w:t>Matthes</w:t>
      </w:r>
      <w:proofErr w:type="spellEnd"/>
      <w:r w:rsidR="0029700A">
        <w:t xml:space="preserve">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w:t>
      </w:r>
      <w:r w:rsidR="00B7329C">
        <w:lastRenderedPageBreak/>
        <w:t xml:space="preserve">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07E0EE8C"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w:t>
      </w:r>
      <w:proofErr w:type="gramStart"/>
      <w:r w:rsidR="00E104F9">
        <w:t>all of</w:t>
      </w:r>
      <w:proofErr w:type="gramEnd"/>
      <w:r w:rsidR="00E104F9">
        <w:t xml:space="preserve">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employed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xml:space="preserve">. Thus, despite their limitations, self-reported measures of news use </w:t>
      </w:r>
      <w:r w:rsidR="00997B9A" w:rsidRPr="00F52B89">
        <w:rPr>
          <w:color w:val="FF0000"/>
        </w:rPr>
        <w:lastRenderedPageBreak/>
        <w:t>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119B6673" w:rsidR="00EE5E8C" w:rsidRPr="00141F0C" w:rsidRDefault="00290930" w:rsidP="000C5516">
      <w:pPr>
        <w:widowControl w:val="0"/>
        <w:spacing w:line="480" w:lineRule="auto"/>
      </w:pPr>
      <w:r>
        <w:tab/>
      </w:r>
      <w:r w:rsidR="00190300">
        <w:t xml:space="preserve">With these caveats in mind, our findings </w:t>
      </w:r>
      <w:r w:rsidR="000C5516">
        <w:t>suggest that the</w:t>
      </w:r>
      <w:r w:rsidR="00EC00F6">
        <w:t xml:space="preserve"> </w:t>
      </w:r>
      <w:proofErr w:type="spellStart"/>
      <w:r w:rsidR="00EC00F6">
        <w:t>platformization</w:t>
      </w:r>
      <w:proofErr w:type="spellEnd"/>
      <w:r w:rsidR="00EC00F6">
        <w:t xml:space="preserve">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 xml:space="preserve">and suggests that digital media platforms may not be able to effectively fill information gaps caused by the decline of local media and public media. Addressing these inequalities may require financial investment and public attention to other areas.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proofErr w:type="gramStart"/>
      <w:r w:rsidR="00C54319">
        <w:rPr>
          <w:color w:val="FF0000"/>
        </w:rPr>
        <w:t>datafication</w:t>
      </w:r>
      <w:proofErr w:type="gramEnd"/>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lastRenderedPageBreak/>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lastRenderedPageBreak/>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lastRenderedPageBreak/>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lastRenderedPageBreak/>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lastRenderedPageBreak/>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lastRenderedPageBreak/>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lastRenderedPageBreak/>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lastRenderedPageBreak/>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lastRenderedPageBreak/>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lastRenderedPageBreak/>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6EC"/>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D1390"/>
    <w:rsid w:val="006D1655"/>
    <w:rsid w:val="006D4FDC"/>
    <w:rsid w:val="006D76E3"/>
    <w:rsid w:val="006E1846"/>
    <w:rsid w:val="006E2265"/>
    <w:rsid w:val="006E264F"/>
    <w:rsid w:val="006E2E52"/>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108B"/>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3448"/>
    <w:rsid w:val="00BF430A"/>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34</Pages>
  <Words>8894</Words>
  <Characters>50701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103</cp:revision>
  <dcterms:created xsi:type="dcterms:W3CDTF">2023-03-28T01:31:00Z</dcterms:created>
  <dcterms:modified xsi:type="dcterms:W3CDTF">2023-04-04T19:09:00Z</dcterms:modified>
  <cp:category/>
</cp:coreProperties>
</file>