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t>Abstract</w:t>
      </w:r>
    </w:p>
    <w:p w14:paraId="6373C375" w14:textId="11751F42" w:rsidR="006E7E99" w:rsidRDefault="006E7E99" w:rsidP="0072519F">
      <w:pPr>
        <w:widowControl w:val="0"/>
        <w:spacing w:line="480" w:lineRule="auto"/>
        <w:jc w:val="both"/>
        <w:rPr>
          <w:rFonts w:ascii="Times New Roman" w:hAnsi="Times New Roman" w:cs="Times New Roman"/>
        </w:rPr>
      </w:pPr>
      <w:r>
        <w:rPr>
          <w:rFonts w:ascii="Times New Roman" w:hAnsi="Times New Roman" w:cs="Times New Roman"/>
        </w:rPr>
        <w:t>text here</w:t>
      </w:r>
    </w:p>
    <w:p w14:paraId="10151A0C" w14:textId="6224876F"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lastRenderedPageBreak/>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421B423A"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largely parallel similar questions regarding broad stratificational effects of the internet (i.e., the ‘digital divide’)</w:t>
      </w:r>
      <w:r w:rsidR="00F51EDD">
        <w:rPr>
          <w:rFonts w:ascii="Times New Roman" w:hAnsi="Times New Roman" w:cs="Times New Roman"/>
        </w:rPr>
        <w:t xml:space="preserv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w:t>
      </w:r>
      <w:r w:rsidR="00DA34CF">
        <w:rPr>
          <w:rFonts w:ascii="Times New Roman" w:hAnsi="Times New Roman" w:cs="Times New Roman"/>
        </w:rPr>
        <w:t>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should</w:t>
      </w:r>
      <w:r w:rsidR="00DA34CF">
        <w:rPr>
          <w:rFonts w:ascii="Times New Roman" w:hAnsi="Times New Roman" w:cs="Times New Roman"/>
        </w:rPr>
        <w:t xml:space="preserve">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0C49A997" w14:textId="7C06CF14" w:rsidR="00D239C1" w:rsidRPr="00BA010D" w:rsidRDefault="00D239C1" w:rsidP="0072519F">
      <w:pPr>
        <w:widowControl w:val="0"/>
        <w:spacing w:line="480" w:lineRule="auto"/>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Thorson, 2020</w:t>
      </w:r>
      <w:r w:rsidR="00B82B59">
        <w:rPr>
          <w:rFonts w:ascii="Times New Roman" w:hAnsi="Times New Roman" w:cs="Times New Roman"/>
        </w:rPr>
        <w:t xml:space="preserve">;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 xml:space="preserve">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5C488D87"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D6BAB5B"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Finally</w:t>
      </w:r>
      <w:r w:rsidR="00A22205">
        <w:rPr>
          <w:rFonts w:ascii="Times New Roman" w:hAnsi="Times New Roman" w:cs="Times New Roman"/>
        </w:rPr>
        <w:t>, while direct observ</w:t>
      </w:r>
      <w:r w:rsidR="00A22205">
        <w:rPr>
          <w:rFonts w:ascii="Times New Roman" w:hAnsi="Times New Roman" w:cs="Times New Roman"/>
        </w:rPr>
        <w:t>ations of</w:t>
      </w:r>
      <w:r w:rsidR="00A22205">
        <w:rPr>
          <w:rFonts w:ascii="Times New Roman" w:hAnsi="Times New Roman" w:cs="Times New Roman"/>
        </w:rPr>
        <w:t xml:space="preserve"> algorithm</w:t>
      </w:r>
      <w:r w:rsidR="00A22205">
        <w:rPr>
          <w:rFonts w:ascii="Times New Roman" w:hAnsi="Times New Roman" w:cs="Times New Roman"/>
        </w:rPr>
        <w:t>ic curation</w:t>
      </w:r>
      <w:r w:rsidR="00A22205">
        <w:rPr>
          <w:rFonts w:ascii="Times New Roman" w:hAnsi="Times New Roman" w:cs="Times New Roman"/>
        </w:rPr>
        <w:t xml:space="preserve"> is</w:t>
      </w:r>
      <w:r w:rsidR="00A22205">
        <w:rPr>
          <w:rFonts w:ascii="Times New Roman" w:hAnsi="Times New Roman" w:cs="Times New Roman"/>
        </w:rPr>
        <w:t xml:space="preserve"> somewhat</w:t>
      </w:r>
      <w:r w:rsidR="00A22205">
        <w:rPr>
          <w:rFonts w:ascii="Times New Roman" w:hAnsi="Times New Roman" w:cs="Times New Roman"/>
        </w:rPr>
        <w:t xml:space="preserve"> </w:t>
      </w:r>
      <w:r w:rsidR="00A22205">
        <w:rPr>
          <w:rFonts w:ascii="Times New Roman" w:hAnsi="Times New Roman" w:cs="Times New Roman"/>
        </w:rPr>
        <w:t>rare</w:t>
      </w:r>
      <w:r w:rsidR="00A22205">
        <w:rPr>
          <w:rFonts w:ascii="Times New Roman" w:hAnsi="Times New Roman" w:cs="Times New Roman"/>
        </w:rPr>
        <w:t xml:space="preserv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 that results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24196B54"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possibility that incidental encounters with the news could occur among individuals who are both ‘high’ and ‘low’ in news attraction, and doing so allows us to isolate </w:t>
      </w:r>
      <w:r w:rsidR="00B41082">
        <w:rPr>
          <w:rFonts w:ascii="Times New Roman" w:hAnsi="Times New Roman" w:cs="Times New Roman"/>
        </w:rPr>
        <w:t xml:space="preserve">and assess </w:t>
      </w:r>
      <w:r>
        <w:rPr>
          <w:rFonts w:ascii="Times New Roman" w:hAnsi="Times New Roman" w:cs="Times New Roman"/>
        </w:rPr>
        <w:t xml:space="preserve">the extent to which incidental exposure occurs among </w:t>
      </w:r>
      <w:r w:rsidR="00B41082">
        <w:rPr>
          <w:rFonts w:ascii="Times New Roman" w:hAnsi="Times New Roman" w:cs="Times New Roman"/>
        </w:rPr>
        <w:t>individuals with varying levels of news attraction</w:t>
      </w:r>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AC0D276"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2049EC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0776265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This prediction is based on the assumption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475C877E"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7BB28A77" w14:textId="3E61C851" w:rsidR="00D239C1" w:rsidRPr="00CC68B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2B601D2"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w:t>
      </w:r>
      <w:r w:rsidR="004444DE" w:rsidRPr="00810EF8">
        <w:rPr>
          <w:rFonts w:ascii="Times New Roman" w:hAnsi="Times New Roman" w:cs="Times New Roman"/>
        </w:rPr>
        <w:t>has both ‘trait-like’ and ‘state-like’ properties</w:t>
      </w:r>
      <w:r w:rsidR="004444DE">
        <w:rPr>
          <w:rFonts w:ascii="Times New Roman" w:hAnsi="Times New Roman" w:cs="Times New Roman"/>
        </w:rPr>
        <w:t xml:space="preserve">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r w:rsidR="00A57184">
        <w:rPr>
          <w:rFonts w:ascii="Times New Roman" w:hAnsi="Times New Roman" w:cs="Times New Roman"/>
        </w:rPr>
        <w:t>our study design allows us to include both</w:t>
      </w:r>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79398B9F" w14:textId="5AEBEE87" w:rsidR="005F6F2D" w:rsidRDefault="005F6F2D" w:rsidP="0072519F">
      <w:pPr>
        <w:widowControl w:val="0"/>
        <w:spacing w:line="480" w:lineRule="auto"/>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r w:rsidR="00BF430A">
        <w:rPr>
          <w:rFonts w:ascii="Times New Roman" w:hAnsi="Times New Roman" w:cs="Times New Roman"/>
        </w:rPr>
        <w:t xml:space="preserve">‘state-like’ </w:t>
      </w:r>
      <w:r w:rsidR="00FB2273">
        <w:rPr>
          <w:rFonts w:ascii="Times New Roman" w:hAnsi="Times New Roman" w:cs="Times New Roman"/>
        </w:rPr>
        <w:t xml:space="preserve">measures of </w:t>
      </w:r>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Fourth</w:t>
      </w:r>
      <w:r w:rsidR="00B816B7">
        <w:rPr>
          <w:rFonts w:ascii="Times New Roman" w:hAnsi="Times New Roman" w:cs="Times New Roman"/>
        </w:rPr>
        <w:t>, social news curation</w:t>
      </w:r>
      <w:r w:rsidR="00B816B7">
        <w:rPr>
          <w:rFonts w:ascii="Times New Roman" w:hAnsi="Times New Roman" w:cs="Times New Roman"/>
        </w:rPr>
        <w:t xml:space="preserve"> </w:t>
      </w:r>
      <w:r w:rsidR="00B816B7">
        <w:rPr>
          <w:rFonts w:ascii="Times New Roman" w:hAnsi="Times New Roman" w:cs="Times New Roman"/>
        </w:rPr>
        <w:t xml:space="preserve">relies on 5 items that ask respondents how much (1 = </w:t>
      </w:r>
      <w:r w:rsidR="00B816B7" w:rsidRPr="00565DEA">
        <w:rPr>
          <w:rFonts w:ascii="Times New Roman" w:hAnsi="Times New Roman" w:cs="Times New Roman"/>
          <w:i/>
          <w:iCs/>
        </w:rPr>
        <w:t>None at all</w:t>
      </w:r>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w:t>
      </w:r>
      <w:r w:rsidR="00B816B7">
        <w:rPr>
          <w:rFonts w:ascii="Times New Roman" w:hAnsi="Times New Roman" w:cs="Times New Roman"/>
        </w:rPr>
        <w:t xml:space="preserve">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5539811D" w14:textId="498AB4F5" w:rsidR="00D72CB9" w:rsidRPr="00D44D01" w:rsidRDefault="0024287C"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Covariates</w:t>
      </w:r>
    </w:p>
    <w:p w14:paraId="348DB797" w14:textId="2873202F"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covariates 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Controls</w:t>
      </w:r>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50BC006C"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r w:rsidR="009A652A" w:rsidRPr="00B004E6">
        <w:rPr>
          <w:rFonts w:ascii="Times New Roman" w:hAnsi="Times New Roman" w:cs="Times New Roman"/>
        </w:rPr>
        <w:t>Covariates in these model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651EC944"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ecause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191000FF" w:rsidR="00EE7A4E" w:rsidRDefault="00EE7A4E" w:rsidP="0072519F">
      <w:pPr>
        <w:widowControl w:val="0"/>
        <w:spacing w:line="480" w:lineRule="auto"/>
        <w:rPr>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p>
    <w:p w14:paraId="007C1DC3" w14:textId="77777777" w:rsidR="00AB7E7F" w:rsidRDefault="003777CA" w:rsidP="0072519F">
      <w:pPr>
        <w:widowControl w:val="0"/>
        <w:spacing w:line="480" w:lineRule="auto"/>
        <w:rPr>
          <w:rFonts w:ascii="Times New Roman" w:hAnsi="Times New Roman" w:cs="Times New Roman"/>
        </w:rPr>
      </w:pPr>
      <w:r>
        <w:rPr>
          <w:rFonts w:ascii="Times New Roman" w:hAnsi="Times New Roman" w:cs="Times New Roman"/>
        </w:rP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rPr>
          <w:rFonts w:ascii="Times New Roman" w:hAnsi="Times New Roman" w:cs="Times New Roman"/>
        </w:rPr>
        <w:t xml:space="preserve"> (see Figure 3 bottom row).</w:t>
      </w:r>
      <w:r w:rsidR="00AB7E7F">
        <w:rPr>
          <w:rFonts w:ascii="Times New Roman" w:hAnsi="Times New Roman" w:cs="Times New Roman"/>
        </w:rPr>
        <w:t xml:space="preserve"> </w:t>
      </w:r>
    </w:p>
    <w:p w14:paraId="06581EE9" w14:textId="348E61E9" w:rsidR="00295049" w:rsidRPr="003150A2" w:rsidRDefault="00AB7E7F" w:rsidP="0072519F">
      <w:pPr>
        <w:widowControl w:val="0"/>
        <w:spacing w:line="480" w:lineRule="auto"/>
        <w:rPr>
          <w:rFonts w:ascii="Times New Roman" w:hAnsi="Times New Roman" w:cs="Times New Roman"/>
        </w:rPr>
      </w:pPr>
      <w:r>
        <w:rPr>
          <w:rFonts w:ascii="Times New Roman" w:hAnsi="Times New Roman" w:cs="Times New Roman"/>
        </w:rPr>
        <w:tab/>
      </w:r>
      <w:r w:rsidR="00295049">
        <w:rPr>
          <w:rFonts w:ascii="Times New Roman" w:hAnsi="Times New Roman" w:cs="Times New Roman"/>
        </w:rPr>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w:t>
      </w:r>
      <w:r w:rsidR="00D44849">
        <w:rPr>
          <w:rFonts w:ascii="Times New Roman" w:hAnsi="Times New Roman" w:cs="Times New Roman"/>
        </w:rPr>
        <w:t>2</w:t>
      </w:r>
      <w:r w:rsidR="00707510">
        <w:rPr>
          <w:rFonts w:ascii="Times New Roman" w:hAnsi="Times New Roman" w:cs="Times New Roman"/>
        </w:rPr>
        <w:t>b) rather than closes (H</w:t>
      </w:r>
      <w:r w:rsidR="00D44849">
        <w:rPr>
          <w:rFonts w:ascii="Times New Roman" w:hAnsi="Times New Roman" w:cs="Times New Roman"/>
        </w:rPr>
        <w:t>2</w:t>
      </w:r>
      <w:r w:rsidR="00707510">
        <w:rPr>
          <w:rFonts w:ascii="Times New Roman" w:hAnsi="Times New Roman" w:cs="Times New Roman"/>
        </w:rPr>
        <w:t xml:space="preserve">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72519F">
      <w:pPr>
        <w:widowControl w:val="0"/>
        <w:spacing w:line="480" w:lineRule="auto"/>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w:t>
      </w:r>
      <w:r w:rsidR="00190300">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72519F">
      <w:pPr>
        <w:widowControl w:val="0"/>
        <w:spacing w:line="480" w:lineRule="auto"/>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72519F">
      <w:pPr>
        <w:widowControl w:val="0"/>
        <w:spacing w:line="480" w:lineRule="auto"/>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r>
      <w:r w:rsidRPr="00A2697D">
        <w:rPr>
          <w:rFonts w:ascii="Times New Roman" w:hAnsi="Times New Roman" w:cs="Times New Roman"/>
          <w:i/>
          <w:iCs/>
        </w:rPr>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72519F">
      <w:pPr>
        <w:widowControl w:val="0"/>
        <w:spacing w:line="480" w:lineRule="auto"/>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CE415A">
            <w:pPr>
              <w:widowControl w:val="0"/>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CE415A">
            <w:pPr>
              <w:widowControl w:val="0"/>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CE415A">
            <w:pPr>
              <w:widowControl w:val="0"/>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CE415A">
            <w:pPr>
              <w:widowControl w:val="0"/>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CE415A">
            <w:pPr>
              <w:widowControl w:val="0"/>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CE415A">
            <w:pPr>
              <w:widowControl w:val="0"/>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CE415A">
            <w:pPr>
              <w:widowControl w:val="0"/>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67050A2D"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(top) and High-Effort News Engagement (bottom)</w:t>
      </w:r>
      <w:r w:rsidR="00750EF3">
        <w:rPr>
          <w:rFonts w:ascii="Times New Roman" w:hAnsi="Times New Roman" w:cs="Times New Roman"/>
          <w:i/>
          <w:iCs/>
        </w:rPr>
        <w:t xml:space="preserve">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91E18"/>
    <w:rsid w:val="000A0751"/>
    <w:rsid w:val="000A2A65"/>
    <w:rsid w:val="000A4BCC"/>
    <w:rsid w:val="000A4FC6"/>
    <w:rsid w:val="000A505D"/>
    <w:rsid w:val="000A7FB0"/>
    <w:rsid w:val="000B2500"/>
    <w:rsid w:val="000B55AB"/>
    <w:rsid w:val="000B599F"/>
    <w:rsid w:val="000B67FF"/>
    <w:rsid w:val="000B770D"/>
    <w:rsid w:val="000C0F20"/>
    <w:rsid w:val="000C3922"/>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847"/>
    <w:rsid w:val="002E6E42"/>
    <w:rsid w:val="002E70AA"/>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698D"/>
    <w:rsid w:val="004669F1"/>
    <w:rsid w:val="00470CAB"/>
    <w:rsid w:val="0047451C"/>
    <w:rsid w:val="00480326"/>
    <w:rsid w:val="0048035D"/>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664D"/>
    <w:rsid w:val="00A42748"/>
    <w:rsid w:val="00A43C7C"/>
    <w:rsid w:val="00A458C1"/>
    <w:rsid w:val="00A466D6"/>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3DB6"/>
    <w:rsid w:val="00C0471D"/>
    <w:rsid w:val="00C059B5"/>
    <w:rsid w:val="00C1260D"/>
    <w:rsid w:val="00C2077C"/>
    <w:rsid w:val="00C25CD3"/>
    <w:rsid w:val="00C3141F"/>
    <w:rsid w:val="00C3418C"/>
    <w:rsid w:val="00C34E6D"/>
    <w:rsid w:val="00C36E0E"/>
    <w:rsid w:val="00C370AF"/>
    <w:rsid w:val="00C403B3"/>
    <w:rsid w:val="00C40535"/>
    <w:rsid w:val="00C40B1B"/>
    <w:rsid w:val="00C46A02"/>
    <w:rsid w:val="00C60ABF"/>
    <w:rsid w:val="00C6337F"/>
    <w:rsid w:val="00C71975"/>
    <w:rsid w:val="00C71AD2"/>
    <w:rsid w:val="00C75F91"/>
    <w:rsid w:val="00C81DE1"/>
    <w:rsid w:val="00C87B40"/>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436D"/>
    <w:rsid w:val="00CC68B1"/>
    <w:rsid w:val="00CD7040"/>
    <w:rsid w:val="00CE415A"/>
    <w:rsid w:val="00CE7DEE"/>
    <w:rsid w:val="00CF1BC9"/>
    <w:rsid w:val="00CF1DC0"/>
    <w:rsid w:val="00D02AA8"/>
    <w:rsid w:val="00D0533B"/>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33</Pages>
  <Words>8985</Words>
  <Characters>48791</Characters>
  <Application>Microsoft Office Word</Application>
  <DocSecurity>0</DocSecurity>
  <Lines>6970</Lines>
  <Paragraphs>4126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753</cp:revision>
  <dcterms:created xsi:type="dcterms:W3CDTF">2022-02-25T21:32:00Z</dcterms:created>
  <dcterms:modified xsi:type="dcterms:W3CDTF">2022-05-01T05:21:00Z</dcterms:modified>
</cp:coreProperties>
</file>