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4D0FD20E"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gaps, and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72E46B30"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W</w:t>
      </w:r>
      <w:r>
        <w:rPr>
          <w:rFonts w:ascii="Times New Roman" w:hAnsi="Times New Roman" w:cs="Times New Roman"/>
        </w:rPr>
        <w:t xml:space="preserve">e argue that doing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8B54C2A"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331781">
        <w:rPr>
          <w:rFonts w:ascii="Times New Roman" w:hAnsi="Times New Roman" w:cs="Times New Roman"/>
        </w:rPr>
        <w:t xml:space="preserve">. In addition,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331781">
        <w:rPr>
          <w:rFonts w:ascii="Times New Roman" w:hAnsi="Times New Roman" w:cs="Times New Roman"/>
        </w:rPr>
        <w:t xml:space="preserve"> asserts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DE6329">
        <w:rPr>
          <w:rFonts w:ascii="Times New Roman" w:hAnsi="Times New Roman" w:cs="Times New Roman"/>
        </w:rPr>
        <w:t xml:space="preserve">. This perspective largely </w:t>
      </w:r>
      <w:r w:rsidR="00453566">
        <w:rPr>
          <w:rFonts w:ascii="Times New Roman" w:hAnsi="Times New Roman" w:cs="Times New Roman"/>
        </w:rPr>
        <w:t>parallel</w:t>
      </w:r>
      <w:r w:rsidR="00DE6329">
        <w:rPr>
          <w:rFonts w:ascii="Times New Roman" w:hAnsi="Times New Roman" w:cs="Times New Roman"/>
        </w:rPr>
        <w:t>s</w:t>
      </w:r>
      <w:r w:rsidR="00453566">
        <w:rPr>
          <w:rFonts w:ascii="Times New Roman" w:hAnsi="Times New Roman" w:cs="Times New Roman"/>
        </w:rPr>
        <w:t xml:space="preserve">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6A5D1DB1" w:rsidR="00D239C1" w:rsidRPr="00DE6329" w:rsidRDefault="00D239C1" w:rsidP="00D239C1">
      <w:pPr>
        <w:rPr>
          <w:rFonts w:ascii="Times New Roman" w:hAnsi="Times New Roman" w:cs="Times New Roman"/>
        </w:rPr>
      </w:pPr>
      <w:r>
        <w:rPr>
          <w:rFonts w:ascii="Times New Roman" w:hAnsi="Times New Roman" w:cs="Times New Roman"/>
        </w:rPr>
        <w:lastRenderedPageBreak/>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E6329">
        <w:rPr>
          <w:rFonts w:ascii="Times New Roman" w:hAnsi="Times New Roman" w:cs="Times New Roman"/>
        </w:rPr>
        <w:t>. A</w:t>
      </w:r>
      <w:r w:rsidR="00D40E1C">
        <w:rPr>
          <w:rFonts w:ascii="Times New Roman" w:hAnsi="Times New Roman" w:cs="Times New Roman"/>
        </w:rPr>
        <w:t xml:space="preserve">lthough </w:t>
      </w:r>
      <w:r w:rsidR="00DE6329">
        <w:rPr>
          <w:rFonts w:ascii="Times New Roman" w:hAnsi="Times New Roman" w:cs="Times New Roman"/>
        </w:rPr>
        <w:t xml:space="preserve">there is </w:t>
      </w:r>
      <w:r w:rsidR="00D40E1C">
        <w:rPr>
          <w:rFonts w:ascii="Times New Roman" w:hAnsi="Times New Roman" w:cs="Times New Roman"/>
        </w:rPr>
        <w:t xml:space="preserve">evidence that </w:t>
      </w:r>
      <w:r w:rsidR="00DE6329">
        <w:rPr>
          <w:rFonts w:ascii="Times New Roman" w:hAnsi="Times New Roman" w:cs="Times New Roman"/>
        </w:rPr>
        <w:t xml:space="preserve">such inequalities are not reliably producing knowledge gaps across democratic contexts, </w:t>
      </w:r>
      <w:r w:rsidR="00D40E1C">
        <w:rPr>
          <w:rFonts w:ascii="Times New Roman" w:hAnsi="Times New Roman" w:cs="Times New Roman"/>
        </w:rPr>
        <w:t xml:space="preserve">there are strong indications of </w:t>
      </w:r>
      <w:r w:rsidR="00DE6329">
        <w:rPr>
          <w:rFonts w:ascii="Times New Roman" w:hAnsi="Times New Roman" w:cs="Times New Roman"/>
        </w:rPr>
        <w:t>such</w:t>
      </w:r>
      <w:r w:rsidR="00D40E1C">
        <w:rPr>
          <w:rFonts w:ascii="Times New Roman" w:hAnsi="Times New Roman" w:cs="Times New Roman"/>
        </w:rPr>
        <w:t xml:space="preserve">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C06CF14"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and, </w:t>
      </w:r>
      <w:r w:rsidR="0012287C">
        <w:rPr>
          <w:rFonts w:ascii="Times New Roman" w:hAnsi="Times New Roman" w:cs="Times New Roman"/>
          <w:color w:val="000000" w:themeColor="text1"/>
        </w:rPr>
        <w:t>for that reason</w:t>
      </w:r>
      <w:r w:rsidR="002E0602">
        <w:rPr>
          <w:rFonts w:ascii="Times New Roman" w:hAnsi="Times New Roman" w:cs="Times New Roman"/>
          <w:color w:val="000000" w:themeColor="text1"/>
        </w:rPr>
        <w:t>,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5335DD08" w:rsidR="00E659DA" w:rsidRDefault="00861075" w:rsidP="00D239C1">
      <w:pPr>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sidR="00D239C1">
        <w:rPr>
          <w:rFonts w:ascii="Times New Roman" w:hAnsi="Times New Roman" w:cs="Times New Roman"/>
        </w:rPr>
        <w:t>), the conditions under which people cognitively and behaviorally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political knowledge and participation (Bode, 2016;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7777777" w:rsidR="002D04A5" w:rsidRDefault="0033159E" w:rsidP="00D239C1">
      <w:pPr>
        <w:ind w:firstLine="720"/>
        <w:rPr>
          <w:rFonts w:ascii="Times New Roman" w:hAnsi="Times New Roman" w:cs="Times New Roman"/>
        </w:rPr>
      </w:pPr>
      <w:r>
        <w:rPr>
          <w:rFonts w:ascii="Times New Roman" w:hAnsi="Times New Roman" w:cs="Times New Roman"/>
        </w:rPr>
        <w:t>Within the incidental exposure literature,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sidR="00D239C1">
        <w:rPr>
          <w:rFonts w:ascii="Times New Roman" w:hAnsi="Times New Roman" w:cs="Times New Roman"/>
        </w:rPr>
        <w:t>.</w:t>
      </w:r>
      <w:r w:rsidR="00814004">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D239C1">
      <w:pPr>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553F3B63"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CE7DEE">
        <w:rPr>
          <w:rFonts w:ascii="Times New Roman" w:hAnsi="Times New Roman" w:cs="Times New Roman"/>
        </w:rPr>
        <w:t>those</w:t>
      </w:r>
      <w:r>
        <w:rPr>
          <w:rFonts w:ascii="Times New Roman" w:hAnsi="Times New Roman" w:cs="Times New Roman"/>
        </w:rPr>
        <w:t xml:space="preserv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33CB5CA1"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self-reported interest in politics or the news as an antecedent factor, and generally consider incidental exposure (or its subsequent outcomes) among individuals with low interest to be evidence of equalizing effects (Barnidge, 2021). Yet, ‘news attraction’ </w:t>
      </w:r>
      <w:r w:rsidR="00E822D2">
        <w:rPr>
          <w:rFonts w:ascii="Times New Roman" w:hAnsi="Times New Roman" w:cs="Times New Roman"/>
        </w:rPr>
        <w:t>helps integrate the ‘supply-side’ of news exposure</w:t>
      </w:r>
      <w:r w:rsidR="00E822D2">
        <w:rPr>
          <w:rFonts w:ascii="Times New Roman" w:hAnsi="Times New Roman" w:cs="Times New Roman"/>
        </w:rPr>
        <w:t xml:space="preserve"> </w:t>
      </w:r>
      <w:r w:rsidR="00E822D2">
        <w:rPr>
          <w:rFonts w:ascii="Times New Roman" w:hAnsi="Times New Roman" w:cs="Times New Roman"/>
        </w:rPr>
        <w:t>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Pr>
          <w:rFonts w:ascii="Times New Roman" w:hAnsi="Times New Roman" w:cs="Times New Roman"/>
        </w:rPr>
        <w:t xml:space="preserve">. </w:t>
      </w:r>
      <w:r w:rsidR="00E822D2">
        <w:rPr>
          <w:rFonts w:ascii="Times New Roman" w:hAnsi="Times New Roman" w:cs="Times New Roman"/>
        </w:rPr>
        <w:t>We contend that using news attraction as an analytic framework can further clarify whether incidental exposure closes or widens gaps in exposure to and engagement with news and political information.</w:t>
      </w:r>
      <w:r>
        <w:rPr>
          <w:rFonts w:ascii="Times New Roman" w:hAnsi="Times New Roman" w:cs="Times New Roman"/>
        </w:rPr>
        <w:t xml:space="preserve"> </w:t>
      </w:r>
    </w:p>
    <w:p w14:paraId="1BAD5E64" w14:textId="2733E167" w:rsidR="00D50043" w:rsidRPr="00D50043" w:rsidRDefault="00D50043" w:rsidP="00D239C1">
      <w:pPr>
        <w:rPr>
          <w:rFonts w:ascii="Times New Roman" w:hAnsi="Times New Roman" w:cs="Times New Roman"/>
          <w:b/>
          <w:bCs/>
        </w:rPr>
      </w:pPr>
      <w:r w:rsidRPr="00D50043">
        <w:rPr>
          <w:rFonts w:ascii="Times New Roman" w:hAnsi="Times New Roman" w:cs="Times New Roman"/>
          <w:b/>
          <w:bCs/>
        </w:rPr>
        <w:t>Dimensions of News Attraction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r>
      <w:r w:rsidRPr="00D50043">
        <w:rPr>
          <w:rFonts w:ascii="Times New Roman" w:hAnsi="Times New Roman" w:cs="Times New Roman"/>
          <w:highlight w:val="yellow"/>
        </w:rPr>
        <w:t>T</w:t>
      </w:r>
      <w:r>
        <w:rPr>
          <w:rFonts w:ascii="Times New Roman" w:hAnsi="Times New Roman" w:cs="Times New Roman"/>
        </w:rPr>
        <w: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Pr="005451E4">
        <w:rPr>
          <w:rFonts w:ascii="Times New Roman" w:hAnsi="Times New Roman" w:cs="Times New Roman"/>
          <w:highlight w:val="yellow"/>
        </w:rPr>
        <w:t>the force that results from user interactions with social media platforms, and which affects the likelihood of encountering news or political information on those platforms</w:t>
      </w:r>
      <w:r>
        <w:rPr>
          <w:rFonts w:ascii="Times New Roman" w:hAnsi="Times New Roman" w:cs="Times New Roman"/>
        </w:rPr>
        <w:t>.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1448A09D" w:rsidR="00D239C1" w:rsidRDefault="00D239C1" w:rsidP="00D239C1">
      <w:pPr>
        <w:rPr>
          <w:rFonts w:ascii="Times New Roman" w:hAnsi="Times New Roman" w:cs="Times New Roman"/>
        </w:rPr>
      </w:pPr>
      <w:r>
        <w:rPr>
          <w:rFonts w:ascii="Times New Roman" w:hAnsi="Times New Roman" w:cs="Times New Roman"/>
        </w:rPr>
        <w:tab/>
      </w:r>
      <w:r w:rsidRPr="00D50043">
        <w:rPr>
          <w:rFonts w:ascii="Times New Roman" w:hAnsi="Times New Roman" w:cs="Times New Roman"/>
          <w:highlight w:val="yellow"/>
        </w:rPr>
        <w:t>T</w:t>
      </w:r>
      <w:r>
        <w:rPr>
          <w:rFonts w:ascii="Times New Roman" w:hAnsi="Times New Roman" w:cs="Times New Roman"/>
        </w:rPr>
        <w:t xml:space="preserve">heoretically, news attraction should have a reciprocal relationship with both news exposure and news engagement (see </w:t>
      </w:r>
      <w:r w:rsidRPr="00D50043">
        <w:rPr>
          <w:rFonts w:ascii="Times New Roman" w:hAnsi="Times New Roman" w:cs="Times New Roman"/>
          <w:highlight w:val="yellow"/>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generalized news consumption</w:t>
      </w:r>
      <w:r w:rsidR="00AD7757">
        <w:rPr>
          <w:rFonts w:ascii="Times New Roman" w:hAnsi="Times New Roman" w:cs="Times New Roman"/>
        </w:rPr>
        <w:t xml:space="preserve"> habits</w:t>
      </w:r>
      <w:r>
        <w:rPr>
          <w:rFonts w:ascii="Times New Roman" w:hAnsi="Times New Roman" w:cs="Times New Roman"/>
        </w:rPr>
        <w:t>.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6DC6154B" w:rsidR="00D239C1" w:rsidRDefault="00D239C1" w:rsidP="00D239C1">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1A7CABA5" w:rsidR="00D239C1" w:rsidRDefault="00D239C1" w:rsidP="00D239C1">
      <w:pPr>
        <w:rPr>
          <w:rFonts w:ascii="Times New Roman" w:hAnsi="Times New Roman" w:cs="Times New Roman"/>
        </w:rPr>
      </w:pPr>
      <w:r>
        <w:rPr>
          <w:rFonts w:ascii="Times New Roman" w:hAnsi="Times New Roman" w:cs="Times New Roman"/>
        </w:rPr>
        <w:tab/>
        <w:t>Similarly, if incidental exposure closes gaps</w:t>
      </w:r>
      <w:r w:rsidR="00B46FFC">
        <w:rPr>
          <w:rFonts w:ascii="Times New Roman" w:hAnsi="Times New Roman" w:cs="Times New Roman"/>
        </w:rPr>
        <w:t xml:space="preserve"> in </w:t>
      </w:r>
      <w:r w:rsidR="00B46FFC" w:rsidRPr="00B46FFC">
        <w:rPr>
          <w:rFonts w:ascii="Times New Roman" w:hAnsi="Times New Roman" w:cs="Times New Roman"/>
          <w:highlight w:val="yellow"/>
        </w:rPr>
        <w:t>engagement with news</w:t>
      </w:r>
      <w:r>
        <w:rPr>
          <w:rFonts w:ascii="Times New Roman" w:hAnsi="Times New Roman" w:cs="Times New Roman"/>
        </w:rPr>
        <w:t xml:space="preserve">, then we would expect to observe an interaction effect between incidental exposure and news attraction—that is, people who are low in news attraction but high in incidental exposure should have roughly equal levels of engagement to those who are high in news exposure. </w:t>
      </w:r>
      <w:r w:rsidR="00B46FFC" w:rsidRPr="00B46FFC">
        <w:rPr>
          <w:rFonts w:ascii="Times New Roman" w:hAnsi="Times New Roman" w:cs="Times New Roman"/>
          <w:highlight w:val="yellow"/>
        </w:rPr>
        <w:t>This prediction is based on the assumption that incidental exposure is providing users with opportunities to engage regardless of how fundamentally ‘attractive’ they are to news content.</w:t>
      </w:r>
      <w:r w:rsidR="00B46FFC">
        <w:rPr>
          <w:rFonts w:ascii="Times New Roman" w:hAnsi="Times New Roman" w:cs="Times New Roman"/>
        </w:rPr>
        <w:t xml:space="preserve"> </w:t>
      </w:r>
      <w:r>
        <w:rPr>
          <w:rFonts w:ascii="Times New Roman" w:hAnsi="Times New Roman" w:cs="Times New Roman"/>
        </w:rPr>
        <w:t>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234336CC"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 and </w:t>
      </w:r>
      <w:r w:rsidR="00214539">
        <w:rPr>
          <w:rFonts w:ascii="Times New Roman" w:hAnsi="Times New Roman" w:cs="Times New Roman"/>
        </w:rPr>
        <w:t xml:space="preserve">then </w:t>
      </w:r>
      <w:r w:rsidR="005451E4">
        <w:rPr>
          <w:rFonts w:ascii="Times New Roman" w:hAnsi="Times New Roman" w:cs="Times New Roman"/>
        </w:rPr>
        <w:t>validated those data with</w:t>
      </w:r>
      <w:r w:rsidR="00214539">
        <w:rPr>
          <w:rFonts w:ascii="Times New Roman" w:hAnsi="Times New Roman" w:cs="Times New Roman"/>
        </w:rPr>
        <w:t xml:space="preserve"> </w:t>
      </w:r>
      <w:r w:rsidR="005451E4" w:rsidRPr="002461D5">
        <w:rPr>
          <w:rFonts w:ascii="Times New Roman" w:hAnsi="Times New Roman" w:cs="Times New Roman"/>
        </w:rPr>
        <w:t>Facebook’s proprietary platform</w:t>
      </w:r>
      <w:r w:rsidR="005451E4">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00214539">
        <w:rPr>
          <w:rFonts w:ascii="Times New Roman" w:hAnsi="Times New Roman" w:cs="Times New Roman"/>
        </w:rPr>
        <w:t>, by cross-checking the most popular stories</w:t>
      </w:r>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12B601D2"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 xml:space="preserve">Prior literature suggests that news exposure has both </w:t>
      </w:r>
      <w:r w:rsidR="004444DE" w:rsidRPr="00BF430A">
        <w:rPr>
          <w:rFonts w:ascii="Times New Roman" w:hAnsi="Times New Roman" w:cs="Times New Roman"/>
          <w:highlight w:val="yellow"/>
        </w:rPr>
        <w:t>‘trait-like’ and ‘state-like’</w:t>
      </w:r>
      <w:r w:rsidR="004444DE">
        <w:rPr>
          <w:rFonts w:ascii="Times New Roman" w:hAnsi="Times New Roman" w:cs="Times New Roman"/>
        </w:rPr>
        <w:t xml:space="preserv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t>
      </w:r>
      <w:r w:rsidR="00A57184">
        <w:rPr>
          <w:rFonts w:ascii="Times New Roman" w:hAnsi="Times New Roman" w:cs="Times New Roman"/>
        </w:rPr>
        <w:t>our study design allow</w:t>
      </w:r>
      <w:r w:rsidR="00A57184">
        <w:rPr>
          <w:rFonts w:ascii="Times New Roman" w:hAnsi="Times New Roman" w:cs="Times New Roman"/>
        </w:rPr>
        <w:t>s</w:t>
      </w:r>
      <w:r w:rsidR="00A57184">
        <w:rPr>
          <w:rFonts w:ascii="Times New Roman" w:hAnsi="Times New Roman" w:cs="Times New Roman"/>
        </w:rPr>
        <w:t xml:space="preserve"> us to include both</w:t>
      </w:r>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9DD1D39"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048DF852" w:rsidR="00FB2273" w:rsidRDefault="005F6F2D" w:rsidP="008E7B98">
      <w:pPr>
        <w:rPr>
          <w:rFonts w:ascii="Times New Roman" w:hAnsi="Times New Roman" w:cs="Times New Roman"/>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7618A83"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w:t>
      </w:r>
      <w:r w:rsidR="00BF430A">
        <w:rPr>
          <w:rFonts w:ascii="Times New Roman" w:hAnsi="Times New Roman" w:cs="Times New Roman"/>
        </w:rPr>
        <w:t xml:space="preserve">story </w:t>
      </w:r>
      <w:r>
        <w:rPr>
          <w:rFonts w:ascii="Times New Roman" w:hAnsi="Times New Roman" w:cs="Times New Roman"/>
        </w:rPr>
        <w:t xml:space="preserve">exposure were asked a series of additional follow-up questions, from which our </w:t>
      </w:r>
      <w:r w:rsidR="00BF430A">
        <w:rPr>
          <w:rFonts w:ascii="Times New Roman" w:hAnsi="Times New Roman" w:cs="Times New Roman"/>
        </w:rPr>
        <w:t xml:space="preserve">‘state-like’ </w:t>
      </w:r>
      <w:r>
        <w:rPr>
          <w:rFonts w:ascii="Times New Roman" w:hAnsi="Times New Roman" w:cs="Times New Roman"/>
        </w:rPr>
        <w:t xml:space="preserve">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001D3277">
        <w:rPr>
          <w:rFonts w:ascii="Times New Roman" w:hAnsi="Times New Roman" w:cs="Times New Roman"/>
          <w:i/>
          <w:iCs/>
        </w:rPr>
        <w:t>Purposeful</w:t>
      </w:r>
      <w:r>
        <w:rPr>
          <w:rFonts w:ascii="Times New Roman" w:hAnsi="Times New Roman" w:cs="Times New Roman"/>
        </w:rPr>
        <w:t xml:space="preserve"> and 0 = </w:t>
      </w:r>
      <w:r w:rsidR="001D3277">
        <w:rPr>
          <w:rFonts w:ascii="Times New Roman" w:hAnsi="Times New Roman" w:cs="Times New Roman"/>
          <w:i/>
          <w:iCs/>
        </w:rPr>
        <w:t>Incidental</w:t>
      </w:r>
      <w:r>
        <w:rPr>
          <w:rFonts w:ascii="Times New Roman" w:hAnsi="Times New Roman" w:cs="Times New Roman"/>
        </w:rPr>
        <w:t xml:space="preserve">; 54% of subset and 23% of full sample said </w:t>
      </w:r>
      <w:r w:rsidR="00CA4C88">
        <w:rPr>
          <w:rFonts w:ascii="Times New Roman" w:hAnsi="Times New Roman" w:cs="Times New Roman"/>
        </w:rPr>
        <w:t>‘purposeful’</w:t>
      </w:r>
      <w:r>
        <w:rPr>
          <w:rFonts w:ascii="Times New Roman" w:hAnsi="Times New Roman" w:cs="Times New Roman"/>
        </w:rPr>
        <w:t>).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7A41146A"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r w:rsidR="00D0533B">
        <w:rPr>
          <w:rFonts w:ascii="Times New Roman" w:hAnsi="Times New Roman" w:cs="Times New Roman"/>
        </w:rPr>
        <w:t xml:space="preserve">Finally, social news curation is a concept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w:t>
      </w:r>
      <w:r w:rsidR="00CB598A">
        <w:rPr>
          <w:rFonts w:ascii="Times New Roman" w:hAnsi="Times New Roman" w:cs="Times New Roman"/>
        </w:rPr>
        <w:t>‘</w:t>
      </w:r>
      <w:r w:rsidR="00D0533B">
        <w:rPr>
          <w:rFonts w:ascii="Times New Roman" w:hAnsi="Times New Roman" w:cs="Times New Roman"/>
        </w:rPr>
        <w:t>curated flows.</w:t>
      </w:r>
      <w:r w:rsidR="00CB598A">
        <w:rPr>
          <w:rFonts w:ascii="Times New Roman" w:hAnsi="Times New Roman" w:cs="Times New Roman"/>
        </w:rPr>
        <w:t>’</w:t>
      </w:r>
      <w:r w:rsidR="00D0533B">
        <w:rPr>
          <w:rFonts w:ascii="Times New Roman" w:hAnsi="Times New Roman" w:cs="Times New Roman"/>
        </w:rPr>
        <w:t xml:space="preserve">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w:t>
      </w:r>
      <w:r w:rsidR="00CB598A">
        <w:rPr>
          <w:rFonts w:ascii="Times New Roman" w:hAnsi="Times New Roman" w:cs="Times New Roman"/>
        </w:rPr>
        <w:t xml:space="preserve">; </w:t>
      </w:r>
      <w:r w:rsidR="00CB598A" w:rsidRPr="00CB598A">
        <w:rPr>
          <w:rFonts w:ascii="Times New Roman" w:hAnsi="Times New Roman" w:cs="Times New Roman"/>
          <w:i/>
          <w:iCs/>
        </w:rPr>
        <w:t>M</w:t>
      </w:r>
      <w:r w:rsidR="00CB598A">
        <w:rPr>
          <w:rFonts w:ascii="Times New Roman" w:hAnsi="Times New Roman" w:cs="Times New Roman"/>
        </w:rPr>
        <w:t xml:space="preserve"> = </w:t>
      </w:r>
      <w:r w:rsidR="00D0533B" w:rsidRPr="00CB598A">
        <w:rPr>
          <w:rFonts w:ascii="Times New Roman" w:hAnsi="Times New Roman" w:cs="Times New Roman"/>
        </w:rPr>
        <w:t>2</w:t>
      </w:r>
      <w:r w:rsidR="00D0533B">
        <w:rPr>
          <w:rFonts w:ascii="Times New Roman" w:hAnsi="Times New Roman" w:cs="Times New Roman"/>
        </w:rPr>
        <w:t>.9</w:t>
      </w:r>
      <w:r w:rsidR="00CB598A">
        <w:rPr>
          <w:rFonts w:ascii="Times New Roman" w:hAnsi="Times New Roman" w:cs="Times New Roman"/>
        </w:rPr>
        <w:t xml:space="preserve">,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268ACF38" w:rsidR="00500D0B" w:rsidRDefault="00FB531A" w:rsidP="008E7B98">
      <w:pPr>
        <w:rPr>
          <w:rFonts w:ascii="Times New Roman" w:hAnsi="Times New Roman" w:cs="Times New Roman"/>
        </w:rPr>
      </w:pPr>
      <w:r>
        <w:rPr>
          <w:rFonts w:ascii="Times New Roman" w:hAnsi="Times New Roman" w:cs="Times New Roman"/>
        </w:rPr>
        <w:tab/>
        <w:t xml:space="preserve">Prior research has shown that social networks structures are predictors of incidental exposure, and they </w:t>
      </w:r>
      <w:r w:rsidR="006A4E19">
        <w:rPr>
          <w:rFonts w:ascii="Times New Roman" w:hAnsi="Times New Roman" w:cs="Times New Roman"/>
        </w:rPr>
        <w:t xml:space="preserve">are </w:t>
      </w:r>
      <w:r>
        <w:rPr>
          <w:rFonts w:ascii="Times New Roman" w:hAnsi="Times New Roman" w:cs="Times New Roman"/>
        </w:rPr>
        <w:t>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sidRPr="00BB1D90">
        <w:rPr>
          <w:rFonts w:ascii="Times New Roman" w:hAnsi="Times New Roman" w:cs="Times New Roman"/>
          <w:b/>
          <w:bCs/>
          <w:highlight w:val="yellow"/>
        </w:rPr>
        <w:t>Latent Class Analysis</w:t>
      </w:r>
    </w:p>
    <w:p w14:paraId="7D0A7FDD" w14:textId="192FC54D"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w:t>
      </w:r>
      <w:r w:rsidR="006D76E3">
        <w:rPr>
          <w:rFonts w:ascii="Times New Roman" w:hAnsi="Times New Roman" w:cs="Times New Roman"/>
        </w:rPr>
        <w:t>news attraction</w:t>
      </w:r>
      <w:r>
        <w:rPr>
          <w:rFonts w:ascii="Times New Roman" w:hAnsi="Times New Roman" w:cs="Times New Roman"/>
        </w:rPr>
        <w:t xml:space="preserve">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w:t>
      </w:r>
      <w:r w:rsidR="005115E6">
        <w:rPr>
          <w:rFonts w:ascii="Times New Roman" w:hAnsi="Times New Roman" w:cs="Times New Roman"/>
        </w:rPr>
        <w:t>news attraction</w:t>
      </w:r>
      <w:r>
        <w:rPr>
          <w:rFonts w:ascii="Times New Roman" w:hAnsi="Times New Roman" w:cs="Times New Roman"/>
        </w:rPr>
        <w:t xml:space="preserve">. To establish the best number of latent classes, we compared the fit statistics for models ranging from 2 to 5 classes, using the BIC as the primary criterion for model selection (lower BIC indicates better model fit). </w:t>
      </w:r>
      <w:r w:rsidRPr="00045DC7">
        <w:rPr>
          <w:rFonts w:ascii="Times New Roman" w:hAnsi="Times New Roman" w:cs="Times New Roman"/>
          <w:highlight w:val="yellow"/>
        </w:rPr>
        <w:t xml:space="preserve">The BIC is generally better than </w:t>
      </w:r>
      <w:r w:rsidRPr="00045DC7">
        <w:rPr>
          <w:rFonts w:ascii="Times New Roman" w:hAnsi="Times New Roman" w:cs="Times New Roman"/>
          <w:i/>
          <w:iCs/>
          <w:highlight w:val="yellow"/>
        </w:rPr>
        <w:t>G</w:t>
      </w:r>
      <w:r w:rsidRPr="00045DC7">
        <w:rPr>
          <w:rFonts w:ascii="Times New Roman" w:hAnsi="Times New Roman" w:cs="Times New Roman"/>
          <w:highlight w:val="yellow"/>
          <w:vertAlign w:val="superscript"/>
        </w:rPr>
        <w:t xml:space="preserve">2 </w:t>
      </w:r>
      <w:r w:rsidRPr="00045DC7">
        <w:rPr>
          <w:rFonts w:ascii="Times New Roman" w:hAnsi="Times New Roman" w:cs="Times New Roman"/>
          <w:highlight w:val="yellow"/>
        </w:rPr>
        <w:t>or χ</w:t>
      </w:r>
      <w:r w:rsidRPr="00045DC7">
        <w:rPr>
          <w:rFonts w:ascii="Times New Roman" w:hAnsi="Times New Roman" w:cs="Times New Roman"/>
          <w:highlight w:val="yellow"/>
          <w:vertAlign w:val="superscript"/>
        </w:rPr>
        <w:t xml:space="preserve">2 </w:t>
      </w:r>
      <w:r w:rsidRPr="00045DC7">
        <w:rPr>
          <w:rFonts w:ascii="Times New Roman" w:hAnsi="Times New Roman" w:cs="Times New Roman"/>
          <w:highlight w:val="yellow"/>
        </w:rPr>
        <w:t>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w:t>
      </w:r>
      <w:r>
        <w:rPr>
          <w:rFonts w:ascii="Times New Roman" w:hAnsi="Times New Roman" w:cs="Times New Roman"/>
        </w:rPr>
        <w:t xml:space="preserve">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6D3A786B" w:rsidR="002A5D80" w:rsidRDefault="002A5D80" w:rsidP="002A5D80">
      <w:pPr>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sidRPr="00BB1D90">
        <w:rPr>
          <w:rFonts w:ascii="Times New Roman" w:hAnsi="Times New Roman" w:cs="Times New Roman"/>
          <w:highlight w:val="yellow"/>
        </w:rPr>
        <w:t>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w:t>
      </w:r>
      <w:r w:rsidR="004B3726">
        <w:rPr>
          <w:rFonts w:ascii="Times New Roman" w:hAnsi="Times New Roman" w:cs="Times New Roman"/>
        </w:rPr>
        <w:t xml:space="preserv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1570CC14"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BB1D90">
        <w:rPr>
          <w:rFonts w:ascii="Times New Roman" w:hAnsi="Times New Roman" w:cs="Times New Roman"/>
        </w:rPr>
        <w:t>Again, b</w:t>
      </w:r>
      <w:r w:rsidR="002D05EB">
        <w:rPr>
          <w:rFonts w:ascii="Times New Roman" w:hAnsi="Times New Roman" w:cs="Times New Roman"/>
        </w:rPr>
        <w:t>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w:t>
      </w:r>
      <w:r w:rsidR="006B3768" w:rsidRPr="00C60ABF">
        <w:rPr>
          <w:rFonts w:ascii="Times New Roman" w:hAnsi="Times New Roman" w:cs="Times New Roman"/>
          <w:highlight w:val="yellow"/>
        </w:rPr>
        <w:t xml:space="preserve">Figure </w:t>
      </w:r>
      <w:r w:rsidR="00CF1BC9" w:rsidRPr="00C60ABF">
        <w:rPr>
          <w:rFonts w:ascii="Times New Roman" w:hAnsi="Times New Roman" w:cs="Times New Roman"/>
          <w:highlight w:val="yellow"/>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1DBB8F45" w:rsidR="00672B71" w:rsidRDefault="00722034" w:rsidP="00295049">
      <w:pPr>
        <w:rPr>
          <w:rFonts w:ascii="Times New Roman" w:hAnsi="Times New Roman" w:cs="Times New Roman"/>
        </w:rPr>
      </w:pPr>
      <w:r>
        <w:rPr>
          <w:rFonts w:ascii="Times New Roman" w:hAnsi="Times New Roman" w:cs="Times New Roman"/>
        </w:rPr>
        <w:tab/>
        <w:t>On the other hand, results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696C58CE" w:rsidR="00EE7A4E" w:rsidRDefault="00295049" w:rsidP="00EE7A4E">
      <w:pPr>
        <w:rPr>
          <w:rFonts w:ascii="Times New Roman" w:hAnsi="Times New Roman" w:cs="Times New Roman"/>
        </w:rPr>
      </w:pPr>
      <w:r>
        <w:rPr>
          <w:rFonts w:ascii="Times New Roman" w:hAnsi="Times New Roman" w:cs="Times New Roman"/>
        </w:rPr>
        <w:tab/>
      </w:r>
      <w:r w:rsidR="00C60ABF">
        <w:rPr>
          <w:rFonts w:ascii="Times New Roman" w:hAnsi="Times New Roman" w:cs="Times New Roman"/>
        </w:rPr>
        <w:t xml:space="preserve">If incidental exposure closes gaps in </w:t>
      </w:r>
      <w:r w:rsidR="00C60ABF">
        <w:rPr>
          <w:rFonts w:ascii="Times New Roman" w:hAnsi="Times New Roman" w:cs="Times New Roman"/>
          <w:i/>
          <w:iCs/>
        </w:rPr>
        <w:t xml:space="preserve">engagement </w:t>
      </w:r>
      <w:r w:rsidR="00C60ABF">
        <w:rPr>
          <w:rFonts w:ascii="Times New Roman" w:hAnsi="Times New Roman" w:cs="Times New Roman"/>
        </w:rPr>
        <w:t xml:space="preserve">with the news, those who are more frequently incidentally exposed to news should engage with news content, regardless of how </w:t>
      </w:r>
      <w:r w:rsidR="00C60ABF">
        <w:rPr>
          <w:rFonts w:ascii="Times New Roman" w:hAnsi="Times New Roman" w:cs="Times New Roman"/>
        </w:rPr>
        <w:t>‘</w:t>
      </w:r>
      <w:r w:rsidR="00C60ABF">
        <w:rPr>
          <w:rFonts w:ascii="Times New Roman" w:hAnsi="Times New Roman" w:cs="Times New Roman"/>
        </w:rPr>
        <w:t>attractive</w:t>
      </w:r>
      <w:r w:rsidR="00C60ABF">
        <w:rPr>
          <w:rFonts w:ascii="Times New Roman" w:hAnsi="Times New Roman" w:cs="Times New Roman"/>
        </w:rPr>
        <w:t>’</w:t>
      </w:r>
      <w:r w:rsidR="00C60ABF">
        <w:rPr>
          <w:rFonts w:ascii="Times New Roman" w:hAnsi="Times New Roman" w:cs="Times New Roman"/>
        </w:rPr>
        <w:t xml:space="preserve"> they are to news. Specifically, when incidental exposure is high, those in groups lower in news attraction should be engaging at comparable rates to those who are high in news attraction.</w:t>
      </w:r>
      <w:r w:rsidR="00EE7A4E">
        <w:rPr>
          <w:rFonts w:ascii="Times New Roman" w:hAnsi="Times New Roman" w:cs="Times New Roman"/>
        </w:rPr>
        <w:t xml:space="preserv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9D0698">
        <w:rPr>
          <w:rFonts w:ascii="Times New Roman" w:hAnsi="Times New Roman" w:cs="Times New Roman"/>
          <w:highlight w:val="yellow"/>
        </w:rPr>
        <w:t>Using this method, we can compare the group differences between those who report purposeful and incidental exposure.</w:t>
      </w:r>
      <w:r w:rsidR="00DF4E62">
        <w:rPr>
          <w:rFonts w:ascii="Times New Roman" w:hAnsi="Times New Roman" w:cs="Times New Roman"/>
        </w:rPr>
        <w:t xml:space="preserv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1960E4C2"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w:t>
      </w:r>
      <w:r w:rsidR="009D0698">
        <w:rPr>
          <w:rFonts w:ascii="Times New Roman" w:hAnsi="Times New Roman" w:cs="Times New Roman"/>
        </w:rPr>
        <w:t xml:space="preserve"> appears to</w:t>
      </w:r>
      <w:r w:rsidR="00707510">
        <w:rPr>
          <w:rFonts w:ascii="Times New Roman" w:hAnsi="Times New Roman" w:cs="Times New Roman"/>
        </w:rPr>
        <w:t xml:space="preserve"> </w:t>
      </w:r>
      <w:r w:rsidR="009D0698" w:rsidRPr="009D0698">
        <w:rPr>
          <w:rFonts w:ascii="Times New Roman" w:hAnsi="Times New Roman" w:cs="Times New Roman"/>
          <w:i/>
          <w:iCs/>
        </w:rPr>
        <w:t>widen</w:t>
      </w:r>
      <w:r w:rsidR="00707510">
        <w:rPr>
          <w:rFonts w:ascii="Times New Roman" w:hAnsi="Times New Roman" w:cs="Times New Roman"/>
        </w:rPr>
        <w:t xml:space="preserve">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7EA8F2F9" w:rsidR="00AA7700" w:rsidRPr="00B34C07" w:rsidRDefault="000F5698" w:rsidP="000F5698">
      <w:pPr>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827835">
      <w:pPr>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3F4B13A3" w:rsidR="00D3680D" w:rsidRDefault="00D3680D" w:rsidP="00827835">
      <w:pPr>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xml:space="preserve">. Supplemental analyses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 (</w:t>
      </w:r>
      <w:r w:rsidR="00AD051D">
        <w:rPr>
          <w:rFonts w:ascii="Times New Roman" w:hAnsi="Times New Roman" w:cs="Times New Roman"/>
          <w:i/>
          <w:iCs/>
        </w:rPr>
        <w:t>F</w:t>
      </w:r>
      <w:r w:rsidR="00AD051D">
        <w:rPr>
          <w:rFonts w:ascii="Times New Roman" w:hAnsi="Times New Roman" w:cs="Times New Roman"/>
        </w:rPr>
        <w:t xml:space="preserve"> = 27.77, </w:t>
      </w:r>
      <w:r w:rsidR="00AD051D">
        <w:rPr>
          <w:rFonts w:ascii="Times New Roman" w:hAnsi="Times New Roman" w:cs="Times New Roman"/>
          <w:i/>
          <w:iCs/>
        </w:rPr>
        <w:t>p</w:t>
      </w:r>
      <w:r w:rsidR="00AD051D">
        <w:rPr>
          <w:rFonts w:ascii="Times New Roman" w:hAnsi="Times New Roman" w:cs="Times New Roman"/>
        </w:rPr>
        <w:t xml:space="preserve"> &lt; .001) and income (</w:t>
      </w:r>
      <w:r w:rsidR="00AD051D">
        <w:rPr>
          <w:rFonts w:ascii="Times New Roman" w:hAnsi="Times New Roman" w:cs="Times New Roman"/>
          <w:i/>
          <w:iCs/>
        </w:rPr>
        <w:t>F</w:t>
      </w:r>
      <w:r w:rsidR="00AD051D">
        <w:rPr>
          <w:rFonts w:ascii="Times New Roman" w:hAnsi="Times New Roman" w:cs="Times New Roman"/>
        </w:rPr>
        <w:t xml:space="preserve"> = </w:t>
      </w:r>
      <w:r w:rsidR="00AD051D" w:rsidRPr="00AD051D">
        <w:rPr>
          <w:rFonts w:ascii="Times New Roman" w:hAnsi="Times New Roman" w:cs="Times New Roman"/>
        </w:rPr>
        <w:t>35.48</w:t>
      </w:r>
      <w:r w:rsidR="00AD051D">
        <w:rPr>
          <w:rFonts w:ascii="Times New Roman" w:hAnsi="Times New Roman" w:cs="Times New Roman"/>
        </w:rPr>
        <w:t xml:space="preserve">, </w:t>
      </w:r>
      <w:r w:rsidR="00AD051D">
        <w:rPr>
          <w:rFonts w:ascii="Times New Roman" w:hAnsi="Times New Roman" w:cs="Times New Roman"/>
          <w:i/>
          <w:iCs/>
        </w:rPr>
        <w:t xml:space="preserve">p </w:t>
      </w:r>
      <w:r w:rsidR="00AD051D">
        <w:rPr>
          <w:rFonts w:ascii="Times New Roman" w:hAnsi="Times New Roman" w:cs="Times New Roman"/>
        </w:rPr>
        <w:t>&lt; .001)</w:t>
      </w:r>
      <w:r w:rsidR="00921668">
        <w:rPr>
          <w:rFonts w:ascii="Times New Roman" w:hAnsi="Times New Roman" w:cs="Times New Roman"/>
        </w:rPr>
        <w:t xml:space="preserve">, where all post-hoc tests (Tukey) differences between pairs of groups are statistically significant with at least </w:t>
      </w:r>
      <w:r w:rsidR="00921668">
        <w:rPr>
          <w:rFonts w:ascii="Times New Roman" w:hAnsi="Times New Roman" w:cs="Times New Roman"/>
          <w:i/>
          <w:iCs/>
        </w:rPr>
        <w:t xml:space="preserve">p </w:t>
      </w:r>
      <w:r w:rsidR="00921668">
        <w:rPr>
          <w:rFonts w:ascii="Times New Roman" w:hAnsi="Times New Roman" w:cs="Times New Roman"/>
        </w:rPr>
        <w:t xml:space="preserve">&lt; .01. The difference between the low- and high-attraction groups is 1.21 for education (measured on a 7-point scale) and 1.76 for income (8-point scale). </w:t>
      </w:r>
      <w:r w:rsidR="00590CE8">
        <w:rPr>
          <w:rFonts w:ascii="Times New Roman" w:hAnsi="Times New Roman" w:cs="Times New Roman"/>
        </w:rPr>
        <w:t>Further, there are significant differences in terms of race (</w:t>
      </w:r>
      <w:r w:rsidR="00590CE8" w:rsidRPr="00590CE8">
        <w:rPr>
          <w:rFonts w:ascii="Times New Roman" w:hAnsi="Times New Roman" w:cs="Times New Roman"/>
        </w:rPr>
        <w:t>χ²</w:t>
      </w:r>
      <w:r w:rsidR="00590CE8">
        <w:rPr>
          <w:rFonts w:ascii="Times New Roman" w:hAnsi="Times New Roman" w:cs="Times New Roman"/>
        </w:rPr>
        <w:t xml:space="preserve"> = </w:t>
      </w:r>
      <w:r w:rsidR="00590CE8" w:rsidRPr="00590CE8">
        <w:rPr>
          <w:rFonts w:ascii="Times New Roman" w:hAnsi="Times New Roman" w:cs="Times New Roman"/>
        </w:rPr>
        <w:t>20.64</w:t>
      </w:r>
      <w:r w:rsidR="00590CE8">
        <w:rPr>
          <w:rFonts w:ascii="Times New Roman" w:hAnsi="Times New Roman" w:cs="Times New Roman"/>
        </w:rPr>
        <w:t xml:space="preserve">, </w:t>
      </w:r>
      <w:r w:rsidR="00590CE8">
        <w:rPr>
          <w:rFonts w:ascii="Times New Roman" w:hAnsi="Times New Roman" w:cs="Times New Roman"/>
          <w:i/>
          <w:iCs/>
        </w:rPr>
        <w:t>p</w:t>
      </w:r>
      <w:r w:rsidR="00590CE8">
        <w:rPr>
          <w:rFonts w:ascii="Times New Roman" w:hAnsi="Times New Roman" w:cs="Times New Roman"/>
        </w:rPr>
        <w:t xml:space="preserve"> &lt; .001</w:t>
      </w:r>
      <w:r w:rsidR="005365B4">
        <w:rPr>
          <w:rFonts w:ascii="Times New Roman" w:hAnsi="Times New Roman" w:cs="Times New Roman"/>
        </w:rPr>
        <w:t>; Cramer’s V = .10</w:t>
      </w:r>
      <w:r w:rsidR="00590CE8">
        <w:rPr>
          <w:rFonts w:ascii="Times New Roman" w:hAnsi="Times New Roman" w:cs="Times New Roman"/>
        </w:rPr>
        <w:t>)</w:t>
      </w:r>
      <w:r w:rsidR="005365B4">
        <w:rPr>
          <w:rFonts w:ascii="Times New Roman" w:hAnsi="Times New Roman" w:cs="Times New Roman"/>
        </w:rPr>
        <w:t xml:space="preserve"> and gender (</w:t>
      </w:r>
      <w:r w:rsidR="005365B4" w:rsidRPr="00590CE8">
        <w:rPr>
          <w:rFonts w:ascii="Times New Roman" w:hAnsi="Times New Roman" w:cs="Times New Roman"/>
        </w:rPr>
        <w:t>χ²</w:t>
      </w:r>
      <w:r w:rsidR="005365B4">
        <w:rPr>
          <w:rFonts w:ascii="Times New Roman" w:hAnsi="Times New Roman" w:cs="Times New Roman"/>
        </w:rPr>
        <w:t xml:space="preserve"> = 71.95, </w:t>
      </w:r>
      <w:r w:rsidR="005365B4">
        <w:rPr>
          <w:rFonts w:ascii="Times New Roman" w:hAnsi="Times New Roman" w:cs="Times New Roman"/>
          <w:i/>
          <w:iCs/>
        </w:rPr>
        <w:t>p</w:t>
      </w:r>
      <w:r w:rsidR="005365B4">
        <w:rPr>
          <w:rFonts w:ascii="Times New Roman" w:hAnsi="Times New Roman" w:cs="Times New Roman"/>
        </w:rPr>
        <w:t xml:space="preserve"> &lt; .001; Cramer’s V = .19)</w:t>
      </w:r>
      <w:r w:rsidR="00590CE8">
        <w:rPr>
          <w:rFonts w:ascii="Times New Roman" w:hAnsi="Times New Roman" w:cs="Times New Roman"/>
        </w:rPr>
        <w:t xml:space="preserve">, such that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(26% </w:t>
      </w:r>
      <w:r w:rsidR="005365B4">
        <w:rPr>
          <w:rFonts w:ascii="Times New Roman" w:hAnsi="Times New Roman" w:cs="Times New Roman"/>
        </w:rPr>
        <w:t>people of color an 27% women) than they are in the low-attraction group (44% people of color and 58% women).</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50F136B1" w:rsidR="00EB1E04" w:rsidRDefault="00125171" w:rsidP="005C13CE">
      <w:pPr>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 xml:space="preserve">using self-reported interest as the sole predictor. To demonstrate this difference, </w:t>
      </w:r>
      <w:r w:rsidR="005C13CE">
        <w:rPr>
          <w:rFonts w:ascii="Times New Roman" w:hAnsi="Times New Roman" w:cs="Times New Roman"/>
        </w:rPr>
        <w:t xml:space="preserve">we re-ran all regression analyses using only self-reported interest as a primary predictor, as this variable has received the most attention both theoretically and empirically from prior literature (e.g., Barnidge, 2021; Thorson et al., 2021). Results are both less robust and less rich in terms of their descriptive capacity. Whereas our analysis of the </w:t>
      </w:r>
      <w:r w:rsidR="002950D8">
        <w:rPr>
          <w:rFonts w:ascii="Times New Roman" w:hAnsi="Times New Roman" w:cs="Times New Roman"/>
        </w:rPr>
        <w:t>latent-class</w:t>
      </w:r>
      <w:r w:rsidR="005C13CE">
        <w:rPr>
          <w:rFonts w:ascii="Times New Roman" w:hAnsi="Times New Roman" w:cs="Times New Roman"/>
        </w:rPr>
        <w:t xml:space="preserve"> variable revealed important and theoretically fruitful group </w:t>
      </w:r>
      <w:r w:rsidR="005C13CE" w:rsidRPr="00FA4137">
        <w:rPr>
          <w:rFonts w:ascii="Times New Roman" w:hAnsi="Times New Roman" w:cs="Times New Roman"/>
        </w:rPr>
        <w:t>differences in incidental exposure, self-reported interest is unrelated to the trait-like measure</w:t>
      </w:r>
      <w:r w:rsidR="0095498E">
        <w:rPr>
          <w:rFonts w:ascii="Times New Roman" w:hAnsi="Times New Roman" w:cs="Times New Roman"/>
        </w:rPr>
        <w:t xml:space="preserve"> </w:t>
      </w:r>
      <w:r w:rsidR="005C13CE" w:rsidRPr="00FA4137">
        <w:rPr>
          <w:rFonts w:ascii="Times New Roman" w:hAnsi="Times New Roman" w:cs="Times New Roman"/>
        </w:rPr>
        <w:t>and only weakly related to th</w:t>
      </w:r>
      <w:r w:rsidR="005C13CE" w:rsidRPr="007F5C77">
        <w:rPr>
          <w:rFonts w:ascii="Times New Roman" w:hAnsi="Times New Roman" w:cs="Times New Roman"/>
        </w:rPr>
        <w:t xml:space="preserve">e state-like measure (β = 0.12, </w:t>
      </w:r>
      <w:r w:rsidR="005C13CE" w:rsidRPr="007F5C77">
        <w:rPr>
          <w:rFonts w:ascii="Times New Roman" w:hAnsi="Times New Roman" w:cs="Times New Roman"/>
          <w:i/>
          <w:iCs/>
        </w:rPr>
        <w:t>SE</w:t>
      </w:r>
      <w:r w:rsidR="005C13CE" w:rsidRPr="007F5C77">
        <w:rPr>
          <w:rFonts w:ascii="Times New Roman" w:hAnsi="Times New Roman" w:cs="Times New Roman"/>
        </w:rPr>
        <w:t xml:space="preserve"> = 0.05, </w:t>
      </w:r>
      <w:r w:rsidR="005C13CE" w:rsidRPr="007F5C77">
        <w:rPr>
          <w:rFonts w:ascii="Times New Roman" w:hAnsi="Times New Roman" w:cs="Times New Roman"/>
          <w:i/>
          <w:iCs/>
        </w:rPr>
        <w:t>p</w:t>
      </w:r>
      <w:r w:rsidR="005C13CE" w:rsidRPr="007F5C77">
        <w:rPr>
          <w:rFonts w:ascii="Times New Roman" w:hAnsi="Times New Roman" w:cs="Times New Roman"/>
        </w:rPr>
        <w:t xml:space="preserve"> = .022).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C40535">
        <w:rPr>
          <w:rFonts w:ascii="Times New Roman" w:hAnsi="Times New Roman" w:cs="Times New Roman"/>
        </w:rPr>
        <w:t xml:space="preserve">Reminiscent of </w:t>
      </w:r>
      <w:proofErr w:type="spellStart"/>
      <w:r w:rsidR="00C40535">
        <w:rPr>
          <w:rFonts w:ascii="Times New Roman" w:hAnsi="Times New Roman" w:cs="Times New Roman"/>
        </w:rPr>
        <w:t>Zaller’s</w:t>
      </w:r>
      <w:proofErr w:type="spellEnd"/>
      <w:r w:rsidR="00C40535">
        <w:rPr>
          <w:rFonts w:ascii="Times New Roman" w:hAnsi="Times New Roman" w:cs="Times New Roman"/>
        </w:rPr>
        <w:t xml:space="preserve"> observations</w:t>
      </w:r>
      <w:r w:rsidR="00912221">
        <w:rPr>
          <w:rFonts w:ascii="Times New Roman" w:hAnsi="Times New Roman" w:cs="Times New Roman"/>
        </w:rPr>
        <w:t xml:space="preserve"> (</w:t>
      </w:r>
      <w:r w:rsidR="00912221" w:rsidRPr="00B15048">
        <w:rPr>
          <w:rFonts w:ascii="Times New Roman" w:hAnsi="Times New Roman" w:cs="Times New Roman"/>
        </w:rPr>
        <w:t>199</w:t>
      </w:r>
      <w:r w:rsidR="003B4C8A" w:rsidRPr="00B15048">
        <w:rPr>
          <w:rFonts w:ascii="Times New Roman" w:hAnsi="Times New Roman" w:cs="Times New Roman"/>
        </w:rPr>
        <w:t>2</w:t>
      </w:r>
      <w:r w:rsidR="00912221">
        <w:rPr>
          <w:rFonts w:ascii="Times New Roman" w:hAnsi="Times New Roman" w:cs="Times New Roman"/>
        </w:rPr>
        <w:t>)</w:t>
      </w:r>
      <w:r w:rsidR="00C40535">
        <w:rPr>
          <w:rFonts w:ascii="Times New Roman" w:hAnsi="Times New Roman" w:cs="Times New Roman"/>
        </w:rPr>
        <w:t xml:space="preserve"> about the influence of political elites, the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conclude that digital media platforms may have the biggest impact on the information </w:t>
      </w:r>
      <w:r w:rsidR="00765313">
        <w:rPr>
          <w:rFonts w:ascii="Times New Roman" w:hAnsi="Times New Roman" w:cs="Times New Roman"/>
        </w:rPr>
        <w:t>diets of the two groups in the middle, which</w:t>
      </w:r>
      <w:r w:rsidR="00B15048">
        <w:rPr>
          <w:rFonts w:ascii="Times New Roman" w:hAnsi="Times New Roman" w:cs="Times New Roman"/>
        </w:rPr>
        <w:t xml:space="preserve"> </w:t>
      </w:r>
      <w:r w:rsidR="00EB5368">
        <w:rPr>
          <w:rFonts w:ascii="Times New Roman" w:hAnsi="Times New Roman" w:cs="Times New Roman"/>
        </w:rPr>
        <w:t xml:space="preserve">tend to be </w:t>
      </w:r>
      <w:r w:rsidR="00E01783">
        <w:rPr>
          <w:rFonts w:ascii="Times New Roman" w:hAnsi="Times New Roman" w:cs="Times New Roman"/>
        </w:rPr>
        <w:t>middle-of-the-road in terms of</w:t>
      </w:r>
      <w:r w:rsidR="00B15048">
        <w:rPr>
          <w:rFonts w:ascii="Times New Roman" w:hAnsi="Times New Roman" w:cs="Times New Roman"/>
        </w:rPr>
        <w:t xml:space="preserve"> both socioeconomic status and</w:t>
      </w:r>
      <w:r w:rsidR="00E01783">
        <w:rPr>
          <w:rFonts w:ascii="Times New Roman" w:hAnsi="Times New Roman" w:cs="Times New Roman"/>
        </w:rPr>
        <w:t xml:space="preserve"> </w:t>
      </w:r>
      <w:r w:rsidR="00175807">
        <w:rPr>
          <w:rFonts w:ascii="Times New Roman" w:hAnsi="Times New Roman" w:cs="Times New Roman"/>
        </w:rPr>
        <w:t xml:space="preserve">their </w:t>
      </w:r>
      <w:r w:rsidR="00E01783">
        <w:rPr>
          <w:rFonts w:ascii="Times New Roman" w:hAnsi="Times New Roman" w:cs="Times New Roman"/>
        </w:rPr>
        <w:t>politic</w:t>
      </w:r>
      <w:r w:rsidR="00175807">
        <w:rPr>
          <w:rFonts w:ascii="Times New Roman" w:hAnsi="Times New Roman" w:cs="Times New Roman"/>
        </w:rPr>
        <w:t>al leanings</w:t>
      </w:r>
      <w:r w:rsidR="00912221">
        <w:rPr>
          <w:rFonts w:ascii="Times New Roman" w:hAnsi="Times New Roman" w:cs="Times New Roman"/>
        </w:rPr>
        <w:t>.</w:t>
      </w:r>
    </w:p>
    <w:p w14:paraId="099F7BF8" w14:textId="35F1E7CF" w:rsidR="00290930" w:rsidRDefault="002B1838" w:rsidP="005C13CE">
      <w:pPr>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our findings support this idea</w:t>
      </w:r>
      <w:r w:rsidR="00B7329C">
        <w:rPr>
          <w:rFonts w:ascii="Times New Roman" w:hAnsi="Times New Roman" w:cs="Times New Roman"/>
        </w:rPr>
        <w:t xml:space="preserve"> that w</w:t>
      </w:r>
      <w:r w:rsidR="00632658">
        <w:rPr>
          <w:rFonts w:ascii="Times New Roman" w:hAnsi="Times New Roman" w:cs="Times New Roman"/>
        </w:rPr>
        <w:t xml:space="preserve">hile </w:t>
      </w:r>
      <w:proofErr w:type="spellStart"/>
      <w:r w:rsidR="00B7329C">
        <w:rPr>
          <w:rFonts w:ascii="Times New Roman" w:hAnsi="Times New Roman" w:cs="Times New Roman"/>
        </w:rPr>
        <w:t>incidentality</w:t>
      </w:r>
      <w:proofErr w:type="spellEnd"/>
      <w:r w:rsidR="00B7329C">
        <w:rPr>
          <w:rFonts w:ascii="Times New Roman" w:hAnsi="Times New Roman" w:cs="Times New Roman"/>
        </w:rPr>
        <w:t xml:space="preserve"> does seem to narrow the gap in news exposure, it does not necessarily </w:t>
      </w:r>
      <w:r w:rsidR="00B7329C" w:rsidRPr="00864801">
        <w:rPr>
          <w:rFonts w:ascii="Times New Roman" w:hAnsi="Times New Roman" w:cs="Times New Roman"/>
          <w:highlight w:val="yellow"/>
        </w:rPr>
        <w:t>lead to a deeper engagement with that content</w:t>
      </w:r>
      <w:r w:rsidR="00B7329C">
        <w:rPr>
          <w:rFonts w:ascii="Times New Roman" w:hAnsi="Times New Roman" w:cs="Times New Roman"/>
        </w:rPr>
        <w:t xml:space="preserve">. But our findings push this argument a step further: Incidental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39CD37FF" w:rsidR="00652A04" w:rsidRDefault="00652A04" w:rsidP="005C13CE">
      <w:pPr>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we collected from </w:t>
      </w:r>
      <w:proofErr w:type="spellStart"/>
      <w:r w:rsidR="00864801">
        <w:rPr>
          <w:rFonts w:ascii="Times New Roman" w:hAnsi="Times New Roman" w:cs="Times New Roman"/>
        </w:rPr>
        <w:t>Brandwatch</w:t>
      </w:r>
      <w:proofErr w:type="spellEnd"/>
      <w:r w:rsidR="00E104F9">
        <w:rPr>
          <w:rFonts w:ascii="Times New Roman" w:hAnsi="Times New Roman" w:cs="Times New Roman"/>
        </w:rPr>
        <w:t xml:space="preserve">,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on social media platforms. This is a </w:t>
      </w:r>
      <w:r w:rsidR="00A466D6">
        <w:rPr>
          <w:rFonts w:ascii="Times New Roman" w:hAnsi="Times New Roman" w:cs="Times New Roman"/>
        </w:rPr>
        <w:t xml:space="preserve">practical compromise that </w:t>
      </w:r>
      <w:r w:rsidR="00E104F9">
        <w:rPr>
          <w:rFonts w:ascii="Times New Roman" w:hAnsi="Times New Roman" w:cs="Times New Roman"/>
        </w:rPr>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analysis is also limited. </w:t>
      </w:r>
      <w:r w:rsidR="0081170B">
        <w:rPr>
          <w:rFonts w:ascii="Times New Roman" w:hAnsi="Times New Roman" w:cs="Times New Roman"/>
        </w:rPr>
        <w:t>T</w:t>
      </w:r>
      <w:r w:rsidR="00190300">
        <w:rPr>
          <w:rFonts w:ascii="Times New Roman" w:hAnsi="Times New Roman" w:cs="Times New Roman"/>
        </w:rPr>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 </w:t>
      </w:r>
    </w:p>
    <w:p w14:paraId="5AD46D86" w14:textId="4F3459DE" w:rsidR="00B44907" w:rsidRDefault="00290930" w:rsidP="005C13CE">
      <w:pPr>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 xml:space="preserve">: </w:t>
      </w:r>
      <w:r>
        <w:rPr>
          <w:rFonts w:ascii="Times New Roman" w:hAnsi="Times New Roman" w:cs="Times New Roman"/>
        </w:rPr>
        <w:t xml:space="preserve">Overall, our findings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equalization is limited</w:t>
      </w:r>
      <w:r w:rsidR="00FC5700">
        <w:rPr>
          <w:rFonts w:ascii="Times New Roman" w:hAnsi="Times New Roman" w:cs="Times New Roman"/>
        </w:rPr>
        <w:t xml:space="preserve">. Thus, we may need investments of both money and public attention to other areas to reduce inequalities, inform the electorate, and promote social cohesion and belief in democratic practice. </w:t>
      </w:r>
    </w:p>
    <w:p w14:paraId="55094452" w14:textId="77777777" w:rsidR="00B44907" w:rsidRDefault="00B44907" w:rsidP="005C13CE">
      <w:pPr>
        <w:rPr>
          <w:rFonts w:ascii="Times New Roman" w:hAnsi="Times New Roman" w:cs="Times New Roman"/>
        </w:rPr>
      </w:pPr>
    </w:p>
    <w:p w14:paraId="4C0539EF" w14:textId="77777777" w:rsidR="00A93448" w:rsidRDefault="00A93448" w:rsidP="005C13CE">
      <w:pPr>
        <w:rPr>
          <w:rFonts w:ascii="Times New Roman" w:hAnsi="Times New Roman" w:cs="Times New Roman"/>
        </w:rPr>
      </w:pPr>
    </w:p>
    <w:p w14:paraId="1616DB90" w14:textId="57E9C140" w:rsidR="00C87B40" w:rsidRDefault="00C87B40">
      <w:pPr>
        <w:rPr>
          <w:rFonts w:ascii="Times New Roman" w:hAnsi="Times New Roman" w:cs="Times New Roman"/>
          <w:b/>
          <w:bCs/>
        </w:rPr>
      </w:pPr>
    </w:p>
    <w:p w14:paraId="3B61A8EB" w14:textId="77777777" w:rsidR="00EE5E8C" w:rsidRDefault="00EE5E8C">
      <w:pPr>
        <w:rPr>
          <w:rFonts w:ascii="Times New Roman" w:hAnsi="Times New Roman" w:cs="Times New Roman"/>
          <w:b/>
          <w:bCs/>
        </w:rPr>
      </w:pPr>
      <w:r>
        <w:rPr>
          <w:rFonts w:ascii="Times New Roman" w:hAnsi="Times New Roman" w:cs="Times New Roman"/>
          <w:b/>
          <w:bCs/>
        </w:rPr>
        <w:br w:type="page"/>
      </w:r>
    </w:p>
    <w:p w14:paraId="7A3024BA" w14:textId="732707C3"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F04396">
      <w:pPr>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388D9A0B" w:rsidR="00F0439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2B5B6B05" w14:textId="0AB51E4E" w:rsidR="00407253" w:rsidRPr="00A711F6" w:rsidRDefault="00407253" w:rsidP="00F04396">
      <w:pPr>
        <w:rPr>
          <w:rFonts w:ascii="Times New Roman" w:eastAsia="Times New Roman" w:hAnsi="Times New Roman" w:cs="Times New Roman"/>
        </w:rPr>
      </w:pPr>
      <w:proofErr w:type="spellStart"/>
      <w:r w:rsidRPr="00407253">
        <w:rPr>
          <w:rFonts w:ascii="Times New Roman" w:eastAsia="Times New Roman" w:hAnsi="Times New Roman" w:cs="Times New Roman"/>
        </w:rPr>
        <w:t>Zaller</w:t>
      </w:r>
      <w:proofErr w:type="spellEnd"/>
      <w:r w:rsidRPr="00407253">
        <w:rPr>
          <w:rFonts w:ascii="Times New Roman" w:eastAsia="Times New Roman" w:hAnsi="Times New Roman" w:cs="Times New Roman"/>
        </w:rPr>
        <w:t xml:space="preserve">, J. R. (1992). </w:t>
      </w:r>
      <w:r w:rsidRPr="00407253">
        <w:rPr>
          <w:rFonts w:ascii="Times New Roman" w:eastAsia="Times New Roman" w:hAnsi="Times New Roman" w:cs="Times New Roman"/>
          <w:i/>
          <w:iCs/>
        </w:rPr>
        <w:t>The nature and origins of mass opinion</w:t>
      </w:r>
      <w:r w:rsidRPr="00407253">
        <w:rPr>
          <w:rFonts w:ascii="Times New Roman" w:eastAsia="Times New Roman" w:hAnsi="Times New Roman" w:cs="Times New Roman"/>
        </w:rPr>
        <w:t xml:space="preserve">. Cambridge </w:t>
      </w:r>
      <w:r>
        <w:rPr>
          <w:rFonts w:ascii="Times New Roman" w:eastAsia="Times New Roman" w:hAnsi="Times New Roman" w:cs="Times New Roman"/>
        </w:rPr>
        <w:t>U</w:t>
      </w:r>
      <w:r w:rsidRPr="00407253">
        <w:rPr>
          <w:rFonts w:ascii="Times New Roman" w:eastAsia="Times New Roman" w:hAnsi="Times New Roman" w:cs="Times New Roman"/>
        </w:rPr>
        <w:t xml:space="preserve">niversity </w:t>
      </w:r>
      <w:r>
        <w:rPr>
          <w:rFonts w:ascii="Times New Roman" w:eastAsia="Times New Roman" w:hAnsi="Times New Roman" w:cs="Times New Roman"/>
        </w:rPr>
        <w:t>P</w:t>
      </w:r>
      <w:r w:rsidRPr="00407253">
        <w:rPr>
          <w:rFonts w:ascii="Times New Roman" w:eastAsia="Times New Roman" w:hAnsi="Times New Roman" w:cs="Times New Roman"/>
        </w:rPr>
        <w:t>ress.</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75F91">
            <w:pPr>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75F91">
            <w:pPr>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75F91">
            <w:pPr>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75F91">
            <w:pPr>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336CC5">
            <w:pPr>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336CC5">
            <w:pPr>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336CC5">
            <w:pPr>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sidRPr="002D39A0">
        <w:rPr>
          <w:rFonts w:ascii="Times New Roman" w:hAnsi="Times New Roman" w:cs="Times New Roman"/>
          <w:highlight w:val="yellow"/>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sidRPr="002D39A0">
        <w:rPr>
          <w:rFonts w:ascii="Times New Roman" w:hAnsi="Times New Roman" w:cs="Times New Roman"/>
          <w:highlight w:val="yellow"/>
        </w:rPr>
        <w:t xml:space="preserve">Figure </w:t>
      </w:r>
      <w:r w:rsidR="00F82243" w:rsidRPr="002D39A0">
        <w:rPr>
          <w:rFonts w:ascii="Times New Roman" w:hAnsi="Times New Roman" w:cs="Times New Roman"/>
          <w:highlight w:val="yellow"/>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54A4"/>
    <w:rsid w:val="00045DC7"/>
    <w:rsid w:val="000522D7"/>
    <w:rsid w:val="00052897"/>
    <w:rsid w:val="00070754"/>
    <w:rsid w:val="00070EDD"/>
    <w:rsid w:val="000744F9"/>
    <w:rsid w:val="00077752"/>
    <w:rsid w:val="000819B1"/>
    <w:rsid w:val="000A0751"/>
    <w:rsid w:val="000A2A65"/>
    <w:rsid w:val="000A4BCC"/>
    <w:rsid w:val="000A4FC6"/>
    <w:rsid w:val="000A7FB0"/>
    <w:rsid w:val="000B55AB"/>
    <w:rsid w:val="000B599F"/>
    <w:rsid w:val="000B67FF"/>
    <w:rsid w:val="000B770D"/>
    <w:rsid w:val="000C452B"/>
    <w:rsid w:val="000D18FA"/>
    <w:rsid w:val="000D24B8"/>
    <w:rsid w:val="000D3114"/>
    <w:rsid w:val="000D5A5F"/>
    <w:rsid w:val="000D763D"/>
    <w:rsid w:val="000F10A2"/>
    <w:rsid w:val="000F2C5F"/>
    <w:rsid w:val="000F4D57"/>
    <w:rsid w:val="000F5698"/>
    <w:rsid w:val="0010778F"/>
    <w:rsid w:val="00115505"/>
    <w:rsid w:val="001169F8"/>
    <w:rsid w:val="0012287C"/>
    <w:rsid w:val="00123DF3"/>
    <w:rsid w:val="0012471B"/>
    <w:rsid w:val="0012513B"/>
    <w:rsid w:val="00125171"/>
    <w:rsid w:val="00127F5B"/>
    <w:rsid w:val="00131127"/>
    <w:rsid w:val="0013461D"/>
    <w:rsid w:val="00140570"/>
    <w:rsid w:val="0015314E"/>
    <w:rsid w:val="00153B9E"/>
    <w:rsid w:val="00156A25"/>
    <w:rsid w:val="00160494"/>
    <w:rsid w:val="00165241"/>
    <w:rsid w:val="00167CA4"/>
    <w:rsid w:val="00172839"/>
    <w:rsid w:val="0017449D"/>
    <w:rsid w:val="00174FE3"/>
    <w:rsid w:val="00175807"/>
    <w:rsid w:val="00180835"/>
    <w:rsid w:val="00180AA9"/>
    <w:rsid w:val="00186204"/>
    <w:rsid w:val="00190300"/>
    <w:rsid w:val="00190A23"/>
    <w:rsid w:val="00190B1E"/>
    <w:rsid w:val="00190C1D"/>
    <w:rsid w:val="00194CAC"/>
    <w:rsid w:val="001A14FA"/>
    <w:rsid w:val="001A649D"/>
    <w:rsid w:val="001B60E0"/>
    <w:rsid w:val="001C006A"/>
    <w:rsid w:val="001C0322"/>
    <w:rsid w:val="001C10AA"/>
    <w:rsid w:val="001C12CB"/>
    <w:rsid w:val="001C279A"/>
    <w:rsid w:val="001C6712"/>
    <w:rsid w:val="001D0409"/>
    <w:rsid w:val="001D21A3"/>
    <w:rsid w:val="001D3277"/>
    <w:rsid w:val="001D3861"/>
    <w:rsid w:val="001E2272"/>
    <w:rsid w:val="001E2991"/>
    <w:rsid w:val="001E2C99"/>
    <w:rsid w:val="001E4161"/>
    <w:rsid w:val="001F0128"/>
    <w:rsid w:val="001F5806"/>
    <w:rsid w:val="00202333"/>
    <w:rsid w:val="00206A20"/>
    <w:rsid w:val="00207229"/>
    <w:rsid w:val="0021067E"/>
    <w:rsid w:val="00212973"/>
    <w:rsid w:val="00212B4E"/>
    <w:rsid w:val="00214539"/>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26D8"/>
    <w:rsid w:val="002D39A0"/>
    <w:rsid w:val="002D78E9"/>
    <w:rsid w:val="002E0602"/>
    <w:rsid w:val="002E1A2A"/>
    <w:rsid w:val="002E31A6"/>
    <w:rsid w:val="002E6E42"/>
    <w:rsid w:val="002F137F"/>
    <w:rsid w:val="002F68E6"/>
    <w:rsid w:val="003062D3"/>
    <w:rsid w:val="003144CF"/>
    <w:rsid w:val="003157E7"/>
    <w:rsid w:val="003200E4"/>
    <w:rsid w:val="00322D11"/>
    <w:rsid w:val="0033159E"/>
    <w:rsid w:val="00331781"/>
    <w:rsid w:val="00332108"/>
    <w:rsid w:val="00332C02"/>
    <w:rsid w:val="00336CC5"/>
    <w:rsid w:val="003450D3"/>
    <w:rsid w:val="003451D1"/>
    <w:rsid w:val="003462DB"/>
    <w:rsid w:val="0035050B"/>
    <w:rsid w:val="00350D05"/>
    <w:rsid w:val="0035158A"/>
    <w:rsid w:val="00353D0D"/>
    <w:rsid w:val="00362646"/>
    <w:rsid w:val="003641C9"/>
    <w:rsid w:val="00365566"/>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C8A"/>
    <w:rsid w:val="003B592D"/>
    <w:rsid w:val="003C0F7B"/>
    <w:rsid w:val="003C2DC6"/>
    <w:rsid w:val="003C40C1"/>
    <w:rsid w:val="003C46CC"/>
    <w:rsid w:val="003C5B55"/>
    <w:rsid w:val="003C6C96"/>
    <w:rsid w:val="003D305E"/>
    <w:rsid w:val="003F04E4"/>
    <w:rsid w:val="003F331E"/>
    <w:rsid w:val="004010EA"/>
    <w:rsid w:val="00401CD1"/>
    <w:rsid w:val="0040205F"/>
    <w:rsid w:val="004039DF"/>
    <w:rsid w:val="00407253"/>
    <w:rsid w:val="004118FF"/>
    <w:rsid w:val="00414A6F"/>
    <w:rsid w:val="00415C99"/>
    <w:rsid w:val="00415D12"/>
    <w:rsid w:val="00421155"/>
    <w:rsid w:val="00424B9F"/>
    <w:rsid w:val="004273CB"/>
    <w:rsid w:val="004360D7"/>
    <w:rsid w:val="00441B9D"/>
    <w:rsid w:val="004444DE"/>
    <w:rsid w:val="004447C5"/>
    <w:rsid w:val="00444FB9"/>
    <w:rsid w:val="00446C37"/>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22FE"/>
    <w:rsid w:val="004B3726"/>
    <w:rsid w:val="004B3C0F"/>
    <w:rsid w:val="004B512B"/>
    <w:rsid w:val="004C013A"/>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669"/>
    <w:rsid w:val="00514158"/>
    <w:rsid w:val="00514AF5"/>
    <w:rsid w:val="00517B97"/>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6113"/>
    <w:rsid w:val="005D5D30"/>
    <w:rsid w:val="005E5AEA"/>
    <w:rsid w:val="005E6693"/>
    <w:rsid w:val="005F211F"/>
    <w:rsid w:val="005F4748"/>
    <w:rsid w:val="005F48D5"/>
    <w:rsid w:val="005F6F2D"/>
    <w:rsid w:val="00602487"/>
    <w:rsid w:val="00606B7F"/>
    <w:rsid w:val="00617B21"/>
    <w:rsid w:val="00624110"/>
    <w:rsid w:val="00630308"/>
    <w:rsid w:val="006310A4"/>
    <w:rsid w:val="00632658"/>
    <w:rsid w:val="00634C6C"/>
    <w:rsid w:val="00637F6E"/>
    <w:rsid w:val="00652A04"/>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A4E19"/>
    <w:rsid w:val="006B0FD6"/>
    <w:rsid w:val="006B2F87"/>
    <w:rsid w:val="006B3768"/>
    <w:rsid w:val="006B5714"/>
    <w:rsid w:val="006B727D"/>
    <w:rsid w:val="006B78B8"/>
    <w:rsid w:val="006D4FDC"/>
    <w:rsid w:val="006D76E3"/>
    <w:rsid w:val="006E2265"/>
    <w:rsid w:val="006E264F"/>
    <w:rsid w:val="006F0847"/>
    <w:rsid w:val="006F40E8"/>
    <w:rsid w:val="00707510"/>
    <w:rsid w:val="00707926"/>
    <w:rsid w:val="00710C5B"/>
    <w:rsid w:val="007136BC"/>
    <w:rsid w:val="0072048C"/>
    <w:rsid w:val="00722034"/>
    <w:rsid w:val="00725945"/>
    <w:rsid w:val="00734B17"/>
    <w:rsid w:val="007355AE"/>
    <w:rsid w:val="00740C8F"/>
    <w:rsid w:val="00740D77"/>
    <w:rsid w:val="0074516B"/>
    <w:rsid w:val="0074574B"/>
    <w:rsid w:val="00746613"/>
    <w:rsid w:val="00750EF3"/>
    <w:rsid w:val="007538C2"/>
    <w:rsid w:val="007541CD"/>
    <w:rsid w:val="0075439C"/>
    <w:rsid w:val="0076380B"/>
    <w:rsid w:val="00765313"/>
    <w:rsid w:val="00772533"/>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0F93"/>
    <w:rsid w:val="007C727D"/>
    <w:rsid w:val="007D68A4"/>
    <w:rsid w:val="007E5B48"/>
    <w:rsid w:val="007F185C"/>
    <w:rsid w:val="007F2758"/>
    <w:rsid w:val="007F5C77"/>
    <w:rsid w:val="007F6291"/>
    <w:rsid w:val="007F75C7"/>
    <w:rsid w:val="00800856"/>
    <w:rsid w:val="00800F70"/>
    <w:rsid w:val="00803463"/>
    <w:rsid w:val="008040F6"/>
    <w:rsid w:val="00804111"/>
    <w:rsid w:val="00805530"/>
    <w:rsid w:val="0081170B"/>
    <w:rsid w:val="008125CB"/>
    <w:rsid w:val="00814004"/>
    <w:rsid w:val="00817236"/>
    <w:rsid w:val="0082467F"/>
    <w:rsid w:val="008246BB"/>
    <w:rsid w:val="00827274"/>
    <w:rsid w:val="00827835"/>
    <w:rsid w:val="00837BD9"/>
    <w:rsid w:val="008403B5"/>
    <w:rsid w:val="00854E3D"/>
    <w:rsid w:val="00855B1D"/>
    <w:rsid w:val="00861075"/>
    <w:rsid w:val="008627E5"/>
    <w:rsid w:val="008640AA"/>
    <w:rsid w:val="00864801"/>
    <w:rsid w:val="008654E1"/>
    <w:rsid w:val="008655BF"/>
    <w:rsid w:val="00870205"/>
    <w:rsid w:val="00875340"/>
    <w:rsid w:val="00875F96"/>
    <w:rsid w:val="00883B43"/>
    <w:rsid w:val="00883C35"/>
    <w:rsid w:val="00891146"/>
    <w:rsid w:val="00893D5F"/>
    <w:rsid w:val="00894859"/>
    <w:rsid w:val="00897C00"/>
    <w:rsid w:val="008B31E7"/>
    <w:rsid w:val="008B4174"/>
    <w:rsid w:val="008C15EF"/>
    <w:rsid w:val="008D1B3A"/>
    <w:rsid w:val="008D232C"/>
    <w:rsid w:val="008D2B65"/>
    <w:rsid w:val="008D30D7"/>
    <w:rsid w:val="008E406C"/>
    <w:rsid w:val="008E7B98"/>
    <w:rsid w:val="008F39DD"/>
    <w:rsid w:val="008F3E7D"/>
    <w:rsid w:val="009047B7"/>
    <w:rsid w:val="00906665"/>
    <w:rsid w:val="00906EC6"/>
    <w:rsid w:val="00911B82"/>
    <w:rsid w:val="00912221"/>
    <w:rsid w:val="00920FAC"/>
    <w:rsid w:val="00921668"/>
    <w:rsid w:val="009225BA"/>
    <w:rsid w:val="0093123E"/>
    <w:rsid w:val="00942608"/>
    <w:rsid w:val="00943E1C"/>
    <w:rsid w:val="00945193"/>
    <w:rsid w:val="00945AED"/>
    <w:rsid w:val="0095498E"/>
    <w:rsid w:val="009563FE"/>
    <w:rsid w:val="00963E97"/>
    <w:rsid w:val="009679A5"/>
    <w:rsid w:val="009739A7"/>
    <w:rsid w:val="00975863"/>
    <w:rsid w:val="0098354B"/>
    <w:rsid w:val="00984EA5"/>
    <w:rsid w:val="00985169"/>
    <w:rsid w:val="00995DF3"/>
    <w:rsid w:val="009B04EE"/>
    <w:rsid w:val="009B4F72"/>
    <w:rsid w:val="009C286D"/>
    <w:rsid w:val="009C49F1"/>
    <w:rsid w:val="009C5409"/>
    <w:rsid w:val="009C6FF4"/>
    <w:rsid w:val="009D0698"/>
    <w:rsid w:val="009D1C9E"/>
    <w:rsid w:val="009D4A80"/>
    <w:rsid w:val="009D73B4"/>
    <w:rsid w:val="009E0021"/>
    <w:rsid w:val="009E075A"/>
    <w:rsid w:val="009E2451"/>
    <w:rsid w:val="009E3EEB"/>
    <w:rsid w:val="00A0172F"/>
    <w:rsid w:val="00A14761"/>
    <w:rsid w:val="00A15D3C"/>
    <w:rsid w:val="00A15DF1"/>
    <w:rsid w:val="00A1749F"/>
    <w:rsid w:val="00A25977"/>
    <w:rsid w:val="00A272FC"/>
    <w:rsid w:val="00A275CA"/>
    <w:rsid w:val="00A3664D"/>
    <w:rsid w:val="00A42748"/>
    <w:rsid w:val="00A458C1"/>
    <w:rsid w:val="00A466D6"/>
    <w:rsid w:val="00A546D8"/>
    <w:rsid w:val="00A57184"/>
    <w:rsid w:val="00A603DE"/>
    <w:rsid w:val="00A711F6"/>
    <w:rsid w:val="00A72B35"/>
    <w:rsid w:val="00A766DA"/>
    <w:rsid w:val="00A80D2B"/>
    <w:rsid w:val="00A82A76"/>
    <w:rsid w:val="00A84204"/>
    <w:rsid w:val="00A8510C"/>
    <w:rsid w:val="00A93448"/>
    <w:rsid w:val="00A95B0A"/>
    <w:rsid w:val="00A967A7"/>
    <w:rsid w:val="00AA0C52"/>
    <w:rsid w:val="00AA3081"/>
    <w:rsid w:val="00AA381F"/>
    <w:rsid w:val="00AA7700"/>
    <w:rsid w:val="00AB13B3"/>
    <w:rsid w:val="00AB7A3E"/>
    <w:rsid w:val="00AC0710"/>
    <w:rsid w:val="00AC61C5"/>
    <w:rsid w:val="00AC7EA9"/>
    <w:rsid w:val="00AD051D"/>
    <w:rsid w:val="00AD2D68"/>
    <w:rsid w:val="00AD7757"/>
    <w:rsid w:val="00AD7A75"/>
    <w:rsid w:val="00AE0475"/>
    <w:rsid w:val="00AE20FF"/>
    <w:rsid w:val="00AE266C"/>
    <w:rsid w:val="00AF2112"/>
    <w:rsid w:val="00AF6F9E"/>
    <w:rsid w:val="00AF7382"/>
    <w:rsid w:val="00AF7711"/>
    <w:rsid w:val="00B01304"/>
    <w:rsid w:val="00B013BA"/>
    <w:rsid w:val="00B03D9B"/>
    <w:rsid w:val="00B15048"/>
    <w:rsid w:val="00B171C0"/>
    <w:rsid w:val="00B2499D"/>
    <w:rsid w:val="00B318BD"/>
    <w:rsid w:val="00B34C07"/>
    <w:rsid w:val="00B43A66"/>
    <w:rsid w:val="00B43E12"/>
    <w:rsid w:val="00B44907"/>
    <w:rsid w:val="00B449D9"/>
    <w:rsid w:val="00B46FFC"/>
    <w:rsid w:val="00B47729"/>
    <w:rsid w:val="00B53523"/>
    <w:rsid w:val="00B54C49"/>
    <w:rsid w:val="00B57973"/>
    <w:rsid w:val="00B61DBA"/>
    <w:rsid w:val="00B6314E"/>
    <w:rsid w:val="00B64BB5"/>
    <w:rsid w:val="00B663FD"/>
    <w:rsid w:val="00B71963"/>
    <w:rsid w:val="00B72B09"/>
    <w:rsid w:val="00B7329C"/>
    <w:rsid w:val="00B739EC"/>
    <w:rsid w:val="00B7551F"/>
    <w:rsid w:val="00B765AA"/>
    <w:rsid w:val="00B800EE"/>
    <w:rsid w:val="00B90264"/>
    <w:rsid w:val="00B93605"/>
    <w:rsid w:val="00B960E3"/>
    <w:rsid w:val="00B9713D"/>
    <w:rsid w:val="00BA010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6459"/>
    <w:rsid w:val="00BE6CFF"/>
    <w:rsid w:val="00BF430A"/>
    <w:rsid w:val="00C059B5"/>
    <w:rsid w:val="00C1260D"/>
    <w:rsid w:val="00C2077C"/>
    <w:rsid w:val="00C25CD3"/>
    <w:rsid w:val="00C3418C"/>
    <w:rsid w:val="00C34E6D"/>
    <w:rsid w:val="00C36E0E"/>
    <w:rsid w:val="00C370AF"/>
    <w:rsid w:val="00C403B3"/>
    <w:rsid w:val="00C40535"/>
    <w:rsid w:val="00C46A02"/>
    <w:rsid w:val="00C60ABF"/>
    <w:rsid w:val="00C71975"/>
    <w:rsid w:val="00C71AD2"/>
    <w:rsid w:val="00C75F91"/>
    <w:rsid w:val="00C81DE1"/>
    <w:rsid w:val="00C87B40"/>
    <w:rsid w:val="00C924D1"/>
    <w:rsid w:val="00C96B29"/>
    <w:rsid w:val="00C972BC"/>
    <w:rsid w:val="00CA0472"/>
    <w:rsid w:val="00CA274E"/>
    <w:rsid w:val="00CA4C88"/>
    <w:rsid w:val="00CA66BC"/>
    <w:rsid w:val="00CB243E"/>
    <w:rsid w:val="00CB32A6"/>
    <w:rsid w:val="00CB4543"/>
    <w:rsid w:val="00CB598A"/>
    <w:rsid w:val="00CC02C5"/>
    <w:rsid w:val="00CC436D"/>
    <w:rsid w:val="00CC68B1"/>
    <w:rsid w:val="00CD7040"/>
    <w:rsid w:val="00CE7DEE"/>
    <w:rsid w:val="00CF1BC9"/>
    <w:rsid w:val="00CF1DC0"/>
    <w:rsid w:val="00D0533B"/>
    <w:rsid w:val="00D07A0B"/>
    <w:rsid w:val="00D11ADE"/>
    <w:rsid w:val="00D20276"/>
    <w:rsid w:val="00D21178"/>
    <w:rsid w:val="00D239C1"/>
    <w:rsid w:val="00D25453"/>
    <w:rsid w:val="00D33E5B"/>
    <w:rsid w:val="00D3584E"/>
    <w:rsid w:val="00D358F0"/>
    <w:rsid w:val="00D36706"/>
    <w:rsid w:val="00D3680D"/>
    <w:rsid w:val="00D3763B"/>
    <w:rsid w:val="00D40E1C"/>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96582"/>
    <w:rsid w:val="00DA3484"/>
    <w:rsid w:val="00DA37C6"/>
    <w:rsid w:val="00DB0543"/>
    <w:rsid w:val="00DB2CD4"/>
    <w:rsid w:val="00DB6590"/>
    <w:rsid w:val="00DB7799"/>
    <w:rsid w:val="00DD5D51"/>
    <w:rsid w:val="00DD665A"/>
    <w:rsid w:val="00DE4A8C"/>
    <w:rsid w:val="00DE6329"/>
    <w:rsid w:val="00DF031E"/>
    <w:rsid w:val="00DF40E8"/>
    <w:rsid w:val="00DF4E62"/>
    <w:rsid w:val="00E00B00"/>
    <w:rsid w:val="00E01783"/>
    <w:rsid w:val="00E0466B"/>
    <w:rsid w:val="00E104F9"/>
    <w:rsid w:val="00E114B2"/>
    <w:rsid w:val="00E13AF8"/>
    <w:rsid w:val="00E14001"/>
    <w:rsid w:val="00E21D61"/>
    <w:rsid w:val="00E24703"/>
    <w:rsid w:val="00E24791"/>
    <w:rsid w:val="00E27A39"/>
    <w:rsid w:val="00E27BBF"/>
    <w:rsid w:val="00E313F4"/>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93B5E"/>
    <w:rsid w:val="00EA4A29"/>
    <w:rsid w:val="00EA6746"/>
    <w:rsid w:val="00EA7BEC"/>
    <w:rsid w:val="00EB023E"/>
    <w:rsid w:val="00EB120F"/>
    <w:rsid w:val="00EB1E04"/>
    <w:rsid w:val="00EB3665"/>
    <w:rsid w:val="00EB44AA"/>
    <w:rsid w:val="00EB5368"/>
    <w:rsid w:val="00EC37BD"/>
    <w:rsid w:val="00EC5BD0"/>
    <w:rsid w:val="00EC6727"/>
    <w:rsid w:val="00ED2369"/>
    <w:rsid w:val="00ED3D69"/>
    <w:rsid w:val="00EE17D9"/>
    <w:rsid w:val="00EE3CC4"/>
    <w:rsid w:val="00EE40DA"/>
    <w:rsid w:val="00EE5E8C"/>
    <w:rsid w:val="00EE792A"/>
    <w:rsid w:val="00EE7A4E"/>
    <w:rsid w:val="00EF108B"/>
    <w:rsid w:val="00EF48F4"/>
    <w:rsid w:val="00EF53E8"/>
    <w:rsid w:val="00F04396"/>
    <w:rsid w:val="00F04982"/>
    <w:rsid w:val="00F06336"/>
    <w:rsid w:val="00F15983"/>
    <w:rsid w:val="00F20331"/>
    <w:rsid w:val="00F256AF"/>
    <w:rsid w:val="00F30A18"/>
    <w:rsid w:val="00F3162F"/>
    <w:rsid w:val="00F324EB"/>
    <w:rsid w:val="00F357C7"/>
    <w:rsid w:val="00F35C48"/>
    <w:rsid w:val="00F368AC"/>
    <w:rsid w:val="00F4590A"/>
    <w:rsid w:val="00F53652"/>
    <w:rsid w:val="00F53816"/>
    <w:rsid w:val="00F5732D"/>
    <w:rsid w:val="00F763B0"/>
    <w:rsid w:val="00F77B9B"/>
    <w:rsid w:val="00F80A0C"/>
    <w:rsid w:val="00F82243"/>
    <w:rsid w:val="00F829A0"/>
    <w:rsid w:val="00F86D5F"/>
    <w:rsid w:val="00F937BD"/>
    <w:rsid w:val="00FA04D0"/>
    <w:rsid w:val="00FA0CAF"/>
    <w:rsid w:val="00FA2D70"/>
    <w:rsid w:val="00FA4137"/>
    <w:rsid w:val="00FA7C62"/>
    <w:rsid w:val="00FB2273"/>
    <w:rsid w:val="00FB2A85"/>
    <w:rsid w:val="00FB531A"/>
    <w:rsid w:val="00FB785E"/>
    <w:rsid w:val="00FC04BA"/>
    <w:rsid w:val="00FC5700"/>
    <w:rsid w:val="00FD2306"/>
    <w:rsid w:val="00FD4931"/>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32</Pages>
  <Words>10633</Words>
  <Characters>60611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599</cp:revision>
  <dcterms:created xsi:type="dcterms:W3CDTF">2022-02-25T21:32:00Z</dcterms:created>
  <dcterms:modified xsi:type="dcterms:W3CDTF">2022-04-29T18:19:00Z</dcterms:modified>
</cp:coreProperties>
</file>