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CFC5" w14:textId="283AB113" w:rsidR="00CA274E" w:rsidRPr="00B93605" w:rsidRDefault="00DE4A8C" w:rsidP="00551018">
      <w:pPr>
        <w:rPr>
          <w:ins w:id="0" w:author="Dan Lane" w:date="2022-04-18T11:21:00Z"/>
          <w:rFonts w:ascii="Times New Roman" w:hAnsi="Times New Roman" w:cs="Times New Roman"/>
          <w:b/>
          <w:bCs/>
          <w:rPrChange w:id="1" w:author="Dan Lane" w:date="2022-04-18T13:41:00Z">
            <w:rPr>
              <w:ins w:id="2" w:author="Dan Lane" w:date="2022-04-18T11:21:00Z"/>
              <w:rFonts w:ascii="Times New Roman" w:hAnsi="Times New Roman" w:cs="Times New Roman"/>
            </w:rPr>
          </w:rPrChange>
        </w:rPr>
      </w:pPr>
      <w:ins w:id="3" w:author="Dan Lane" w:date="2022-04-18T11:10:00Z">
        <w:r w:rsidRPr="00B93605">
          <w:rPr>
            <w:rFonts w:ascii="Times New Roman" w:hAnsi="Times New Roman" w:cs="Times New Roman"/>
            <w:b/>
            <w:bCs/>
            <w:rPrChange w:id="4" w:author="Dan Lane" w:date="2022-04-18T13:41:00Z">
              <w:rPr>
                <w:b/>
                <w:bCs/>
              </w:rPr>
            </w:rPrChange>
          </w:rPr>
          <w:t xml:space="preserve">Incidental News Exposure </w:t>
        </w:r>
      </w:ins>
    </w:p>
    <w:p w14:paraId="470FC2EE" w14:textId="5CD48AD4" w:rsidR="007136BC" w:rsidRDefault="00CA274E" w:rsidP="00BD14A4">
      <w:pPr>
        <w:ind w:firstLine="720"/>
        <w:rPr>
          <w:ins w:id="5" w:author="Dan Lane" w:date="2022-04-18T11:54:00Z"/>
          <w:rFonts w:ascii="Times New Roman" w:hAnsi="Times New Roman" w:cs="Times New Roman"/>
        </w:rPr>
      </w:pPr>
      <w:ins w:id="6" w:author="Dan Lane" w:date="2022-04-18T11:22:00Z">
        <w:r w:rsidRPr="00B93605">
          <w:rPr>
            <w:rFonts w:ascii="Times New Roman" w:hAnsi="Times New Roman" w:cs="Times New Roman"/>
          </w:rPr>
          <w:t xml:space="preserve">A central </w:t>
        </w:r>
      </w:ins>
      <w:ins w:id="7" w:author="Dan Lane" w:date="2022-04-18T11:23:00Z">
        <w:r w:rsidRPr="00B93605">
          <w:rPr>
            <w:rFonts w:ascii="Times New Roman" w:hAnsi="Times New Roman" w:cs="Times New Roman"/>
          </w:rPr>
          <w:t xml:space="preserve">question in </w:t>
        </w:r>
      </w:ins>
      <w:ins w:id="8" w:author="Dan Lane" w:date="2022-04-18T11:22:00Z">
        <w:r w:rsidRPr="00B93605">
          <w:rPr>
            <w:rFonts w:ascii="Times New Roman" w:hAnsi="Times New Roman" w:cs="Times New Roman"/>
          </w:rPr>
          <w:t>s</w:t>
        </w:r>
      </w:ins>
      <w:ins w:id="9" w:author="Dan Lane" w:date="2022-04-18T11:15:00Z">
        <w:r w:rsidR="00551018" w:rsidRPr="00B93605">
          <w:rPr>
            <w:rFonts w:ascii="Times New Roman" w:hAnsi="Times New Roman" w:cs="Times New Roman"/>
          </w:rPr>
          <w:t xml:space="preserve">cholarship on </w:t>
        </w:r>
      </w:ins>
      <w:ins w:id="10" w:author="Dan Lane" w:date="2022-04-18T11:31:00Z">
        <w:r w:rsidR="007136BC" w:rsidRPr="00B93605">
          <w:rPr>
            <w:rFonts w:ascii="Times New Roman" w:hAnsi="Times New Roman" w:cs="Times New Roman"/>
          </w:rPr>
          <w:t>contemporary</w:t>
        </w:r>
      </w:ins>
      <w:ins w:id="11" w:author="Dan Lane" w:date="2022-04-18T11:15:00Z">
        <w:r w:rsidR="00551018" w:rsidRPr="00B93605">
          <w:rPr>
            <w:rFonts w:ascii="Times New Roman" w:hAnsi="Times New Roman" w:cs="Times New Roman"/>
          </w:rPr>
          <w:t xml:space="preserve"> </w:t>
        </w:r>
      </w:ins>
      <w:ins w:id="12" w:author="Dan Lane" w:date="2022-04-18T11:16:00Z">
        <w:r w:rsidR="00551018" w:rsidRPr="00B93605">
          <w:rPr>
            <w:rFonts w:ascii="Times New Roman" w:hAnsi="Times New Roman" w:cs="Times New Roman"/>
          </w:rPr>
          <w:t xml:space="preserve">news environments </w:t>
        </w:r>
      </w:ins>
      <w:ins w:id="13" w:author="Dan Lane" w:date="2022-04-18T11:24:00Z">
        <w:r w:rsidRPr="00B93605">
          <w:rPr>
            <w:rFonts w:ascii="Times New Roman" w:hAnsi="Times New Roman" w:cs="Times New Roman"/>
          </w:rPr>
          <w:t xml:space="preserve">has been </w:t>
        </w:r>
      </w:ins>
      <w:ins w:id="14" w:author="Dan Lane" w:date="2022-04-18T11:26:00Z">
        <w:r w:rsidR="00B739EC" w:rsidRPr="00B93605">
          <w:rPr>
            <w:rFonts w:ascii="Times New Roman" w:hAnsi="Times New Roman" w:cs="Times New Roman"/>
          </w:rPr>
          <w:t>whether</w:t>
        </w:r>
      </w:ins>
      <w:ins w:id="15" w:author="Dan Lane" w:date="2022-04-18T11:24:00Z">
        <w:r w:rsidR="00B739EC" w:rsidRPr="00B93605">
          <w:rPr>
            <w:rFonts w:ascii="Times New Roman" w:hAnsi="Times New Roman" w:cs="Times New Roman"/>
          </w:rPr>
          <w:t xml:space="preserve"> </w:t>
        </w:r>
      </w:ins>
      <w:ins w:id="16" w:author="Dan Lane" w:date="2022-04-18T11:31:00Z">
        <w:r w:rsidR="007136BC" w:rsidRPr="00B93605">
          <w:rPr>
            <w:rFonts w:ascii="Times New Roman" w:hAnsi="Times New Roman" w:cs="Times New Roman"/>
          </w:rPr>
          <w:t>digital media</w:t>
        </w:r>
      </w:ins>
      <w:ins w:id="17" w:author="Dan Lane" w:date="2022-04-18T11:26:00Z">
        <w:r w:rsidR="00B739EC" w:rsidRPr="00B93605">
          <w:rPr>
            <w:rFonts w:ascii="Times New Roman" w:hAnsi="Times New Roman" w:cs="Times New Roman"/>
          </w:rPr>
          <w:t xml:space="preserve"> are reshaping</w:t>
        </w:r>
      </w:ins>
      <w:ins w:id="18" w:author="Dan Lane" w:date="2022-04-18T11:16:00Z">
        <w:r w:rsidR="00551018" w:rsidRPr="00B93605">
          <w:rPr>
            <w:rFonts w:ascii="Times New Roman" w:hAnsi="Times New Roman" w:cs="Times New Roman"/>
          </w:rPr>
          <w:t xml:space="preserve"> </w:t>
        </w:r>
      </w:ins>
      <w:ins w:id="19" w:author="Dan Lane" w:date="2022-04-18T11:24:00Z">
        <w:r w:rsidR="00B739EC" w:rsidRPr="00B93605">
          <w:rPr>
            <w:rFonts w:ascii="Times New Roman" w:hAnsi="Times New Roman" w:cs="Times New Roman"/>
          </w:rPr>
          <w:t xml:space="preserve">long-standing </w:t>
        </w:r>
      </w:ins>
      <w:ins w:id="20" w:author="Dan Lane" w:date="2022-04-18T11:16:00Z">
        <w:r w:rsidR="00551018" w:rsidRPr="00B93605">
          <w:rPr>
            <w:rFonts w:ascii="Times New Roman" w:hAnsi="Times New Roman" w:cs="Times New Roman"/>
          </w:rPr>
          <w:t xml:space="preserve">inequalities in news exposure and engagement. </w:t>
        </w:r>
      </w:ins>
      <w:ins w:id="21" w:author="Dan Lane" w:date="2022-04-18T12:25:00Z">
        <w:r w:rsidR="00EF48F4" w:rsidRPr="00B93605">
          <w:rPr>
            <w:rFonts w:ascii="Times New Roman" w:hAnsi="Times New Roman" w:cs="Times New Roman"/>
          </w:rPr>
          <w:t>Historically, individuals with greater political resources (e.g., the wealthy</w:t>
        </w:r>
      </w:ins>
      <w:ins w:id="22" w:author="Dan Lane" w:date="2022-04-18T12:26:00Z">
        <w:r w:rsidR="00EF48F4" w:rsidRPr="00B93605">
          <w:rPr>
            <w:rFonts w:ascii="Times New Roman" w:hAnsi="Times New Roman" w:cs="Times New Roman"/>
          </w:rPr>
          <w:t xml:space="preserve">, educated and politically interested) have </w:t>
        </w:r>
        <w:r w:rsidR="002C2EA7" w:rsidRPr="00B93605">
          <w:rPr>
            <w:rFonts w:ascii="Times New Roman" w:hAnsi="Times New Roman" w:cs="Times New Roman"/>
          </w:rPr>
          <w:t>been able to</w:t>
        </w:r>
      </w:ins>
      <w:ins w:id="23" w:author="Dan Lane" w:date="2022-04-18T12:27:00Z">
        <w:r w:rsidR="002C2EA7" w:rsidRPr="00B93605">
          <w:rPr>
            <w:rFonts w:ascii="Times New Roman" w:hAnsi="Times New Roman" w:cs="Times New Roman"/>
          </w:rPr>
          <w:t xml:space="preserve"> not only consume more news content, but reap </w:t>
        </w:r>
      </w:ins>
      <w:ins w:id="24" w:author="Dan Lane" w:date="2022-04-18T12:29:00Z">
        <w:r w:rsidR="002C2EA7" w:rsidRPr="00B93605">
          <w:rPr>
            <w:rFonts w:ascii="Times New Roman" w:hAnsi="Times New Roman" w:cs="Times New Roman"/>
          </w:rPr>
          <w:t>greater</w:t>
        </w:r>
      </w:ins>
      <w:ins w:id="25" w:author="Dan Lane" w:date="2022-04-18T12:27:00Z">
        <w:r w:rsidR="002C2EA7" w:rsidRPr="00B93605">
          <w:rPr>
            <w:rFonts w:ascii="Times New Roman" w:hAnsi="Times New Roman" w:cs="Times New Roman"/>
          </w:rPr>
          <w:t xml:space="preserve"> benefits in terms of political knowledge and engagement </w:t>
        </w:r>
      </w:ins>
      <w:ins w:id="26" w:author="Dan Lane" w:date="2022-04-18T12:43:00Z">
        <w:r w:rsidR="008655BF" w:rsidRPr="00B93605">
          <w:rPr>
            <w:rFonts w:ascii="Times New Roman" w:hAnsi="Times New Roman" w:cs="Times New Roman"/>
          </w:rPr>
          <w:t>(Schlozman et al., 2018)</w:t>
        </w:r>
      </w:ins>
      <w:ins w:id="27" w:author="Dan Lane" w:date="2022-04-18T12:27:00Z">
        <w:r w:rsidR="002C2EA7" w:rsidRPr="00B93605">
          <w:rPr>
            <w:rFonts w:ascii="Times New Roman" w:hAnsi="Times New Roman" w:cs="Times New Roman"/>
          </w:rPr>
          <w:t>.</w:t>
        </w:r>
      </w:ins>
      <w:ins w:id="28" w:author="Dan Lane" w:date="2022-04-18T12:45:00Z">
        <w:r w:rsidR="00BD14A4" w:rsidRPr="00B93605">
          <w:rPr>
            <w:rFonts w:ascii="Times New Roman" w:hAnsi="Times New Roman" w:cs="Times New Roman"/>
          </w:rPr>
          <w:t xml:space="preserve"> </w:t>
        </w:r>
      </w:ins>
      <w:ins w:id="29" w:author="Dan Lane" w:date="2022-04-18T11:27:00Z">
        <w:r w:rsidR="00B739EC" w:rsidRPr="00B93605">
          <w:rPr>
            <w:rFonts w:ascii="Times New Roman" w:hAnsi="Times New Roman" w:cs="Times New Roman"/>
          </w:rPr>
          <w:t>The dominant perspective has been that d</w:t>
        </w:r>
      </w:ins>
      <w:ins w:id="30" w:author="Dan Lane" w:date="2022-04-18T11:25:00Z">
        <w:r w:rsidR="00B739EC" w:rsidRPr="00B93605">
          <w:rPr>
            <w:rFonts w:ascii="Times New Roman" w:hAnsi="Times New Roman" w:cs="Times New Roman"/>
          </w:rPr>
          <w:t xml:space="preserve">igital media </w:t>
        </w:r>
      </w:ins>
      <w:ins w:id="31" w:author="Dan Lane" w:date="2022-04-18T11:27:00Z">
        <w:r w:rsidR="00B739EC" w:rsidRPr="00B93605">
          <w:rPr>
            <w:rFonts w:ascii="Times New Roman" w:hAnsi="Times New Roman" w:cs="Times New Roman"/>
          </w:rPr>
          <w:t>create</w:t>
        </w:r>
      </w:ins>
      <w:ins w:id="32" w:author="Dan Lane" w:date="2022-04-18T11:25:00Z">
        <w:r w:rsidR="00B739EC" w:rsidRPr="00B93605">
          <w:rPr>
            <w:rFonts w:ascii="Times New Roman" w:hAnsi="Times New Roman" w:cs="Times New Roman"/>
          </w:rPr>
          <w:t xml:space="preserve"> </w:t>
        </w:r>
      </w:ins>
      <w:ins w:id="33" w:author="Dan Lane" w:date="2022-04-18T11:30:00Z">
        <w:r w:rsidR="007136BC" w:rsidRPr="00B93605">
          <w:rPr>
            <w:rFonts w:ascii="Times New Roman" w:hAnsi="Times New Roman" w:cs="Times New Roman"/>
          </w:rPr>
          <w:t>“</w:t>
        </w:r>
      </w:ins>
      <w:ins w:id="34" w:author="Dan Lane" w:date="2022-04-18T11:25:00Z">
        <w:r w:rsidR="00B739EC" w:rsidRPr="00B93605">
          <w:rPr>
            <w:rFonts w:ascii="Times New Roman" w:hAnsi="Times New Roman" w:cs="Times New Roman"/>
          </w:rPr>
          <w:t>high</w:t>
        </w:r>
      </w:ins>
      <w:ins w:id="35" w:author="Dan Lane" w:date="2022-04-18T11:26:00Z">
        <w:r w:rsidR="00B739EC" w:rsidRPr="00B93605">
          <w:rPr>
            <w:rFonts w:ascii="Times New Roman" w:hAnsi="Times New Roman" w:cs="Times New Roman"/>
          </w:rPr>
          <w:t>-</w:t>
        </w:r>
      </w:ins>
      <w:ins w:id="36" w:author="Dan Lane" w:date="2022-04-18T11:25:00Z">
        <w:r w:rsidR="00B739EC" w:rsidRPr="00B93605">
          <w:rPr>
            <w:rFonts w:ascii="Times New Roman" w:hAnsi="Times New Roman" w:cs="Times New Roman"/>
          </w:rPr>
          <w:t>choice</w:t>
        </w:r>
      </w:ins>
      <w:ins w:id="37" w:author="Dan Lane" w:date="2022-04-18T11:30:00Z">
        <w:r w:rsidR="007136BC" w:rsidRPr="00B93605">
          <w:rPr>
            <w:rFonts w:ascii="Times New Roman" w:hAnsi="Times New Roman" w:cs="Times New Roman"/>
          </w:rPr>
          <w:t>”</w:t>
        </w:r>
      </w:ins>
      <w:ins w:id="38" w:author="Dan Lane" w:date="2022-04-18T11:25:00Z">
        <w:r w:rsidR="00B739EC" w:rsidRPr="00B93605">
          <w:rPr>
            <w:rFonts w:ascii="Times New Roman" w:hAnsi="Times New Roman" w:cs="Times New Roman"/>
          </w:rPr>
          <w:t xml:space="preserve"> media environments, in </w:t>
        </w:r>
      </w:ins>
      <w:ins w:id="39" w:author="Dan Lane" w:date="2022-04-18T11:36:00Z">
        <w:r w:rsidR="00DB2CD4" w:rsidRPr="00B93605">
          <w:rPr>
            <w:rFonts w:ascii="Times New Roman" w:hAnsi="Times New Roman" w:cs="Times New Roman"/>
          </w:rPr>
          <w:t>which t</w:t>
        </w:r>
      </w:ins>
      <w:ins w:id="40" w:author="Dan Lane" w:date="2022-04-18T11:32:00Z">
        <w:r w:rsidR="007136BC" w:rsidRPr="00B93605">
          <w:rPr>
            <w:rFonts w:ascii="Times New Roman" w:hAnsi="Times New Roman" w:cs="Times New Roman"/>
          </w:rPr>
          <w:t>he ability of individuals to customize and curate their media diets</w:t>
        </w:r>
        <w:r w:rsidR="007136BC" w:rsidRPr="00B93605">
          <w:rPr>
            <w:rFonts w:ascii="Times New Roman" w:hAnsi="Times New Roman" w:cs="Times New Roman"/>
          </w:rPr>
          <w:t xml:space="preserve"> has</w:t>
        </w:r>
      </w:ins>
      <w:ins w:id="41" w:author="Dan Lane" w:date="2022-04-18T11:33:00Z">
        <w:r w:rsidR="007136BC" w:rsidRPr="00B93605">
          <w:rPr>
            <w:rFonts w:ascii="Times New Roman" w:hAnsi="Times New Roman" w:cs="Times New Roman"/>
          </w:rPr>
          <w:t xml:space="preserve"> </w:t>
        </w:r>
        <w:r w:rsidR="007136BC" w:rsidRPr="00B93605">
          <w:rPr>
            <w:rFonts w:ascii="Times New Roman" w:hAnsi="Times New Roman" w:cs="Times New Roman"/>
          </w:rPr>
          <w:t>deepen</w:t>
        </w:r>
        <w:r w:rsidR="007136BC" w:rsidRPr="00B93605">
          <w:rPr>
            <w:rFonts w:ascii="Times New Roman" w:hAnsi="Times New Roman" w:cs="Times New Roman"/>
          </w:rPr>
          <w:t>ed</w:t>
        </w:r>
        <w:r w:rsidR="007136BC" w:rsidRPr="00B93605">
          <w:rPr>
            <w:rFonts w:ascii="Times New Roman" w:hAnsi="Times New Roman" w:cs="Times New Roman"/>
          </w:rPr>
          <w:t xml:space="preserve"> </w:t>
        </w:r>
      </w:ins>
      <w:ins w:id="42" w:author="Dan Lane" w:date="2022-04-18T12:51:00Z">
        <w:r w:rsidR="003C0F7B" w:rsidRPr="00B93605">
          <w:rPr>
            <w:rFonts w:ascii="Times New Roman" w:hAnsi="Times New Roman" w:cs="Times New Roman"/>
          </w:rPr>
          <w:t>inequalities</w:t>
        </w:r>
      </w:ins>
      <w:ins w:id="43" w:author="Dan Lane" w:date="2022-04-18T11:33:00Z">
        <w:r w:rsidR="007136BC" w:rsidRPr="00B93605">
          <w:rPr>
            <w:rFonts w:ascii="Times New Roman" w:hAnsi="Times New Roman" w:cs="Times New Roman"/>
          </w:rPr>
          <w:t xml:space="preserve"> in</w:t>
        </w:r>
        <w:r w:rsidR="007136BC" w:rsidRPr="00B93605">
          <w:rPr>
            <w:rFonts w:ascii="Times New Roman" w:hAnsi="Times New Roman" w:cs="Times New Roman"/>
          </w:rPr>
          <w:t xml:space="preserve"> news consumption</w:t>
        </w:r>
      </w:ins>
      <w:ins w:id="44" w:author="Dan Lane" w:date="2022-04-18T11:34:00Z">
        <w:r w:rsidR="007136BC" w:rsidRPr="00B93605">
          <w:rPr>
            <w:rFonts w:ascii="Times New Roman" w:hAnsi="Times New Roman" w:cs="Times New Roman"/>
          </w:rPr>
          <w:t xml:space="preserve"> </w:t>
        </w:r>
        <w:r w:rsidR="007136BC" w:rsidRPr="00B93605">
          <w:rPr>
            <w:rFonts w:ascii="Times New Roman" w:hAnsi="Times New Roman" w:cs="Times New Roman"/>
          </w:rPr>
          <w:t>(Prior 2007)</w:t>
        </w:r>
      </w:ins>
      <w:ins w:id="45" w:author="Dan Lane" w:date="2022-04-18T11:33:00Z">
        <w:r w:rsidR="007136BC" w:rsidRPr="00B93605">
          <w:rPr>
            <w:rFonts w:ascii="Times New Roman" w:hAnsi="Times New Roman" w:cs="Times New Roman"/>
          </w:rPr>
          <w:t>.</w:t>
        </w:r>
      </w:ins>
      <w:ins w:id="46" w:author="Dan Lane" w:date="2022-04-18T12:53:00Z">
        <w:r w:rsidR="00683620" w:rsidRPr="00B93605">
          <w:rPr>
            <w:rFonts w:ascii="Times New Roman" w:hAnsi="Times New Roman" w:cs="Times New Roman"/>
          </w:rPr>
          <w:t xml:space="preserve"> </w:t>
        </w:r>
      </w:ins>
      <w:ins w:id="47" w:author="Dan Lane" w:date="2022-04-18T11:42:00Z">
        <w:r w:rsidR="00911B82" w:rsidRPr="00B93605">
          <w:rPr>
            <w:rFonts w:ascii="Times New Roman" w:hAnsi="Times New Roman" w:cs="Times New Roman"/>
          </w:rPr>
          <w:t>According</w:t>
        </w:r>
        <w:r w:rsidR="00911B82">
          <w:rPr>
            <w:rFonts w:ascii="Times New Roman" w:hAnsi="Times New Roman" w:cs="Times New Roman"/>
          </w:rPr>
          <w:t xml:space="preserve"> to this view, </w:t>
        </w:r>
      </w:ins>
      <w:ins w:id="48" w:author="Dan Lane" w:date="2022-04-18T11:40:00Z">
        <w:r w:rsidR="00911B82">
          <w:rPr>
            <w:rFonts w:ascii="Times New Roman" w:hAnsi="Times New Roman" w:cs="Times New Roman"/>
          </w:rPr>
          <w:t xml:space="preserve">the politically </w:t>
        </w:r>
      </w:ins>
      <w:ins w:id="49" w:author="Dan Lane" w:date="2022-04-18T11:41:00Z">
        <w:r w:rsidR="00911B82">
          <w:rPr>
            <w:rFonts w:ascii="Times New Roman" w:hAnsi="Times New Roman" w:cs="Times New Roman"/>
          </w:rPr>
          <w:t>interested</w:t>
        </w:r>
      </w:ins>
      <w:ins w:id="50" w:author="Dan Lane" w:date="2022-04-18T11:40:00Z">
        <w:r w:rsidR="00911B82">
          <w:rPr>
            <w:rFonts w:ascii="Times New Roman" w:hAnsi="Times New Roman" w:cs="Times New Roman"/>
          </w:rPr>
          <w:t xml:space="preserve"> exist in news-rich digital </w:t>
        </w:r>
      </w:ins>
      <w:ins w:id="51" w:author="Dan Lane" w:date="2022-04-18T11:41:00Z">
        <w:r w:rsidR="00911B82">
          <w:rPr>
            <w:rFonts w:ascii="Times New Roman" w:hAnsi="Times New Roman" w:cs="Times New Roman"/>
          </w:rPr>
          <w:t>spaces, while everyone else is able to self-select out of news and politics altogether</w:t>
        </w:r>
      </w:ins>
      <w:ins w:id="52" w:author="Dan Lane" w:date="2022-04-18T11:50:00Z">
        <w:r w:rsidR="002D26D8">
          <w:rPr>
            <w:rFonts w:ascii="Times New Roman" w:hAnsi="Times New Roman" w:cs="Times New Roman"/>
          </w:rPr>
          <w:t xml:space="preserve"> </w:t>
        </w:r>
        <w:r w:rsidR="002D26D8" w:rsidRPr="00D27195">
          <w:rPr>
            <w:rFonts w:ascii="Times New Roman" w:hAnsi="Times New Roman" w:cs="Times New Roman"/>
          </w:rPr>
          <w:t>(Karlsen et al., 2020</w:t>
        </w:r>
      </w:ins>
      <w:ins w:id="53" w:author="Dan Lane" w:date="2022-04-18T11:51:00Z">
        <w:r w:rsidR="00AA0C52">
          <w:rPr>
            <w:rFonts w:ascii="Times New Roman" w:hAnsi="Times New Roman" w:cs="Times New Roman"/>
          </w:rPr>
          <w:t>; Thorson</w:t>
        </w:r>
      </w:ins>
      <w:ins w:id="54" w:author="Dan Lane" w:date="2022-04-18T12:07:00Z">
        <w:r w:rsidR="00945193">
          <w:rPr>
            <w:rFonts w:ascii="Times New Roman" w:hAnsi="Times New Roman" w:cs="Times New Roman"/>
          </w:rPr>
          <w:t>, 2015</w:t>
        </w:r>
      </w:ins>
      <w:ins w:id="55" w:author="Dan Lane" w:date="2022-04-18T11:50:00Z">
        <w:r w:rsidR="002D26D8" w:rsidRPr="00D27195">
          <w:rPr>
            <w:rFonts w:ascii="Times New Roman" w:hAnsi="Times New Roman" w:cs="Times New Roman"/>
          </w:rPr>
          <w:t>)</w:t>
        </w:r>
      </w:ins>
      <w:ins w:id="56" w:author="Dan Lane" w:date="2022-04-18T11:41:00Z">
        <w:r w:rsidR="00911B82">
          <w:rPr>
            <w:rFonts w:ascii="Times New Roman" w:hAnsi="Times New Roman" w:cs="Times New Roman"/>
          </w:rPr>
          <w:t xml:space="preserve">. </w:t>
        </w:r>
      </w:ins>
      <w:ins w:id="57" w:author="Dan Lane" w:date="2022-04-18T11:43:00Z">
        <w:r w:rsidR="00911B82">
          <w:rPr>
            <w:rFonts w:ascii="Times New Roman" w:hAnsi="Times New Roman" w:cs="Times New Roman"/>
          </w:rPr>
          <w:t xml:space="preserve">Empirical research has </w:t>
        </w:r>
      </w:ins>
      <w:ins w:id="58" w:author="Dan Lane" w:date="2022-04-18T11:46:00Z">
        <w:r w:rsidR="002D26D8">
          <w:rPr>
            <w:rFonts w:ascii="Times New Roman" w:hAnsi="Times New Roman" w:cs="Times New Roman"/>
          </w:rPr>
          <w:t>documented that</w:t>
        </w:r>
      </w:ins>
      <w:ins w:id="59" w:author="Dan Lane" w:date="2022-04-18T11:47:00Z">
        <w:r w:rsidR="002D26D8">
          <w:rPr>
            <w:rFonts w:ascii="Times New Roman" w:hAnsi="Times New Roman" w:cs="Times New Roman"/>
          </w:rPr>
          <w:t xml:space="preserve"> inequalities in news exposure and engagement persist online</w:t>
        </w:r>
      </w:ins>
      <w:ins w:id="60" w:author="Dan Lane" w:date="2022-04-18T11:54:00Z">
        <w:r w:rsidR="00AA0C52">
          <w:rPr>
            <w:rFonts w:ascii="Times New Roman" w:hAnsi="Times New Roman" w:cs="Times New Roman"/>
          </w:rPr>
          <w:t xml:space="preserve"> </w:t>
        </w:r>
        <w:r w:rsidR="00AA0C52" w:rsidRPr="00AA0C52">
          <w:rPr>
            <w:rFonts w:ascii="Times New Roman" w:hAnsi="Times New Roman" w:cs="Times New Roman"/>
          </w:rPr>
          <w:t>(</w:t>
        </w:r>
      </w:ins>
      <w:proofErr w:type="spellStart"/>
      <w:ins w:id="61" w:author="Dan Lane" w:date="2022-04-18T12:06:00Z">
        <w:r w:rsidR="00945193" w:rsidRPr="00945193">
          <w:rPr>
            <w:rFonts w:ascii="Times New Roman" w:hAnsi="Times New Roman" w:cs="Times New Roman"/>
          </w:rPr>
          <w:t>Kalogeropoulos</w:t>
        </w:r>
        <w:proofErr w:type="spellEnd"/>
        <w:r w:rsidR="00945193" w:rsidRPr="00945193">
          <w:rPr>
            <w:rFonts w:ascii="Times New Roman" w:hAnsi="Times New Roman" w:cs="Times New Roman"/>
          </w:rPr>
          <w:t xml:space="preserve"> &amp; Nielsen, 2018</w:t>
        </w:r>
        <w:r w:rsidR="00945193">
          <w:rPr>
            <w:rFonts w:ascii="Times New Roman" w:hAnsi="Times New Roman" w:cs="Times New Roman"/>
          </w:rPr>
          <w:t xml:space="preserve">; </w:t>
        </w:r>
      </w:ins>
      <w:proofErr w:type="spellStart"/>
      <w:ins w:id="62" w:author="Dan Lane" w:date="2022-04-18T11:54:00Z">
        <w:r w:rsidR="00AA0C52" w:rsidRPr="00AA0C52">
          <w:rPr>
            <w:rFonts w:ascii="Times New Roman" w:hAnsi="Times New Roman" w:cs="Times New Roman"/>
          </w:rPr>
          <w:t>Merten</w:t>
        </w:r>
        <w:proofErr w:type="spellEnd"/>
        <w:r w:rsidR="00AA0C52" w:rsidRPr="00AA0C52">
          <w:rPr>
            <w:rFonts w:ascii="Times New Roman" w:hAnsi="Times New Roman" w:cs="Times New Roman"/>
          </w:rPr>
          <w:t xml:space="preserve"> et al., 2022)</w:t>
        </w:r>
      </w:ins>
      <w:ins w:id="63" w:author="Dan Lane" w:date="2022-04-18T11:47:00Z">
        <w:r w:rsidR="002D26D8">
          <w:rPr>
            <w:rFonts w:ascii="Times New Roman" w:hAnsi="Times New Roman" w:cs="Times New Roman"/>
          </w:rPr>
          <w:t xml:space="preserve">. </w:t>
        </w:r>
      </w:ins>
      <w:ins w:id="64" w:author="Dan Lane" w:date="2022-04-18T11:41:00Z">
        <w:r w:rsidR="00911B82" w:rsidRPr="00D27195">
          <w:rPr>
            <w:rFonts w:ascii="Times New Roman" w:hAnsi="Times New Roman" w:cs="Times New Roman"/>
          </w:rPr>
          <w:t xml:space="preserve">Yet </w:t>
        </w:r>
        <w:r w:rsidR="00911B82">
          <w:rPr>
            <w:rFonts w:ascii="Times New Roman" w:hAnsi="Times New Roman" w:cs="Times New Roman"/>
          </w:rPr>
          <w:t>the</w:t>
        </w:r>
        <w:r w:rsidR="00911B82" w:rsidRPr="00D27195">
          <w:rPr>
            <w:rFonts w:ascii="Times New Roman" w:hAnsi="Times New Roman" w:cs="Times New Roman"/>
          </w:rPr>
          <w:t xml:space="preserve"> burgeoning literature on “incidental” exposure complicates this picture.</w:t>
        </w:r>
      </w:ins>
    </w:p>
    <w:p w14:paraId="39B3963F" w14:textId="151AFB55" w:rsidR="002D26D8" w:rsidRPr="00A711F6" w:rsidRDefault="002D26D8" w:rsidP="00A711F6">
      <w:pPr>
        <w:rPr>
          <w:ins w:id="65" w:author="Dan Lane" w:date="2022-04-18T12:15:00Z"/>
          <w:rFonts w:ascii="Times New Roman" w:eastAsia="Times New Roman" w:hAnsi="Times New Roman" w:cs="Times New Roman"/>
          <w:rPrChange w:id="66" w:author="Dan Lane" w:date="2022-04-18T14:02:00Z">
            <w:rPr>
              <w:ins w:id="67" w:author="Dan Lane" w:date="2022-04-18T12:15:00Z"/>
              <w:rFonts w:ascii="Times New Roman" w:hAnsi="Times New Roman" w:cs="Times New Roman"/>
            </w:rPr>
          </w:rPrChange>
        </w:rPr>
        <w:pPrChange w:id="68" w:author="Dan Lane" w:date="2022-04-18T14:02:00Z">
          <w:pPr>
            <w:ind w:firstLine="720"/>
          </w:pPr>
        </w:pPrChange>
      </w:pPr>
      <w:ins w:id="69" w:author="Dan Lane" w:date="2022-04-18T11:48:00Z">
        <w:r>
          <w:rPr>
            <w:rFonts w:ascii="Times New Roman" w:hAnsi="Times New Roman" w:cs="Times New Roman"/>
          </w:rPr>
          <w:t>I</w:t>
        </w:r>
        <w:r w:rsidRPr="00D27195">
          <w:rPr>
            <w:rFonts w:ascii="Times New Roman" w:hAnsi="Times New Roman" w:cs="Times New Roman"/>
          </w:rPr>
          <w:t>ncidental exposure</w:t>
        </w:r>
        <w:r>
          <w:rPr>
            <w:rFonts w:ascii="Times New Roman" w:hAnsi="Times New Roman" w:cs="Times New Roman"/>
          </w:rPr>
          <w:t xml:space="preserve"> broadly describes</w:t>
        </w:r>
        <w:r w:rsidRPr="00D27195">
          <w:rPr>
            <w:rFonts w:ascii="Times New Roman" w:hAnsi="Times New Roman" w:cs="Times New Roman"/>
          </w:rPr>
          <w:t xml:space="preserve"> encounters</w:t>
        </w:r>
      </w:ins>
      <w:ins w:id="70" w:author="Dan Lane" w:date="2022-04-18T11:49:00Z">
        <w:r>
          <w:rPr>
            <w:rFonts w:ascii="Times New Roman" w:hAnsi="Times New Roman" w:cs="Times New Roman"/>
          </w:rPr>
          <w:t xml:space="preserve"> with</w:t>
        </w:r>
      </w:ins>
      <w:ins w:id="71" w:author="Dan Lane" w:date="2022-04-18T11:48:00Z">
        <w:r w:rsidRPr="00D27195">
          <w:rPr>
            <w:rFonts w:ascii="Times New Roman" w:hAnsi="Times New Roman" w:cs="Times New Roman"/>
          </w:rPr>
          <w:t xml:space="preserve"> news or political information </w:t>
        </w:r>
      </w:ins>
      <w:ins w:id="72" w:author="Dan Lane" w:date="2022-04-18T11:49:00Z">
        <w:r>
          <w:rPr>
            <w:rFonts w:ascii="Times New Roman" w:hAnsi="Times New Roman" w:cs="Times New Roman"/>
          </w:rPr>
          <w:t>that occur when individuals are using media for other</w:t>
        </w:r>
      </w:ins>
      <w:ins w:id="73" w:author="Dan Lane" w:date="2022-04-18T12:07:00Z">
        <w:r w:rsidR="00945193">
          <w:rPr>
            <w:rFonts w:ascii="Times New Roman" w:hAnsi="Times New Roman" w:cs="Times New Roman"/>
          </w:rPr>
          <w:t xml:space="preserve">, non-news </w:t>
        </w:r>
      </w:ins>
      <w:ins w:id="74" w:author="Dan Lane" w:date="2022-04-18T11:49:00Z">
        <w:r>
          <w:rPr>
            <w:rFonts w:ascii="Times New Roman" w:hAnsi="Times New Roman" w:cs="Times New Roman"/>
          </w:rPr>
          <w:t>purposes</w:t>
        </w:r>
      </w:ins>
      <w:ins w:id="75" w:author="Dan Lane" w:date="2022-04-18T11:48:00Z">
        <w:r w:rsidRPr="00D27195">
          <w:rPr>
            <w:rFonts w:ascii="Times New Roman" w:hAnsi="Times New Roman" w:cs="Times New Roman"/>
          </w:rPr>
          <w:t xml:space="preserve"> (Weeks &amp; Lane, 2020).</w:t>
        </w:r>
      </w:ins>
      <w:ins w:id="76" w:author="Dan Lane" w:date="2022-04-18T11:50:00Z">
        <w:r>
          <w:rPr>
            <w:rFonts w:ascii="Times New Roman" w:hAnsi="Times New Roman" w:cs="Times New Roman"/>
          </w:rPr>
          <w:t xml:space="preserve"> </w:t>
        </w:r>
      </w:ins>
      <w:ins w:id="77" w:author="Dan Lane" w:date="2022-04-18T12:06:00Z">
        <w:r w:rsidR="00945193">
          <w:rPr>
            <w:rFonts w:ascii="Times New Roman" w:hAnsi="Times New Roman" w:cs="Times New Roman"/>
          </w:rPr>
          <w:t xml:space="preserve">Despite </w:t>
        </w:r>
      </w:ins>
      <w:ins w:id="78" w:author="Dan Lane" w:date="2022-04-18T12:08:00Z">
        <w:r w:rsidR="00945193">
          <w:rPr>
            <w:rFonts w:ascii="Times New Roman" w:hAnsi="Times New Roman" w:cs="Times New Roman"/>
          </w:rPr>
          <w:t>the high-choice</w:t>
        </w:r>
      </w:ins>
      <w:ins w:id="79" w:author="Dan Lane" w:date="2022-04-18T12:09:00Z">
        <w:r w:rsidR="00945193">
          <w:rPr>
            <w:rFonts w:ascii="Times New Roman" w:hAnsi="Times New Roman" w:cs="Times New Roman"/>
          </w:rPr>
          <w:t xml:space="preserve"> nature of digital media, </w:t>
        </w:r>
      </w:ins>
      <w:ins w:id="80" w:author="Dan Lane" w:date="2022-04-18T12:10:00Z">
        <w:r w:rsidR="00945193">
          <w:rPr>
            <w:rFonts w:ascii="Times New Roman" w:hAnsi="Times New Roman" w:cs="Times New Roman"/>
          </w:rPr>
          <w:t xml:space="preserve">the pervasiveness of news online </w:t>
        </w:r>
        <w:r w:rsidR="00194CAC">
          <w:rPr>
            <w:rFonts w:ascii="Times New Roman" w:hAnsi="Times New Roman" w:cs="Times New Roman"/>
          </w:rPr>
          <w:t xml:space="preserve">makes </w:t>
        </w:r>
      </w:ins>
      <w:ins w:id="81" w:author="Dan Lane" w:date="2022-04-18T12:11:00Z">
        <w:r w:rsidR="00194CAC">
          <w:rPr>
            <w:rFonts w:ascii="Times New Roman" w:hAnsi="Times New Roman" w:cs="Times New Roman"/>
          </w:rPr>
          <w:t xml:space="preserve">it likely that even those who have little interest in news will “stumble upon” it once </w:t>
        </w:r>
      </w:ins>
      <w:ins w:id="82" w:author="Dan Lane" w:date="2022-04-18T12:36:00Z">
        <w:r w:rsidR="00514158">
          <w:rPr>
            <w:rFonts w:ascii="Times New Roman" w:hAnsi="Times New Roman" w:cs="Times New Roman"/>
          </w:rPr>
          <w:t>in</w:t>
        </w:r>
      </w:ins>
      <w:ins w:id="83" w:author="Dan Lane" w:date="2022-04-18T12:11:00Z">
        <w:r w:rsidR="00194CAC">
          <w:rPr>
            <w:rFonts w:ascii="Times New Roman" w:hAnsi="Times New Roman" w:cs="Times New Roman"/>
          </w:rPr>
          <w:t xml:space="preserve"> a while</w:t>
        </w:r>
      </w:ins>
      <w:ins w:id="84" w:author="Dan Lane" w:date="2022-04-18T11:10:00Z">
        <w:r w:rsidR="00DE4A8C" w:rsidRPr="00DE4A8C">
          <w:rPr>
            <w:rFonts w:ascii="Times New Roman" w:hAnsi="Times New Roman" w:cs="Times New Roman"/>
            <w:rPrChange w:id="85" w:author="Dan Lane" w:date="2022-04-18T11:11:00Z">
              <w:rPr/>
            </w:rPrChange>
          </w:rPr>
          <w:t xml:space="preserve"> (Fletcher &amp; Nielsen, 2018; Weeks et al., 202</w:t>
        </w:r>
      </w:ins>
      <w:ins w:id="86" w:author="Dan Lane" w:date="2022-04-18T12:31:00Z">
        <w:r w:rsidR="000232DB">
          <w:rPr>
            <w:rFonts w:ascii="Times New Roman" w:hAnsi="Times New Roman" w:cs="Times New Roman"/>
          </w:rPr>
          <w:t>0</w:t>
        </w:r>
      </w:ins>
      <w:ins w:id="87" w:author="Dan Lane" w:date="2022-04-18T11:10:00Z">
        <w:r w:rsidR="00DE4A8C" w:rsidRPr="00DE4A8C">
          <w:rPr>
            <w:rFonts w:ascii="Times New Roman" w:hAnsi="Times New Roman" w:cs="Times New Roman"/>
            <w:rPrChange w:id="88" w:author="Dan Lane" w:date="2022-04-18T11:11:00Z">
              <w:rPr/>
            </w:rPrChange>
          </w:rPr>
          <w:t xml:space="preserve">). </w:t>
        </w:r>
      </w:ins>
      <w:ins w:id="89" w:author="Dan Lane" w:date="2022-04-18T12:12:00Z">
        <w:r w:rsidR="00194CAC">
          <w:rPr>
            <w:rFonts w:ascii="Times New Roman" w:hAnsi="Times New Roman" w:cs="Times New Roman"/>
          </w:rPr>
          <w:t>Accordin</w:t>
        </w:r>
      </w:ins>
      <w:ins w:id="90" w:author="Dan Lane" w:date="2022-04-18T12:13:00Z">
        <w:r w:rsidR="00194CAC">
          <w:rPr>
            <w:rFonts w:ascii="Times New Roman" w:hAnsi="Times New Roman" w:cs="Times New Roman"/>
          </w:rPr>
          <w:t>gly, some scholars have argued that the</w:t>
        </w:r>
      </w:ins>
      <w:ins w:id="91" w:author="Dan Lane" w:date="2022-04-18T12:12:00Z">
        <w:r w:rsidR="00194CAC">
          <w:rPr>
            <w:rFonts w:ascii="Times New Roman" w:hAnsi="Times New Roman" w:cs="Times New Roman"/>
          </w:rPr>
          <w:t xml:space="preserve"> sheer abundance of opportunity to encounter news </w:t>
        </w:r>
      </w:ins>
      <w:ins w:id="92" w:author="Dan Lane" w:date="2022-04-18T12:13:00Z">
        <w:r w:rsidR="00194CAC">
          <w:rPr>
            <w:rFonts w:ascii="Times New Roman" w:hAnsi="Times New Roman" w:cs="Times New Roman"/>
          </w:rPr>
          <w:t>online may actually serve to reduce</w:t>
        </w:r>
      </w:ins>
      <w:ins w:id="93" w:author="Dan Lane" w:date="2022-04-18T12:14:00Z">
        <w:r w:rsidR="00194CAC">
          <w:rPr>
            <w:rFonts w:ascii="Times New Roman" w:hAnsi="Times New Roman" w:cs="Times New Roman"/>
          </w:rPr>
          <w:t xml:space="preserve"> or temper </w:t>
        </w:r>
      </w:ins>
      <w:ins w:id="94" w:author="Dan Lane" w:date="2022-04-18T12:15:00Z">
        <w:r w:rsidR="00194CAC">
          <w:rPr>
            <w:rFonts w:ascii="Times New Roman" w:hAnsi="Times New Roman" w:cs="Times New Roman"/>
          </w:rPr>
          <w:t>political inequality</w:t>
        </w:r>
      </w:ins>
      <w:ins w:id="95" w:author="Dan Lane" w:date="2022-04-18T12:16:00Z">
        <w:r w:rsidR="00A603DE">
          <w:rPr>
            <w:rFonts w:ascii="Times New Roman" w:hAnsi="Times New Roman" w:cs="Times New Roman"/>
          </w:rPr>
          <w:t xml:space="preserve">, by providing opportunities </w:t>
        </w:r>
      </w:ins>
      <w:ins w:id="96" w:author="Dan Lane" w:date="2022-04-18T12:17:00Z">
        <w:r w:rsidR="00A603DE">
          <w:rPr>
            <w:rFonts w:ascii="Times New Roman" w:hAnsi="Times New Roman" w:cs="Times New Roman"/>
          </w:rPr>
          <w:t xml:space="preserve">for the disinterested </w:t>
        </w:r>
      </w:ins>
      <w:ins w:id="97" w:author="Dan Lane" w:date="2022-04-18T12:16:00Z">
        <w:r w:rsidR="00A603DE">
          <w:rPr>
            <w:rFonts w:ascii="Times New Roman" w:hAnsi="Times New Roman" w:cs="Times New Roman"/>
          </w:rPr>
          <w:t xml:space="preserve">to learn </w:t>
        </w:r>
      </w:ins>
      <w:ins w:id="98" w:author="Dan Lane" w:date="2022-04-18T12:17:00Z">
        <w:r w:rsidR="00A603DE">
          <w:rPr>
            <w:rFonts w:ascii="Times New Roman" w:hAnsi="Times New Roman" w:cs="Times New Roman"/>
          </w:rPr>
          <w:t xml:space="preserve">about </w:t>
        </w:r>
      </w:ins>
      <w:ins w:id="99" w:author="Dan Lane" w:date="2022-04-18T12:16:00Z">
        <w:r w:rsidR="00A603DE">
          <w:rPr>
            <w:rFonts w:ascii="Times New Roman" w:hAnsi="Times New Roman" w:cs="Times New Roman"/>
          </w:rPr>
          <w:t>and participate</w:t>
        </w:r>
      </w:ins>
      <w:ins w:id="100" w:author="Dan Lane" w:date="2022-04-18T12:17:00Z">
        <w:r w:rsidR="00A603DE">
          <w:rPr>
            <w:rFonts w:ascii="Times New Roman" w:hAnsi="Times New Roman" w:cs="Times New Roman"/>
          </w:rPr>
          <w:t xml:space="preserve"> in the political process</w:t>
        </w:r>
      </w:ins>
      <w:ins w:id="101" w:author="Dan Lane" w:date="2022-04-18T13:55:00Z">
        <w:r w:rsidR="00EF108B">
          <w:rPr>
            <w:rFonts w:ascii="Times New Roman" w:hAnsi="Times New Roman" w:cs="Times New Roman"/>
          </w:rPr>
          <w:t xml:space="preserve"> </w:t>
        </w:r>
      </w:ins>
      <w:ins w:id="102" w:author="Dan Lane" w:date="2022-04-18T13:58:00Z">
        <w:r w:rsidR="00EF108B">
          <w:rPr>
            <w:rFonts w:ascii="Times New Roman" w:hAnsi="Times New Roman" w:cs="Times New Roman"/>
          </w:rPr>
          <w:t>(Weeks et al. 2022</w:t>
        </w:r>
      </w:ins>
      <w:ins w:id="103" w:author="Dan Lane" w:date="2022-04-18T14:02:00Z">
        <w:r w:rsidR="00EF108B">
          <w:rPr>
            <w:rFonts w:ascii="Times New Roman" w:hAnsi="Times New Roman" w:cs="Times New Roman"/>
          </w:rPr>
          <w:t>;</w:t>
        </w:r>
        <w:r w:rsidR="00A711F6">
          <w:rPr>
            <w:rFonts w:ascii="Times New Roman" w:hAnsi="Times New Roman" w:cs="Times New Roman"/>
          </w:rPr>
          <w:t xml:space="preserve"> </w:t>
        </w:r>
        <w:proofErr w:type="spellStart"/>
        <w:r w:rsidR="00A711F6" w:rsidRPr="00A711F6">
          <w:rPr>
            <w:rFonts w:ascii="Times New Roman" w:eastAsia="Times New Roman" w:hAnsi="Times New Roman" w:cs="Times New Roman"/>
          </w:rPr>
          <w:t>Xenos</w:t>
        </w:r>
        <w:proofErr w:type="spellEnd"/>
        <w:r w:rsidR="00A711F6" w:rsidRPr="00A711F6">
          <w:rPr>
            <w:rFonts w:ascii="Times New Roman" w:eastAsia="Times New Roman" w:hAnsi="Times New Roman" w:cs="Times New Roman"/>
          </w:rPr>
          <w:t xml:space="preserve"> et al., 2014)</w:t>
        </w:r>
      </w:ins>
      <w:ins w:id="104" w:author="Dan Lane" w:date="2022-04-18T12:16:00Z">
        <w:r w:rsidR="00A603DE">
          <w:rPr>
            <w:rFonts w:ascii="Times New Roman" w:hAnsi="Times New Roman" w:cs="Times New Roman"/>
          </w:rPr>
          <w:t>.</w:t>
        </w:r>
      </w:ins>
      <w:ins w:id="105" w:author="Dan Lane" w:date="2022-04-18T12:34:00Z">
        <w:r w:rsidR="00514158">
          <w:rPr>
            <w:rFonts w:ascii="Times New Roman" w:hAnsi="Times New Roman" w:cs="Times New Roman"/>
          </w:rPr>
          <w:t xml:space="preserve"> Others have </w:t>
        </w:r>
      </w:ins>
      <w:ins w:id="106" w:author="Dan Lane" w:date="2022-04-18T12:35:00Z">
        <w:r w:rsidR="00514158">
          <w:rPr>
            <w:rFonts w:ascii="Times New Roman" w:hAnsi="Times New Roman" w:cs="Times New Roman"/>
          </w:rPr>
          <w:t>argued</w:t>
        </w:r>
      </w:ins>
      <w:ins w:id="107" w:author="Dan Lane" w:date="2022-04-18T12:34:00Z">
        <w:r w:rsidR="00514158">
          <w:rPr>
            <w:rFonts w:ascii="Times New Roman" w:hAnsi="Times New Roman" w:cs="Times New Roman"/>
          </w:rPr>
          <w:t xml:space="preserve"> tha</w:t>
        </w:r>
      </w:ins>
      <w:ins w:id="108" w:author="Dan Lane" w:date="2022-04-18T12:35:00Z">
        <w:r w:rsidR="00514158">
          <w:rPr>
            <w:rFonts w:ascii="Times New Roman" w:hAnsi="Times New Roman" w:cs="Times New Roman"/>
          </w:rPr>
          <w:t xml:space="preserve">t, while digital media </w:t>
        </w:r>
      </w:ins>
      <w:ins w:id="109" w:author="Dan Lane" w:date="2022-04-18T12:36:00Z">
        <w:r w:rsidR="0040205F">
          <w:rPr>
            <w:rFonts w:ascii="Times New Roman" w:hAnsi="Times New Roman" w:cs="Times New Roman"/>
          </w:rPr>
          <w:t xml:space="preserve">may </w:t>
        </w:r>
      </w:ins>
      <w:ins w:id="110" w:author="Dan Lane" w:date="2022-04-18T12:35:00Z">
        <w:r w:rsidR="00514158">
          <w:rPr>
            <w:rFonts w:ascii="Times New Roman" w:hAnsi="Times New Roman" w:cs="Times New Roman"/>
          </w:rPr>
          <w:t xml:space="preserve">facilitate incidental </w:t>
        </w:r>
      </w:ins>
      <w:ins w:id="111" w:author="Dan Lane" w:date="2022-04-18T12:37:00Z">
        <w:r w:rsidR="0040205F" w:rsidRPr="0040205F">
          <w:rPr>
            <w:rFonts w:ascii="Times New Roman" w:hAnsi="Times New Roman" w:cs="Times New Roman"/>
          </w:rPr>
          <w:t>exposure</w:t>
        </w:r>
      </w:ins>
      <w:ins w:id="112" w:author="Dan Lane" w:date="2022-04-18T12:35:00Z">
        <w:r w:rsidR="00514158">
          <w:rPr>
            <w:rFonts w:ascii="Times New Roman" w:hAnsi="Times New Roman" w:cs="Times New Roman"/>
          </w:rPr>
          <w:t xml:space="preserve"> </w:t>
        </w:r>
      </w:ins>
      <w:ins w:id="113" w:author="Dan Lane" w:date="2022-04-18T12:37:00Z">
        <w:r w:rsidR="0040205F">
          <w:rPr>
            <w:rFonts w:ascii="Times New Roman" w:hAnsi="Times New Roman" w:cs="Times New Roman"/>
          </w:rPr>
          <w:t>to</w:t>
        </w:r>
      </w:ins>
      <w:ins w:id="114" w:author="Dan Lane" w:date="2022-04-18T12:35:00Z">
        <w:r w:rsidR="00514158">
          <w:rPr>
            <w:rFonts w:ascii="Times New Roman" w:hAnsi="Times New Roman" w:cs="Times New Roman"/>
          </w:rPr>
          <w:t xml:space="preserve"> news, </w:t>
        </w:r>
      </w:ins>
      <w:ins w:id="115" w:author="Dan Lane" w:date="2022-04-18T12:37:00Z">
        <w:r w:rsidR="0040205F">
          <w:rPr>
            <w:rFonts w:ascii="Times New Roman" w:hAnsi="Times New Roman" w:cs="Times New Roman"/>
          </w:rPr>
          <w:t xml:space="preserve">actual </w:t>
        </w:r>
        <w:r w:rsidR="0040205F" w:rsidRPr="0040205F">
          <w:rPr>
            <w:rFonts w:ascii="Times New Roman" w:hAnsi="Times New Roman" w:cs="Times New Roman"/>
            <w:i/>
            <w:iCs/>
            <w:rPrChange w:id="116" w:author="Dan Lane" w:date="2022-04-18T12:39:00Z">
              <w:rPr>
                <w:rFonts w:ascii="Times New Roman" w:hAnsi="Times New Roman" w:cs="Times New Roman"/>
              </w:rPr>
            </w:rPrChange>
          </w:rPr>
          <w:t>engagement</w:t>
        </w:r>
        <w:r w:rsidR="0040205F">
          <w:rPr>
            <w:rFonts w:ascii="Times New Roman" w:hAnsi="Times New Roman" w:cs="Times New Roman"/>
          </w:rPr>
          <w:t xml:space="preserve"> with news will remain</w:t>
        </w:r>
      </w:ins>
      <w:ins w:id="117" w:author="Dan Lane" w:date="2022-04-18T12:40:00Z">
        <w:r w:rsidR="0040205F">
          <w:rPr>
            <w:rFonts w:ascii="Times New Roman" w:hAnsi="Times New Roman" w:cs="Times New Roman"/>
          </w:rPr>
          <w:t xml:space="preserve"> unequal </w:t>
        </w:r>
      </w:ins>
      <w:ins w:id="118" w:author="Dan Lane" w:date="2022-04-18T12:41:00Z">
        <w:r w:rsidR="0040205F" w:rsidRPr="0040205F">
          <w:rPr>
            <w:rFonts w:ascii="Times New Roman" w:hAnsi="Times New Roman" w:cs="Times New Roman"/>
          </w:rPr>
          <w:t>(</w:t>
        </w:r>
        <w:proofErr w:type="spellStart"/>
        <w:r w:rsidR="0040205F" w:rsidRPr="0040205F">
          <w:rPr>
            <w:rFonts w:ascii="Times New Roman" w:hAnsi="Times New Roman" w:cs="Times New Roman"/>
          </w:rPr>
          <w:t>Kümpel</w:t>
        </w:r>
        <w:proofErr w:type="spellEnd"/>
        <w:r w:rsidR="0040205F" w:rsidRPr="0040205F">
          <w:rPr>
            <w:rFonts w:ascii="Times New Roman" w:hAnsi="Times New Roman" w:cs="Times New Roman"/>
          </w:rPr>
          <w:t>, 2020</w:t>
        </w:r>
      </w:ins>
      <w:ins w:id="119" w:author="Dan Lane" w:date="2022-04-18T14:03:00Z">
        <w:r w:rsidR="00A711F6">
          <w:rPr>
            <w:rFonts w:ascii="Times New Roman" w:hAnsi="Times New Roman" w:cs="Times New Roman"/>
          </w:rPr>
          <w:t>; Thorson, 2020</w:t>
        </w:r>
      </w:ins>
      <w:ins w:id="120" w:author="Dan Lane" w:date="2022-04-18T12:41:00Z">
        <w:r w:rsidR="0040205F" w:rsidRPr="0040205F">
          <w:rPr>
            <w:rFonts w:ascii="Times New Roman" w:hAnsi="Times New Roman" w:cs="Times New Roman"/>
          </w:rPr>
          <w:t>)</w:t>
        </w:r>
      </w:ins>
      <w:ins w:id="121" w:author="Dan Lane" w:date="2022-04-18T12:40:00Z">
        <w:r w:rsidR="0040205F">
          <w:rPr>
            <w:rFonts w:ascii="Times New Roman" w:hAnsi="Times New Roman" w:cs="Times New Roman"/>
          </w:rPr>
          <w:t>.</w:t>
        </w:r>
      </w:ins>
    </w:p>
    <w:p w14:paraId="3C919837" w14:textId="68D911C4" w:rsidR="00EF48F4" w:rsidRDefault="00A603DE" w:rsidP="00EF48F4">
      <w:pPr>
        <w:ind w:firstLine="720"/>
        <w:rPr>
          <w:ins w:id="122" w:author="Dan Lane" w:date="2022-04-18T12:54:00Z"/>
          <w:rFonts w:ascii="Times New Roman" w:eastAsia="Times New Roman" w:hAnsi="Times New Roman" w:cs="Times New Roman"/>
        </w:rPr>
      </w:pPr>
      <w:ins w:id="123" w:author="Dan Lane" w:date="2022-04-18T12:17:00Z">
        <w:r>
          <w:rPr>
            <w:rFonts w:ascii="Times New Roman" w:hAnsi="Times New Roman" w:cs="Times New Roman"/>
          </w:rPr>
          <w:t>Th</w:t>
        </w:r>
      </w:ins>
      <w:ins w:id="124" w:author="Dan Lane" w:date="2022-04-18T12:35:00Z">
        <w:r w:rsidR="00514158">
          <w:rPr>
            <w:rFonts w:ascii="Times New Roman" w:hAnsi="Times New Roman" w:cs="Times New Roman"/>
          </w:rPr>
          <w:t>e</w:t>
        </w:r>
      </w:ins>
      <w:ins w:id="125" w:author="Dan Lane" w:date="2022-04-18T12:17:00Z">
        <w:r>
          <w:rPr>
            <w:rFonts w:ascii="Times New Roman" w:hAnsi="Times New Roman" w:cs="Times New Roman"/>
          </w:rPr>
          <w:t xml:space="preserve"> more optimistic view of digital media’s role in </w:t>
        </w:r>
      </w:ins>
      <w:ins w:id="126" w:author="Dan Lane" w:date="2022-04-18T12:19:00Z">
        <w:r>
          <w:rPr>
            <w:rFonts w:ascii="Times New Roman" w:hAnsi="Times New Roman" w:cs="Times New Roman"/>
          </w:rPr>
          <w:t xml:space="preserve">news </w:t>
        </w:r>
      </w:ins>
      <w:ins w:id="127" w:author="Dan Lane" w:date="2022-04-18T12:34:00Z">
        <w:r w:rsidR="00514158">
          <w:rPr>
            <w:rFonts w:ascii="Times New Roman" w:hAnsi="Times New Roman" w:cs="Times New Roman"/>
          </w:rPr>
          <w:t>inequalities</w:t>
        </w:r>
      </w:ins>
      <w:ins w:id="128" w:author="Dan Lane" w:date="2022-04-18T12:17:00Z">
        <w:r>
          <w:rPr>
            <w:rFonts w:ascii="Times New Roman" w:hAnsi="Times New Roman" w:cs="Times New Roman"/>
          </w:rPr>
          <w:t xml:space="preserve"> has found </w:t>
        </w:r>
      </w:ins>
      <w:ins w:id="129" w:author="Dan Lane" w:date="2022-04-18T12:22:00Z">
        <w:r w:rsidR="00EF48F4">
          <w:rPr>
            <w:rFonts w:ascii="Times New Roman" w:hAnsi="Times New Roman" w:cs="Times New Roman"/>
          </w:rPr>
          <w:t xml:space="preserve">some </w:t>
        </w:r>
      </w:ins>
      <w:ins w:id="130" w:author="Dan Lane" w:date="2022-04-18T12:17:00Z">
        <w:r>
          <w:rPr>
            <w:rFonts w:ascii="Times New Roman" w:hAnsi="Times New Roman" w:cs="Times New Roman"/>
          </w:rPr>
          <w:t xml:space="preserve">support in studies showing that </w:t>
        </w:r>
      </w:ins>
      <w:ins w:id="131" w:author="Dan Lane" w:date="2022-04-18T12:16:00Z">
        <w:r w:rsidR="00194CAC">
          <w:rPr>
            <w:rFonts w:ascii="Times New Roman" w:hAnsi="Times New Roman" w:cs="Times New Roman"/>
          </w:rPr>
          <w:t xml:space="preserve">online incidental exposure is positively related to </w:t>
        </w:r>
      </w:ins>
      <w:ins w:id="132" w:author="Dan Lane" w:date="2022-04-18T12:18:00Z">
        <w:r>
          <w:rPr>
            <w:rFonts w:ascii="Times New Roman" w:hAnsi="Times New Roman" w:cs="Times New Roman"/>
          </w:rPr>
          <w:t>political learning and participation</w:t>
        </w:r>
      </w:ins>
      <w:ins w:id="133" w:author="Dan Lane" w:date="2022-04-18T12:19:00Z">
        <w:r>
          <w:rPr>
            <w:rFonts w:ascii="Times New Roman" w:hAnsi="Times New Roman" w:cs="Times New Roman"/>
          </w:rPr>
          <w:t xml:space="preserve"> </w:t>
        </w:r>
      </w:ins>
      <w:ins w:id="134" w:author="Dan Lane" w:date="2022-04-18T12:20:00Z">
        <w:r w:rsidRPr="00A603DE">
          <w:rPr>
            <w:rFonts w:ascii="Times New Roman" w:eastAsia="Times New Roman" w:hAnsi="Times New Roman" w:cs="Times New Roman"/>
          </w:rPr>
          <w:t>(</w:t>
        </w:r>
      </w:ins>
      <w:ins w:id="135" w:author="Dan Lane" w:date="2022-04-18T12:31:00Z">
        <w:r w:rsidR="000232DB">
          <w:rPr>
            <w:rFonts w:ascii="Times New Roman" w:eastAsia="Times New Roman" w:hAnsi="Times New Roman" w:cs="Times New Roman"/>
          </w:rPr>
          <w:t xml:space="preserve">Weeks et al., 2021; </w:t>
        </w:r>
      </w:ins>
      <w:proofErr w:type="spellStart"/>
      <w:ins w:id="136" w:author="Dan Lane" w:date="2022-04-18T12:20:00Z">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ins>
      <w:ins w:id="137" w:author="Dan Lane" w:date="2022-04-18T12:22:00Z">
        <w:r w:rsidR="00EF48F4">
          <w:rPr>
            <w:rFonts w:ascii="Times New Roman" w:eastAsia="Times New Roman" w:hAnsi="Times New Roman" w:cs="Times New Roman"/>
          </w:rPr>
          <w:t xml:space="preserve">. However, </w:t>
        </w:r>
      </w:ins>
      <w:ins w:id="138" w:author="Dan Lane" w:date="2022-04-18T12:23:00Z">
        <w:r w:rsidR="00EF48F4">
          <w:rPr>
            <w:rFonts w:ascii="Times New Roman" w:eastAsia="Times New Roman" w:hAnsi="Times New Roman" w:cs="Times New Roman"/>
          </w:rPr>
          <w:t xml:space="preserve">a meta-analysis of incidental exposure research noted that these effects tend to be small and </w:t>
        </w:r>
      </w:ins>
      <w:ins w:id="139" w:author="Dan Lane" w:date="2022-04-18T12:24:00Z">
        <w:r w:rsidR="00EF48F4">
          <w:rPr>
            <w:rFonts w:ascii="Times New Roman" w:eastAsia="Times New Roman" w:hAnsi="Times New Roman" w:cs="Times New Roman"/>
          </w:rPr>
          <w:t xml:space="preserve">contextual </w:t>
        </w:r>
      </w:ins>
      <w:ins w:id="140" w:author="Dan Lane" w:date="2022-04-18T12:25:00Z">
        <w:r w:rsidR="00EF48F4" w:rsidRPr="00EF48F4">
          <w:rPr>
            <w:rFonts w:ascii="Times New Roman" w:eastAsia="Times New Roman" w:hAnsi="Times New Roman" w:cs="Times New Roman"/>
          </w:rPr>
          <w:t>(</w:t>
        </w:r>
        <w:proofErr w:type="spellStart"/>
        <w:r w:rsidR="00EF48F4" w:rsidRPr="00EF48F4">
          <w:rPr>
            <w:rFonts w:ascii="Times New Roman" w:eastAsia="Times New Roman" w:hAnsi="Times New Roman" w:cs="Times New Roman"/>
          </w:rPr>
          <w:t>Nanz</w:t>
        </w:r>
        <w:proofErr w:type="spellEnd"/>
        <w:r w:rsidR="00EF48F4" w:rsidRPr="00EF48F4">
          <w:rPr>
            <w:rFonts w:ascii="Times New Roman" w:eastAsia="Times New Roman" w:hAnsi="Times New Roman" w:cs="Times New Roman"/>
          </w:rPr>
          <w:t xml:space="preserve"> &amp; </w:t>
        </w:r>
        <w:proofErr w:type="spellStart"/>
        <w:r w:rsidR="00EF48F4" w:rsidRPr="00EF48F4">
          <w:rPr>
            <w:rFonts w:ascii="Times New Roman" w:eastAsia="Times New Roman" w:hAnsi="Times New Roman" w:cs="Times New Roman"/>
          </w:rPr>
          <w:t>Matthes</w:t>
        </w:r>
        <w:proofErr w:type="spellEnd"/>
        <w:r w:rsidR="00EF48F4" w:rsidRPr="00EF48F4">
          <w:rPr>
            <w:rFonts w:ascii="Times New Roman" w:eastAsia="Times New Roman" w:hAnsi="Times New Roman" w:cs="Times New Roman"/>
          </w:rPr>
          <w:t>, 2022)</w:t>
        </w:r>
      </w:ins>
      <w:ins w:id="141" w:author="Dan Lane" w:date="2022-04-18T12:31:00Z">
        <w:r w:rsidR="000232DB">
          <w:rPr>
            <w:rFonts w:ascii="Times New Roman" w:eastAsia="Times New Roman" w:hAnsi="Times New Roman" w:cs="Times New Roman"/>
          </w:rPr>
          <w:t xml:space="preserve">. </w:t>
        </w:r>
      </w:ins>
      <w:ins w:id="142" w:author="Dan Lane" w:date="2022-04-18T12:32:00Z">
        <w:r w:rsidR="00514158">
          <w:rPr>
            <w:rFonts w:ascii="Times New Roman" w:eastAsia="Times New Roman" w:hAnsi="Times New Roman" w:cs="Times New Roman"/>
          </w:rPr>
          <w:t>Thus, there continues t</w:t>
        </w:r>
      </w:ins>
      <w:ins w:id="143" w:author="Dan Lane" w:date="2022-04-18T12:33:00Z">
        <w:r w:rsidR="00514158">
          <w:rPr>
            <w:rFonts w:ascii="Times New Roman" w:eastAsia="Times New Roman" w:hAnsi="Times New Roman" w:cs="Times New Roman"/>
          </w:rPr>
          <w:t xml:space="preserve">o be robust scholarly debate over the </w:t>
        </w:r>
      </w:ins>
      <w:ins w:id="144" w:author="Dan Lane" w:date="2022-04-18T14:04:00Z">
        <w:r w:rsidR="00A711F6">
          <w:rPr>
            <w:rFonts w:ascii="Times New Roman" w:eastAsia="Times New Roman" w:hAnsi="Times New Roman" w:cs="Times New Roman"/>
          </w:rPr>
          <w:t xml:space="preserve">role of </w:t>
        </w:r>
      </w:ins>
      <w:ins w:id="145" w:author="Dan Lane" w:date="2022-04-18T12:33:00Z">
        <w:r w:rsidR="00514158">
          <w:rPr>
            <w:rFonts w:ascii="Times New Roman" w:eastAsia="Times New Roman" w:hAnsi="Times New Roman" w:cs="Times New Roman"/>
          </w:rPr>
          <w:t>online incidental exposure</w:t>
        </w:r>
      </w:ins>
      <w:ins w:id="146" w:author="Dan Lane" w:date="2022-04-18T14:04:00Z">
        <w:r w:rsidR="00A711F6">
          <w:rPr>
            <w:rFonts w:ascii="Times New Roman" w:eastAsia="Times New Roman" w:hAnsi="Times New Roman" w:cs="Times New Roman"/>
          </w:rPr>
          <w:t xml:space="preserve"> in shaping inequalities in news exposure and engagement.</w:t>
        </w:r>
      </w:ins>
    </w:p>
    <w:p w14:paraId="5B9DB004" w14:textId="4017CD30" w:rsidR="00683620" w:rsidRDefault="00683620" w:rsidP="00683620">
      <w:pPr>
        <w:rPr>
          <w:ins w:id="147" w:author="Dan Lane" w:date="2022-04-18T12:54:00Z"/>
          <w:rFonts w:ascii="Times New Roman" w:eastAsia="Times New Roman" w:hAnsi="Times New Roman" w:cs="Times New Roman"/>
        </w:rPr>
      </w:pPr>
    </w:p>
    <w:p w14:paraId="6C27810D" w14:textId="67012297" w:rsidR="00683620" w:rsidRPr="00683620" w:rsidRDefault="00683620" w:rsidP="00683620">
      <w:pPr>
        <w:rPr>
          <w:ins w:id="148" w:author="Dan Lane" w:date="2022-04-18T12:46:00Z"/>
          <w:rFonts w:ascii="Times New Roman" w:eastAsia="Times New Roman" w:hAnsi="Times New Roman" w:cs="Times New Roman"/>
          <w:b/>
          <w:bCs/>
          <w:rPrChange w:id="149" w:author="Dan Lane" w:date="2022-04-18T12:54:00Z">
            <w:rPr>
              <w:ins w:id="150" w:author="Dan Lane" w:date="2022-04-18T12:46:00Z"/>
              <w:rFonts w:ascii="Times New Roman" w:eastAsia="Times New Roman" w:hAnsi="Times New Roman" w:cs="Times New Roman"/>
            </w:rPr>
          </w:rPrChange>
        </w:rPr>
        <w:pPrChange w:id="151" w:author="Dan Lane" w:date="2022-04-18T12:54:00Z">
          <w:pPr>
            <w:ind w:firstLine="720"/>
          </w:pPr>
        </w:pPrChange>
      </w:pPr>
      <w:ins w:id="152" w:author="Dan Lane" w:date="2022-04-18T12:54:00Z">
        <w:r w:rsidRPr="00683620">
          <w:rPr>
            <w:rFonts w:ascii="Times New Roman" w:eastAsia="Times New Roman" w:hAnsi="Times New Roman" w:cs="Times New Roman"/>
            <w:b/>
            <w:bCs/>
            <w:rPrChange w:id="153" w:author="Dan Lane" w:date="2022-04-18T12:54:00Z">
              <w:rPr>
                <w:rFonts w:ascii="Times New Roman" w:eastAsia="Times New Roman" w:hAnsi="Times New Roman" w:cs="Times New Roman"/>
              </w:rPr>
            </w:rPrChange>
          </w:rPr>
          <w:t>From Incidental Exposure to News Attraction</w:t>
        </w:r>
      </w:ins>
    </w:p>
    <w:p w14:paraId="026CCF25" w14:textId="6161B928" w:rsidR="00D07A0B" w:rsidRPr="002F68E6" w:rsidDel="00EF48F4" w:rsidRDefault="003C0F7B" w:rsidP="00A711F6">
      <w:pPr>
        <w:ind w:firstLine="720"/>
        <w:rPr>
          <w:del w:id="154" w:author="Dan Lane" w:date="2022-04-18T12:23:00Z"/>
          <w:rFonts w:ascii="Times New Roman" w:eastAsia="Times New Roman" w:hAnsi="Times New Roman" w:cs="Times New Roman"/>
          <w:rPrChange w:id="155" w:author="Dan Lane" w:date="2022-04-18T13:53:00Z">
            <w:rPr>
              <w:del w:id="156" w:author="Dan Lane" w:date="2022-04-18T12:23:00Z"/>
              <w:rFonts w:ascii="Times New Roman" w:hAnsi="Times New Roman" w:cs="Times New Roman"/>
            </w:rPr>
          </w:rPrChange>
        </w:rPr>
        <w:pPrChange w:id="157" w:author="Dan Lane" w:date="2022-04-18T14:05:00Z">
          <w:pPr/>
        </w:pPrChange>
      </w:pPr>
      <w:ins w:id="158" w:author="Dan Lane" w:date="2022-04-18T12:47:00Z">
        <w:r>
          <w:rPr>
            <w:rFonts w:ascii="Times New Roman" w:eastAsia="Times New Roman" w:hAnsi="Times New Roman" w:cs="Times New Roman"/>
          </w:rPr>
          <w:t>We argue that advancing our understanding of how digital media shape new</w:t>
        </w:r>
      </w:ins>
      <w:ins w:id="159" w:author="Dan Lane" w:date="2022-04-18T13:03:00Z">
        <w:r w:rsidR="00C25CD3">
          <w:rPr>
            <w:rFonts w:ascii="Times New Roman" w:eastAsia="Times New Roman" w:hAnsi="Times New Roman" w:cs="Times New Roman"/>
          </w:rPr>
          <w:t>s</w:t>
        </w:r>
      </w:ins>
      <w:ins w:id="160" w:author="Dan Lane" w:date="2022-04-18T12:47:00Z">
        <w:r>
          <w:rPr>
            <w:rFonts w:ascii="Times New Roman" w:eastAsia="Times New Roman" w:hAnsi="Times New Roman" w:cs="Times New Roman"/>
          </w:rPr>
          <w:t xml:space="preserve"> inequalities </w:t>
        </w:r>
      </w:ins>
      <w:ins w:id="161" w:author="Dan Lane" w:date="2022-04-18T12:48:00Z">
        <w:r>
          <w:rPr>
            <w:rFonts w:ascii="Times New Roman" w:eastAsia="Times New Roman" w:hAnsi="Times New Roman" w:cs="Times New Roman"/>
          </w:rPr>
          <w:t xml:space="preserve">requires addressing </w:t>
        </w:r>
      </w:ins>
      <w:ins w:id="162" w:author="Dan Lane" w:date="2022-04-18T13:40:00Z">
        <w:r w:rsidR="00B93605">
          <w:rPr>
            <w:rFonts w:ascii="Times New Roman" w:eastAsia="Times New Roman" w:hAnsi="Times New Roman" w:cs="Times New Roman"/>
          </w:rPr>
          <w:t>a key issue that has</w:t>
        </w:r>
      </w:ins>
      <w:ins w:id="163" w:author="Dan Lane" w:date="2022-04-18T12:48:00Z">
        <w:r>
          <w:rPr>
            <w:rFonts w:ascii="Times New Roman" w:eastAsia="Times New Roman" w:hAnsi="Times New Roman" w:cs="Times New Roman"/>
          </w:rPr>
          <w:t xml:space="preserve"> arisen in incidental exposure research. </w:t>
        </w:r>
      </w:ins>
      <w:ins w:id="164" w:author="Dan Lane" w:date="2022-04-18T13:43:00Z">
        <w:r w:rsidR="00B93605">
          <w:rPr>
            <w:rFonts w:ascii="Times New Roman" w:eastAsia="Times New Roman" w:hAnsi="Times New Roman" w:cs="Times New Roman"/>
          </w:rPr>
          <w:t>This</w:t>
        </w:r>
      </w:ins>
      <w:ins w:id="165" w:author="Dan Lane" w:date="2022-04-18T13:10:00Z">
        <w:r w:rsidR="00B800EE">
          <w:rPr>
            <w:rFonts w:ascii="Times New Roman" w:eastAsia="Times New Roman" w:hAnsi="Times New Roman" w:cs="Times New Roman"/>
          </w:rPr>
          <w:t xml:space="preserve"> </w:t>
        </w:r>
      </w:ins>
      <w:ins w:id="166" w:author="Dan Lane" w:date="2022-04-18T13:19:00Z">
        <w:r w:rsidR="009C49F1">
          <w:rPr>
            <w:rFonts w:ascii="Times New Roman" w:eastAsia="Times New Roman" w:hAnsi="Times New Roman" w:cs="Times New Roman"/>
          </w:rPr>
          <w:t xml:space="preserve">work </w:t>
        </w:r>
      </w:ins>
      <w:ins w:id="167" w:author="Dan Lane" w:date="2022-04-18T13:10:00Z">
        <w:r w:rsidR="00B800EE">
          <w:rPr>
            <w:rFonts w:ascii="Times New Roman" w:eastAsia="Times New Roman" w:hAnsi="Times New Roman" w:cs="Times New Roman"/>
          </w:rPr>
          <w:t xml:space="preserve">has </w:t>
        </w:r>
      </w:ins>
      <w:ins w:id="168" w:author="Dan Lane" w:date="2022-04-18T13:11:00Z">
        <w:r w:rsidR="00B800EE">
          <w:rPr>
            <w:rFonts w:ascii="Times New Roman" w:eastAsia="Times New Roman" w:hAnsi="Times New Roman" w:cs="Times New Roman"/>
          </w:rPr>
          <w:t xml:space="preserve">primarily </w:t>
        </w:r>
      </w:ins>
      <w:ins w:id="169" w:author="Dan Lane" w:date="2022-04-18T13:10:00Z">
        <w:r w:rsidR="00B800EE">
          <w:rPr>
            <w:rFonts w:ascii="Times New Roman" w:eastAsia="Times New Roman" w:hAnsi="Times New Roman" w:cs="Times New Roman"/>
          </w:rPr>
          <w:t xml:space="preserve">focused </w:t>
        </w:r>
        <w:r w:rsidR="00B800EE">
          <w:rPr>
            <w:rFonts w:ascii="Times New Roman" w:eastAsia="Times New Roman" w:hAnsi="Times New Roman" w:cs="Times New Roman"/>
          </w:rPr>
          <w:t>on the “demand” side of news exposure</w:t>
        </w:r>
        <w:r w:rsidR="00B800EE">
          <w:rPr>
            <w:rFonts w:ascii="Times New Roman" w:eastAsia="Times New Roman" w:hAnsi="Times New Roman" w:cs="Times New Roman"/>
          </w:rPr>
          <w:t xml:space="preserve">. </w:t>
        </w:r>
      </w:ins>
      <w:ins w:id="170" w:author="Dan Lane" w:date="2022-04-18T13:11:00Z">
        <w:r w:rsidR="00B800EE">
          <w:rPr>
            <w:rFonts w:ascii="Times New Roman" w:eastAsia="Times New Roman" w:hAnsi="Times New Roman" w:cs="Times New Roman"/>
          </w:rPr>
          <w:t>Studies have</w:t>
        </w:r>
      </w:ins>
      <w:ins w:id="171" w:author="Dan Lane" w:date="2022-04-18T13:01:00Z">
        <w:r w:rsidR="003706EA">
          <w:rPr>
            <w:rFonts w:ascii="Times New Roman" w:eastAsia="Times New Roman" w:hAnsi="Times New Roman" w:cs="Times New Roman"/>
          </w:rPr>
          <w:t xml:space="preserve"> </w:t>
        </w:r>
      </w:ins>
      <w:ins w:id="172" w:author="Dan Lane" w:date="2022-04-18T13:12:00Z">
        <w:r w:rsidR="00B800EE">
          <w:rPr>
            <w:rFonts w:ascii="Times New Roman" w:eastAsia="Times New Roman" w:hAnsi="Times New Roman" w:cs="Times New Roman"/>
          </w:rPr>
          <w:t>operationalized incidental exposure</w:t>
        </w:r>
      </w:ins>
      <w:ins w:id="173" w:author="Dan Lane" w:date="2022-04-18T13:04:00Z">
        <w:r w:rsidR="00C25CD3">
          <w:rPr>
            <w:rFonts w:ascii="Times New Roman" w:eastAsia="Times New Roman" w:hAnsi="Times New Roman" w:cs="Times New Roman"/>
          </w:rPr>
          <w:t xml:space="preserve"> </w:t>
        </w:r>
      </w:ins>
      <w:ins w:id="174" w:author="Dan Lane" w:date="2022-04-18T13:12:00Z">
        <w:r w:rsidR="00B800EE">
          <w:rPr>
            <w:rFonts w:ascii="Times New Roman" w:eastAsia="Times New Roman" w:hAnsi="Times New Roman" w:cs="Times New Roman"/>
          </w:rPr>
          <w:t>as</w:t>
        </w:r>
      </w:ins>
      <w:ins w:id="175" w:author="Dan Lane" w:date="2022-04-18T13:03:00Z">
        <w:r w:rsidR="00C25CD3">
          <w:rPr>
            <w:rFonts w:ascii="Times New Roman" w:eastAsia="Times New Roman" w:hAnsi="Times New Roman" w:cs="Times New Roman"/>
          </w:rPr>
          <w:t xml:space="preserve"> </w:t>
        </w:r>
      </w:ins>
      <w:ins w:id="176" w:author="Dan Lane" w:date="2022-04-18T13:04:00Z">
        <w:r w:rsidR="00C25CD3">
          <w:rPr>
            <w:rFonts w:ascii="Times New Roman" w:eastAsia="Times New Roman" w:hAnsi="Times New Roman" w:cs="Times New Roman"/>
          </w:rPr>
          <w:t xml:space="preserve">instances </w:t>
        </w:r>
      </w:ins>
      <w:ins w:id="177" w:author="Dan Lane" w:date="2022-04-18T13:07:00Z">
        <w:r w:rsidR="00C25CD3">
          <w:rPr>
            <w:rFonts w:ascii="Times New Roman" w:eastAsia="Times New Roman" w:hAnsi="Times New Roman" w:cs="Times New Roman"/>
          </w:rPr>
          <w:t xml:space="preserve">in which an individual </w:t>
        </w:r>
      </w:ins>
      <w:ins w:id="178" w:author="Dan Lane" w:date="2022-04-18T13:38:00Z">
        <w:r w:rsidR="00B93605">
          <w:rPr>
            <w:rFonts w:ascii="Times New Roman" w:eastAsia="Times New Roman" w:hAnsi="Times New Roman" w:cs="Times New Roman"/>
          </w:rPr>
          <w:t>was</w:t>
        </w:r>
      </w:ins>
      <w:ins w:id="179" w:author="Dan Lane" w:date="2022-04-18T13:27:00Z">
        <w:r w:rsidR="002B67B4">
          <w:rPr>
            <w:rFonts w:ascii="Times New Roman" w:eastAsia="Times New Roman" w:hAnsi="Times New Roman" w:cs="Times New Roman"/>
          </w:rPr>
          <w:t xml:space="preserve"> </w:t>
        </w:r>
      </w:ins>
      <w:ins w:id="180" w:author="Dan Lane" w:date="2022-04-18T13:07:00Z">
        <w:r w:rsidR="00C25CD3">
          <w:rPr>
            <w:rFonts w:ascii="Times New Roman" w:eastAsia="Times New Roman" w:hAnsi="Times New Roman" w:cs="Times New Roman"/>
          </w:rPr>
          <w:t xml:space="preserve">exposed to news </w:t>
        </w:r>
        <w:r w:rsidR="00B800EE">
          <w:rPr>
            <w:rFonts w:ascii="Times New Roman" w:eastAsia="Times New Roman" w:hAnsi="Times New Roman" w:cs="Times New Roman"/>
          </w:rPr>
          <w:t xml:space="preserve">when </w:t>
        </w:r>
      </w:ins>
      <w:ins w:id="181" w:author="Dan Lane" w:date="2022-04-18T13:28:00Z">
        <w:r w:rsidR="002B67B4">
          <w:rPr>
            <w:rFonts w:ascii="Times New Roman" w:eastAsia="Times New Roman" w:hAnsi="Times New Roman" w:cs="Times New Roman"/>
          </w:rPr>
          <w:t xml:space="preserve">they </w:t>
        </w:r>
      </w:ins>
      <w:ins w:id="182" w:author="Dan Lane" w:date="2022-04-18T13:38:00Z">
        <w:r w:rsidR="00B93605">
          <w:rPr>
            <w:rFonts w:ascii="Times New Roman" w:eastAsia="Times New Roman" w:hAnsi="Times New Roman" w:cs="Times New Roman"/>
          </w:rPr>
          <w:t>were</w:t>
        </w:r>
      </w:ins>
      <w:ins w:id="183" w:author="Dan Lane" w:date="2022-04-18T13:28:00Z">
        <w:r w:rsidR="002B67B4">
          <w:rPr>
            <w:rFonts w:ascii="Times New Roman" w:eastAsia="Times New Roman" w:hAnsi="Times New Roman" w:cs="Times New Roman"/>
          </w:rPr>
          <w:t xml:space="preserve"> </w:t>
        </w:r>
      </w:ins>
      <w:ins w:id="184" w:author="Dan Lane" w:date="2022-04-18T13:07:00Z">
        <w:r w:rsidR="00B800EE">
          <w:rPr>
            <w:rFonts w:ascii="Times New Roman" w:eastAsia="Times New Roman" w:hAnsi="Times New Roman" w:cs="Times New Roman"/>
          </w:rPr>
          <w:t xml:space="preserve">not </w:t>
        </w:r>
      </w:ins>
      <w:ins w:id="185" w:author="Dan Lane" w:date="2022-04-18T13:08:00Z">
        <w:r w:rsidR="00B800EE">
          <w:rPr>
            <w:rFonts w:ascii="Times New Roman" w:eastAsia="Times New Roman" w:hAnsi="Times New Roman" w:cs="Times New Roman"/>
          </w:rPr>
          <w:t xml:space="preserve">motivated to do so. </w:t>
        </w:r>
      </w:ins>
      <w:ins w:id="186" w:author="Dan Lane" w:date="2022-04-18T13:13:00Z">
        <w:r w:rsidR="00782A55">
          <w:rPr>
            <w:rFonts w:ascii="Times New Roman" w:eastAsia="Times New Roman" w:hAnsi="Times New Roman" w:cs="Times New Roman"/>
          </w:rPr>
          <w:t xml:space="preserve">In foregrounding </w:t>
        </w:r>
      </w:ins>
      <w:ins w:id="187" w:author="Dan Lane" w:date="2022-04-18T13:15:00Z">
        <w:r w:rsidR="00782A55">
          <w:rPr>
            <w:rFonts w:ascii="Times New Roman" w:eastAsia="Times New Roman" w:hAnsi="Times New Roman" w:cs="Times New Roman"/>
          </w:rPr>
          <w:t>the role of</w:t>
        </w:r>
      </w:ins>
      <w:ins w:id="188" w:author="Dan Lane" w:date="2022-04-18T13:13:00Z">
        <w:r w:rsidR="00782A55">
          <w:rPr>
            <w:rFonts w:ascii="Times New Roman" w:eastAsia="Times New Roman" w:hAnsi="Times New Roman" w:cs="Times New Roman"/>
          </w:rPr>
          <w:t xml:space="preserve"> </w:t>
        </w:r>
      </w:ins>
      <w:ins w:id="189" w:author="Dan Lane" w:date="2022-04-18T13:43:00Z">
        <w:r w:rsidR="00B93605">
          <w:rPr>
            <w:rFonts w:ascii="Times New Roman" w:eastAsia="Times New Roman" w:hAnsi="Times New Roman" w:cs="Times New Roman"/>
          </w:rPr>
          <w:t xml:space="preserve">individual </w:t>
        </w:r>
      </w:ins>
      <w:ins w:id="190" w:author="Dan Lane" w:date="2022-04-18T13:13:00Z">
        <w:r w:rsidR="00782A55">
          <w:rPr>
            <w:rFonts w:ascii="Times New Roman" w:eastAsia="Times New Roman" w:hAnsi="Times New Roman" w:cs="Times New Roman"/>
          </w:rPr>
          <w:t xml:space="preserve">motivation, incidental exposure </w:t>
        </w:r>
      </w:ins>
      <w:ins w:id="191" w:author="Dan Lane" w:date="2022-04-18T13:23:00Z">
        <w:r w:rsidR="002B67B4">
          <w:rPr>
            <w:rFonts w:ascii="Times New Roman" w:eastAsia="Times New Roman" w:hAnsi="Times New Roman" w:cs="Times New Roman"/>
          </w:rPr>
          <w:t xml:space="preserve">becomes </w:t>
        </w:r>
      </w:ins>
      <w:ins w:id="192" w:author="Dan Lane" w:date="2022-04-18T13:36:00Z">
        <w:r w:rsidR="00773CBA">
          <w:rPr>
            <w:rFonts w:ascii="Times New Roman" w:eastAsia="Times New Roman" w:hAnsi="Times New Roman" w:cs="Times New Roman"/>
          </w:rPr>
          <w:t xml:space="preserve">primarily </w:t>
        </w:r>
        <w:proofErr w:type="spellStart"/>
        <w:r w:rsidR="00773CBA">
          <w:rPr>
            <w:rFonts w:ascii="Times New Roman" w:eastAsia="Times New Roman" w:hAnsi="Times New Roman" w:cs="Times New Roman"/>
          </w:rPr>
          <w:t>a</w:t>
        </w:r>
        <w:proofErr w:type="spellEnd"/>
        <w:r w:rsidR="00773CBA">
          <w:rPr>
            <w:rFonts w:ascii="Times New Roman" w:eastAsia="Times New Roman" w:hAnsi="Times New Roman" w:cs="Times New Roman"/>
          </w:rPr>
          <w:t xml:space="preserve"> function of the</w:t>
        </w:r>
      </w:ins>
      <w:ins w:id="193" w:author="Dan Lane" w:date="2022-04-18T13:24:00Z">
        <w:r w:rsidR="002B67B4">
          <w:rPr>
            <w:rFonts w:ascii="Times New Roman" w:eastAsia="Times New Roman" w:hAnsi="Times New Roman" w:cs="Times New Roman"/>
          </w:rPr>
          <w:t xml:space="preserve"> psychology of news consumers. </w:t>
        </w:r>
        <w:r w:rsidR="002B67B4">
          <w:rPr>
            <w:rFonts w:ascii="Times New Roman" w:eastAsia="Times New Roman" w:hAnsi="Times New Roman" w:cs="Times New Roman"/>
          </w:rPr>
          <w:t xml:space="preserve">Yet the novelty of digital media lies in the “supply” side of the equation. </w:t>
        </w:r>
      </w:ins>
      <w:ins w:id="194" w:author="Dan Lane" w:date="2022-04-18T13:25:00Z">
        <w:r w:rsidR="002B67B4">
          <w:rPr>
            <w:rFonts w:ascii="Times New Roman" w:eastAsia="Times New Roman" w:hAnsi="Times New Roman" w:cs="Times New Roman"/>
          </w:rPr>
          <w:t>Here, the very opportunity to incidentally encounter news (i.e., the supply of news) is shaped by a host of social, strategic, and algorithmic forces</w:t>
        </w:r>
      </w:ins>
      <w:ins w:id="195" w:author="Dan Lane" w:date="2022-04-18T13:36:00Z">
        <w:r w:rsidR="00773CBA">
          <w:rPr>
            <w:rFonts w:ascii="Times New Roman" w:eastAsia="Times New Roman" w:hAnsi="Times New Roman" w:cs="Times New Roman"/>
          </w:rPr>
          <w:t xml:space="preserve"> (Thorson, 2015</w:t>
        </w:r>
      </w:ins>
      <w:ins w:id="196" w:author="Dan Lane" w:date="2022-04-18T13:51:00Z">
        <w:r w:rsidR="002F68E6">
          <w:rPr>
            <w:rFonts w:ascii="Times New Roman" w:eastAsia="Times New Roman" w:hAnsi="Times New Roman" w:cs="Times New Roman"/>
          </w:rPr>
          <w:t xml:space="preserve"> </w:t>
        </w:r>
        <w:r w:rsidR="002F68E6">
          <w:rPr>
            <w:rFonts w:ascii="Times New Roman" w:hAnsi="Times New Roman" w:cs="Times New Roman"/>
          </w:rPr>
          <w:t>Thorson, 2020)</w:t>
        </w:r>
      </w:ins>
      <w:ins w:id="197" w:author="Dan Lane" w:date="2022-04-18T13:25:00Z">
        <w:r w:rsidR="002B67B4">
          <w:rPr>
            <w:rFonts w:ascii="Times New Roman" w:eastAsia="Times New Roman" w:hAnsi="Times New Roman" w:cs="Times New Roman"/>
          </w:rPr>
          <w:t>.</w:t>
        </w:r>
      </w:ins>
      <w:ins w:id="198" w:author="Dan Lane" w:date="2022-04-18T13:26:00Z">
        <w:r w:rsidR="002B67B4">
          <w:rPr>
            <w:rFonts w:ascii="Times New Roman" w:eastAsia="Times New Roman" w:hAnsi="Times New Roman" w:cs="Times New Roman"/>
          </w:rPr>
          <w:t xml:space="preserve"> </w:t>
        </w:r>
      </w:ins>
      <w:ins w:id="199" w:author="Dan Lane" w:date="2022-04-18T13:29:00Z">
        <w:r w:rsidR="00A72B35">
          <w:rPr>
            <w:rFonts w:ascii="Times New Roman" w:eastAsia="Times New Roman" w:hAnsi="Times New Roman" w:cs="Times New Roman"/>
          </w:rPr>
          <w:t xml:space="preserve">As </w:t>
        </w:r>
      </w:ins>
      <w:proofErr w:type="spellStart"/>
      <w:ins w:id="200" w:author="Dan Lane" w:date="2022-04-18T13:32:00Z">
        <w:r w:rsidR="00A72B35" w:rsidRPr="00A72B35">
          <w:rPr>
            <w:rFonts w:ascii="Times New Roman" w:eastAsia="Times New Roman" w:hAnsi="Times New Roman" w:cs="Times New Roman"/>
          </w:rPr>
          <w:t>Kümpel</w:t>
        </w:r>
        <w:proofErr w:type="spellEnd"/>
        <w:r w:rsidR="00A72B35" w:rsidRPr="00A72B35">
          <w:rPr>
            <w:rFonts w:ascii="Times New Roman" w:eastAsia="Times New Roman" w:hAnsi="Times New Roman" w:cs="Times New Roman"/>
          </w:rPr>
          <w:t xml:space="preserve"> </w:t>
        </w:r>
        <w:r w:rsidR="00A72B35">
          <w:rPr>
            <w:rFonts w:ascii="Times New Roman" w:eastAsia="Times New Roman" w:hAnsi="Times New Roman" w:cs="Times New Roman"/>
          </w:rPr>
          <w:t>(</w:t>
        </w:r>
        <w:r w:rsidR="00A72B35" w:rsidRPr="00A72B35">
          <w:rPr>
            <w:rFonts w:ascii="Times New Roman" w:eastAsia="Times New Roman" w:hAnsi="Times New Roman" w:cs="Times New Roman"/>
          </w:rPr>
          <w:t>2020)</w:t>
        </w:r>
        <w:r w:rsidR="00A72B35">
          <w:rPr>
            <w:rFonts w:ascii="Times New Roman" w:eastAsia="Times New Roman" w:hAnsi="Times New Roman" w:cs="Times New Roman"/>
          </w:rPr>
          <w:t xml:space="preserve"> argu</w:t>
        </w:r>
      </w:ins>
      <w:ins w:id="201" w:author="Dan Lane" w:date="2022-04-18T13:33:00Z">
        <w:r w:rsidR="00A72B35">
          <w:rPr>
            <w:rFonts w:ascii="Times New Roman" w:eastAsia="Times New Roman" w:hAnsi="Times New Roman" w:cs="Times New Roman"/>
          </w:rPr>
          <w:t xml:space="preserve">ed, </w:t>
        </w:r>
      </w:ins>
      <w:ins w:id="202" w:author="Dan Lane" w:date="2022-04-18T13:34:00Z">
        <w:r w:rsidR="00773CBA">
          <w:rPr>
            <w:rFonts w:ascii="Times New Roman" w:eastAsia="Times New Roman" w:hAnsi="Times New Roman" w:cs="Times New Roman"/>
          </w:rPr>
          <w:t xml:space="preserve">there is a need to focus on how the very </w:t>
        </w:r>
      </w:ins>
      <w:ins w:id="203" w:author="Dan Lane" w:date="2022-04-18T13:28:00Z">
        <w:r w:rsidR="00A72B35">
          <w:rPr>
            <w:rFonts w:ascii="Times New Roman" w:eastAsia="Times New Roman" w:hAnsi="Times New Roman" w:cs="Times New Roman"/>
          </w:rPr>
          <w:t>opportuni</w:t>
        </w:r>
      </w:ins>
      <w:ins w:id="204" w:author="Dan Lane" w:date="2022-04-18T13:34:00Z">
        <w:r w:rsidR="00773CBA">
          <w:rPr>
            <w:rFonts w:ascii="Times New Roman" w:eastAsia="Times New Roman" w:hAnsi="Times New Roman" w:cs="Times New Roman"/>
          </w:rPr>
          <w:t xml:space="preserve">ty </w:t>
        </w:r>
      </w:ins>
      <w:ins w:id="205" w:author="Dan Lane" w:date="2022-04-18T13:28:00Z">
        <w:r w:rsidR="00A72B35">
          <w:rPr>
            <w:rFonts w:ascii="Times New Roman" w:eastAsia="Times New Roman" w:hAnsi="Times New Roman" w:cs="Times New Roman"/>
          </w:rPr>
          <w:t xml:space="preserve">for incidental exposure </w:t>
        </w:r>
      </w:ins>
      <w:ins w:id="206" w:author="Dan Lane" w:date="2022-04-18T13:37:00Z">
        <w:r w:rsidR="00773CBA">
          <w:rPr>
            <w:rFonts w:ascii="Times New Roman" w:eastAsia="Times New Roman" w:hAnsi="Times New Roman" w:cs="Times New Roman"/>
          </w:rPr>
          <w:t>may be</w:t>
        </w:r>
      </w:ins>
      <w:ins w:id="207" w:author="Dan Lane" w:date="2022-04-18T13:28:00Z">
        <w:r w:rsidR="00A72B35">
          <w:rPr>
            <w:rFonts w:ascii="Times New Roman" w:eastAsia="Times New Roman" w:hAnsi="Times New Roman" w:cs="Times New Roman"/>
          </w:rPr>
          <w:t xml:space="preserve"> unequally distributed</w:t>
        </w:r>
      </w:ins>
      <w:ins w:id="208" w:author="Dan Lane" w:date="2022-04-18T13:34:00Z">
        <w:r w:rsidR="00773CBA">
          <w:rPr>
            <w:rFonts w:ascii="Times New Roman" w:eastAsia="Times New Roman" w:hAnsi="Times New Roman" w:cs="Times New Roman"/>
          </w:rPr>
          <w:t>.</w:t>
        </w:r>
      </w:ins>
      <w:ins w:id="209" w:author="Dan Lane" w:date="2022-04-18T13:28:00Z">
        <w:r w:rsidR="00A72B35">
          <w:rPr>
            <w:rFonts w:ascii="Times New Roman" w:eastAsia="Times New Roman" w:hAnsi="Times New Roman" w:cs="Times New Roman"/>
          </w:rPr>
          <w:t xml:space="preserve"> </w:t>
        </w:r>
      </w:ins>
      <w:ins w:id="210" w:author="Dan Lane" w:date="2022-04-18T13:37:00Z">
        <w:r w:rsidR="00773CBA">
          <w:rPr>
            <w:rFonts w:ascii="Times New Roman" w:eastAsia="Times New Roman" w:hAnsi="Times New Roman" w:cs="Times New Roman"/>
          </w:rPr>
          <w:t xml:space="preserve">This requires considering not only individual motivation, but </w:t>
        </w:r>
      </w:ins>
      <w:ins w:id="211" w:author="Dan Lane" w:date="2022-04-18T14:05:00Z">
        <w:r w:rsidR="00A711F6">
          <w:rPr>
            <w:rFonts w:ascii="Times New Roman" w:eastAsia="Times New Roman" w:hAnsi="Times New Roman" w:cs="Times New Roman"/>
          </w:rPr>
          <w:t xml:space="preserve">also </w:t>
        </w:r>
      </w:ins>
      <w:ins w:id="212" w:author="Dan Lane" w:date="2022-04-18T13:38:00Z">
        <w:r w:rsidR="00773CBA">
          <w:rPr>
            <w:rFonts w:ascii="Times New Roman" w:eastAsia="Times New Roman" w:hAnsi="Times New Roman" w:cs="Times New Roman"/>
          </w:rPr>
          <w:t>social and algorithmic forces as well</w:t>
        </w:r>
      </w:ins>
      <w:ins w:id="213" w:author="Dan Lane" w:date="2022-04-18T13:39:00Z">
        <w:r w:rsidR="00B93605">
          <w:rPr>
            <w:rFonts w:ascii="Times New Roman" w:eastAsia="Times New Roman" w:hAnsi="Times New Roman" w:cs="Times New Roman"/>
          </w:rPr>
          <w:t xml:space="preserve"> (</w:t>
        </w:r>
        <w:r w:rsidR="00B93605">
          <w:rPr>
            <w:rFonts w:ascii="Times New Roman" w:eastAsia="Times New Roman" w:hAnsi="Times New Roman" w:cs="Times New Roman"/>
          </w:rPr>
          <w:t xml:space="preserve">Weeks </w:t>
        </w:r>
        <w:r w:rsidR="00B93605">
          <w:rPr>
            <w:rFonts w:ascii="Times New Roman" w:eastAsia="Times New Roman" w:hAnsi="Times New Roman" w:cs="Times New Roman"/>
          </w:rPr>
          <w:t>and Lane,</w:t>
        </w:r>
        <w:r w:rsidR="00B93605">
          <w:rPr>
            <w:rFonts w:ascii="Times New Roman" w:eastAsia="Times New Roman" w:hAnsi="Times New Roman" w:cs="Times New Roman"/>
          </w:rPr>
          <w:t xml:space="preserve"> 202</w:t>
        </w:r>
        <w:r w:rsidR="00B93605">
          <w:rPr>
            <w:rFonts w:ascii="Times New Roman" w:eastAsia="Times New Roman" w:hAnsi="Times New Roman" w:cs="Times New Roman"/>
          </w:rPr>
          <w:t>0</w:t>
        </w:r>
      </w:ins>
      <w:ins w:id="214" w:author="Dan Lane" w:date="2022-04-18T13:51:00Z">
        <w:r w:rsidR="002F68E6">
          <w:rPr>
            <w:rFonts w:ascii="Times New Roman" w:eastAsia="Times New Roman" w:hAnsi="Times New Roman" w:cs="Times New Roman"/>
          </w:rPr>
          <w:t>;</w:t>
        </w:r>
        <w:r w:rsidR="002F68E6" w:rsidRPr="002F68E6">
          <w:rPr>
            <w:rFonts w:ascii="Times New Roman" w:eastAsia="Times New Roman" w:hAnsi="Times New Roman" w:cs="Times New Roman"/>
          </w:rPr>
          <w:t xml:space="preserve"> </w:t>
        </w:r>
        <w:r w:rsidR="002F68E6">
          <w:rPr>
            <w:rFonts w:ascii="Times New Roman" w:hAnsi="Times New Roman" w:cs="Times New Roman"/>
          </w:rPr>
          <w:t>Thorson, 2020</w:t>
        </w:r>
      </w:ins>
      <w:ins w:id="215" w:author="Dan Lane" w:date="2022-04-18T13:39:00Z">
        <w:r w:rsidR="00B93605">
          <w:rPr>
            <w:rFonts w:ascii="Times New Roman" w:eastAsia="Times New Roman" w:hAnsi="Times New Roman" w:cs="Times New Roman"/>
          </w:rPr>
          <w:t>)</w:t>
        </w:r>
      </w:ins>
      <w:ins w:id="216" w:author="Dan Lane" w:date="2022-04-18T13:38:00Z">
        <w:r w:rsidR="00773CBA">
          <w:rPr>
            <w:rFonts w:ascii="Times New Roman" w:eastAsia="Times New Roman" w:hAnsi="Times New Roman" w:cs="Times New Roman"/>
          </w:rPr>
          <w:t>.</w:t>
        </w:r>
      </w:ins>
      <w:ins w:id="217" w:author="Dan Lane" w:date="2022-04-18T13:44:00Z">
        <w:r w:rsidR="00875340">
          <w:rPr>
            <w:rFonts w:ascii="Times New Roman" w:eastAsia="Times New Roman" w:hAnsi="Times New Roman" w:cs="Times New Roman"/>
          </w:rPr>
          <w:t xml:space="preserve"> </w:t>
        </w:r>
      </w:ins>
      <w:ins w:id="218" w:author="Dan Lane" w:date="2022-04-18T13:43:00Z">
        <w:r w:rsidR="00875340">
          <w:rPr>
            <w:rFonts w:ascii="Times New Roman" w:eastAsia="Times New Roman" w:hAnsi="Times New Roman" w:cs="Times New Roman"/>
          </w:rPr>
          <w:t>To a</w:t>
        </w:r>
      </w:ins>
      <w:ins w:id="219" w:author="Dan Lane" w:date="2022-04-18T13:44:00Z">
        <w:r w:rsidR="00875340">
          <w:rPr>
            <w:rFonts w:ascii="Times New Roman" w:eastAsia="Times New Roman" w:hAnsi="Times New Roman" w:cs="Times New Roman"/>
          </w:rPr>
          <w:t xml:space="preserve">ddress this challenge, we </w:t>
        </w:r>
      </w:ins>
      <w:ins w:id="220" w:author="Dan Lane" w:date="2022-04-18T13:52:00Z">
        <w:r w:rsidR="002F68E6">
          <w:rPr>
            <w:rFonts w:ascii="Times New Roman" w:eastAsia="Times New Roman" w:hAnsi="Times New Roman" w:cs="Times New Roman"/>
          </w:rPr>
          <w:t xml:space="preserve">turn to </w:t>
        </w:r>
      </w:ins>
      <w:ins w:id="221" w:author="Dan Lane" w:date="2022-04-18T13:44:00Z">
        <w:r w:rsidR="00875340">
          <w:rPr>
            <w:rFonts w:ascii="Times New Roman" w:hAnsi="Times New Roman" w:cs="Times New Roman"/>
          </w:rPr>
          <w:t>Thorson</w:t>
        </w:r>
      </w:ins>
      <w:ins w:id="222" w:author="Dan Lane" w:date="2022-04-18T13:52:00Z">
        <w:r w:rsidR="002F68E6">
          <w:rPr>
            <w:rFonts w:ascii="Times New Roman" w:hAnsi="Times New Roman" w:cs="Times New Roman"/>
          </w:rPr>
          <w:t>'s (</w:t>
        </w:r>
      </w:ins>
      <w:ins w:id="223" w:author="Dan Lane" w:date="2022-04-18T13:44:00Z">
        <w:r w:rsidR="00875340">
          <w:rPr>
            <w:rFonts w:ascii="Times New Roman" w:hAnsi="Times New Roman" w:cs="Times New Roman"/>
          </w:rPr>
          <w:t>2020)</w:t>
        </w:r>
      </w:ins>
      <w:ins w:id="224" w:author="Dan Lane" w:date="2022-04-18T14:05:00Z">
        <w:r w:rsidR="00A711F6">
          <w:rPr>
            <w:rFonts w:ascii="Times New Roman" w:hAnsi="Times New Roman" w:cs="Times New Roman"/>
          </w:rPr>
          <w:t xml:space="preserve"> concept of </w:t>
        </w:r>
      </w:ins>
      <w:ins w:id="225" w:author="Dan Lane" w:date="2022-04-18T13:52:00Z">
        <w:r w:rsidR="002F68E6">
          <w:rPr>
            <w:rFonts w:ascii="Times New Roman" w:eastAsia="Times New Roman" w:hAnsi="Times New Roman" w:cs="Times New Roman"/>
          </w:rPr>
          <w:t xml:space="preserve"> ‘news attraction</w:t>
        </w:r>
        <w:r w:rsidR="002F68E6">
          <w:rPr>
            <w:rFonts w:ascii="Times New Roman" w:eastAsia="Times New Roman" w:hAnsi="Times New Roman" w:cs="Times New Roman"/>
          </w:rPr>
          <w:t>,</w:t>
        </w:r>
        <w:r w:rsidR="002F68E6">
          <w:rPr>
            <w:rFonts w:ascii="Times New Roman" w:eastAsia="Times New Roman" w:hAnsi="Times New Roman" w:cs="Times New Roman"/>
          </w:rPr>
          <w:t>’</w:t>
        </w:r>
        <w:r w:rsidR="002F68E6">
          <w:rPr>
            <w:rFonts w:ascii="Times New Roman" w:eastAsia="Times New Roman" w:hAnsi="Times New Roman" w:cs="Times New Roman"/>
          </w:rPr>
          <w:t xml:space="preserve"> </w:t>
        </w:r>
      </w:ins>
    </w:p>
    <w:p w14:paraId="19EC727B" w14:textId="77777777" w:rsidR="00DE4A8C" w:rsidRDefault="00DE4A8C" w:rsidP="00A711F6">
      <w:pPr>
        <w:ind w:firstLine="720"/>
        <w:rPr>
          <w:rFonts w:ascii="Times New Roman" w:hAnsi="Times New Roman" w:cs="Times New Roman"/>
        </w:rPr>
        <w:pPrChange w:id="226" w:author="Dan Lane" w:date="2022-04-18T14:05:00Z">
          <w:pPr/>
        </w:pPrChange>
      </w:pPr>
    </w:p>
    <w:p w14:paraId="23536748" w14:textId="47F4E091" w:rsidR="00D07A0B" w:rsidRPr="009A6EC2" w:rsidDel="002F68E6" w:rsidRDefault="00D07A0B" w:rsidP="00D07A0B">
      <w:pPr>
        <w:rPr>
          <w:del w:id="227" w:author="Dan Lane" w:date="2022-04-18T13:53:00Z"/>
          <w:rFonts w:ascii="Times New Roman" w:hAnsi="Times New Roman" w:cs="Times New Roman"/>
          <w:b/>
          <w:bCs/>
        </w:rPr>
      </w:pPr>
      <w:del w:id="228" w:author="Dan Lane" w:date="2022-04-18T13:52:00Z">
        <w:r w:rsidRPr="009A6EC2" w:rsidDel="002F68E6">
          <w:rPr>
            <w:rFonts w:ascii="Times New Roman" w:hAnsi="Times New Roman" w:cs="Times New Roman"/>
            <w:b/>
            <w:bCs/>
          </w:rPr>
          <w:delText>‘News Attraction’</w:delText>
        </w:r>
      </w:del>
    </w:p>
    <w:p w14:paraId="51ADE869" w14:textId="1E8A6644" w:rsidR="00D07A0B" w:rsidRDefault="00D07A0B" w:rsidP="00D07A0B">
      <w:pPr>
        <w:rPr>
          <w:rFonts w:ascii="Times New Roman" w:hAnsi="Times New Roman" w:cs="Times New Roman"/>
        </w:rPr>
      </w:pPr>
      <w:r>
        <w:rPr>
          <w:rFonts w:ascii="Times New Roman" w:hAnsi="Times New Roman" w:cs="Times New Roman"/>
        </w:rPr>
        <w:tab/>
      </w:r>
      <w:ins w:id="229" w:author="Dan Lane" w:date="2022-04-18T14:06:00Z">
        <w:r w:rsidR="00A711F6">
          <w:rPr>
            <w:rFonts w:ascii="Times New Roman" w:hAnsi="Times New Roman" w:cs="Times New Roman"/>
          </w:rPr>
          <w:t xml:space="preserve">Responding to developments in incidental exposure research, </w:t>
        </w:r>
      </w:ins>
      <w:del w:id="230" w:author="Dan Lane" w:date="2022-04-18T14:05:00Z">
        <w:r w:rsidDel="00A711F6">
          <w:rPr>
            <w:rFonts w:ascii="Times New Roman" w:hAnsi="Times New Roman" w:cs="Times New Roman"/>
          </w:rPr>
          <w:delText xml:space="preserve">Seeking to reframe the scholarly conversation about incidental news exposure, </w:delText>
        </w:r>
      </w:del>
      <w:r>
        <w:rPr>
          <w:rFonts w:ascii="Times New Roman" w:hAnsi="Times New Roman" w:cs="Times New Roman"/>
        </w:rPr>
        <w:t>Thorson</w:t>
      </w:r>
      <w:del w:id="231" w:author="Dan Lane" w:date="2022-04-18T14:06:00Z">
        <w:r w:rsidDel="00A711F6">
          <w:rPr>
            <w:rFonts w:ascii="Times New Roman" w:hAnsi="Times New Roman" w:cs="Times New Roman"/>
          </w:rPr>
          <w:delText xml:space="preserve"> (2020)</w:delText>
        </w:r>
      </w:del>
      <w:r>
        <w:rPr>
          <w:rFonts w:ascii="Times New Roman" w:hAnsi="Times New Roman" w:cs="Times New Roman"/>
        </w:rPr>
        <w:t xml:space="preserve"> introduced the concept of ‘news attraction’ in order to better characterize the “shift in power toward a broader </w:t>
      </w:r>
      <w:r>
        <w:rPr>
          <w:rFonts w:ascii="Times New Roman" w:hAnsi="Times New Roman" w:cs="Times New Roman"/>
        </w:rPr>
        <w:lastRenderedPageBreak/>
        <w:t>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2927A556" w:rsidR="00D07A0B" w:rsidRDefault="00D07A0B" w:rsidP="00D07A0B">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w:t>
      </w:r>
      <w:ins w:id="232" w:author="Dan Lane" w:date="2022-04-18T14:07:00Z">
        <w:r w:rsidR="00A711F6">
          <w:rPr>
            <w:rFonts w:ascii="Times New Roman" w:hAnsi="Times New Roman" w:cs="Times New Roman"/>
          </w:rPr>
          <w:t xml:space="preserve"> in conjunction with incidental exposure</w:t>
        </w:r>
      </w:ins>
      <w:r>
        <w:rPr>
          <w:rFonts w:ascii="Times New Roman" w:hAnsi="Times New Roman" w:cs="Times New Roman"/>
        </w:rPr>
        <w:t xml:space="preserve">.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9A8F114" w:rsidR="00D07A0B" w:rsidRDefault="00D07A0B" w:rsidP="00D07A0B">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4AB2B630" w14:textId="5C412173" w:rsidR="00D07A0B" w:rsidRPr="00CC68B1" w:rsidRDefault="00D07A0B" w:rsidP="00CC68B1">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2042C4B8" w:rsidR="00AA7700" w:rsidRDefault="00AA7700" w:rsidP="007F5C77">
      <w:pPr>
        <w:rPr>
          <w:rFonts w:ascii="Times New Roman" w:hAnsi="Times New Roman" w:cs="Times New Roman"/>
        </w:rPr>
      </w:pPr>
    </w:p>
    <w:p w14:paraId="3C8193CC" w14:textId="2403CEC5" w:rsidR="00AA7700" w:rsidRPr="00AA7700" w:rsidRDefault="00AA7700" w:rsidP="00AA7700">
      <w:pPr>
        <w:jc w:val="center"/>
        <w:rPr>
          <w:rFonts w:ascii="Times New Roman" w:hAnsi="Times New Roman" w:cs="Times New Roman"/>
          <w:b/>
          <w:bCs/>
        </w:rPr>
      </w:pPr>
      <w:r w:rsidRPr="00AA7700">
        <w:rPr>
          <w:rFonts w:ascii="Times New Roman" w:hAnsi="Times New Roman" w:cs="Times New Roman"/>
          <w:b/>
          <w:bCs/>
        </w:rPr>
        <w:t>Notes</w:t>
      </w:r>
    </w:p>
    <w:p w14:paraId="41202DFD" w14:textId="0A911543" w:rsidR="00AA7700" w:rsidRDefault="00AA7700" w:rsidP="007F5C77">
      <w:pPr>
        <w:rPr>
          <w:rFonts w:ascii="Times New Roman" w:hAnsi="Times New Roman" w:cs="Times New Roman"/>
        </w:rPr>
      </w:pPr>
    </w:p>
    <w:p w14:paraId="7AE9505A" w14:textId="2D7651D7" w:rsidR="00AA7700" w:rsidRPr="00AA7700" w:rsidRDefault="00AA7700" w:rsidP="007F5C7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See Appendix D online for a more thorough reporting of relevant results. Full results are available upon request.</w:t>
      </w: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0340211E" w:rsidR="00D07A0B" w:rsidRDefault="00D07A0B" w:rsidP="00555D30">
      <w:pPr>
        <w:rPr>
          <w:ins w:id="233" w:author="Dan Lane" w:date="2022-04-18T12:20:00Z"/>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4E432FAC" w14:textId="0288C709" w:rsidR="00A603DE" w:rsidRDefault="00A603DE" w:rsidP="00555D30">
      <w:pPr>
        <w:rPr>
          <w:ins w:id="234" w:author="Dan Lane" w:date="2022-04-18T12:20:00Z"/>
          <w:rFonts w:ascii="Times New Roman" w:hAnsi="Times New Roman" w:cs="Times New Roman"/>
        </w:rPr>
      </w:pPr>
    </w:p>
    <w:p w14:paraId="5684F1CA" w14:textId="77777777" w:rsidR="00A603DE" w:rsidRPr="00A603DE" w:rsidRDefault="00A603DE" w:rsidP="00A603DE">
      <w:pPr>
        <w:spacing w:line="480" w:lineRule="auto"/>
        <w:ind w:hanging="480"/>
        <w:rPr>
          <w:ins w:id="235" w:author="Dan Lane" w:date="2022-04-18T12:20:00Z"/>
          <w:rFonts w:ascii="Times New Roman" w:eastAsia="Times New Roman" w:hAnsi="Times New Roman" w:cs="Times New Roman"/>
        </w:rPr>
      </w:pPr>
      <w:proofErr w:type="spellStart"/>
      <w:ins w:id="236" w:author="Dan Lane" w:date="2022-04-18T12:20:00Z">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2463–2482. </w:t>
        </w:r>
        <w:r w:rsidRPr="00A603DE">
          <w:rPr>
            <w:rFonts w:ascii="Times New Roman" w:eastAsia="Times New Roman" w:hAnsi="Times New Roman" w:cs="Times New Roman"/>
          </w:rPr>
          <w:fldChar w:fldCharType="begin"/>
        </w:r>
        <w:r w:rsidRPr="00A603DE">
          <w:rPr>
            <w:rFonts w:ascii="Times New Roman" w:eastAsia="Times New Roman" w:hAnsi="Times New Roman" w:cs="Times New Roman"/>
          </w:rPr>
          <w:instrText xml:space="preserve"> HYPERLINK "https://doi.org/10.1177/1461444819850755" </w:instrText>
        </w:r>
        <w:r w:rsidRPr="00A603DE">
          <w:rPr>
            <w:rFonts w:ascii="Times New Roman" w:eastAsia="Times New Roman" w:hAnsi="Times New Roman" w:cs="Times New Roman"/>
          </w:rPr>
          <w:fldChar w:fldCharType="separate"/>
        </w:r>
        <w:r w:rsidRPr="00A603DE">
          <w:rPr>
            <w:rFonts w:ascii="Times New Roman" w:eastAsia="Times New Roman" w:hAnsi="Times New Roman" w:cs="Times New Roman"/>
            <w:color w:val="0000FF"/>
            <w:u w:val="single"/>
          </w:rPr>
          <w:t>https://doi.org/10.1177/1461444819850755</w:t>
        </w:r>
        <w:r w:rsidRPr="00A603DE">
          <w:rPr>
            <w:rFonts w:ascii="Times New Roman" w:eastAsia="Times New Roman" w:hAnsi="Times New Roman" w:cs="Times New Roman"/>
          </w:rPr>
          <w:fldChar w:fldCharType="end"/>
        </w:r>
      </w:ins>
    </w:p>
    <w:p w14:paraId="54485DD0" w14:textId="0160C67B" w:rsidR="00A603DE" w:rsidRDefault="00A603DE" w:rsidP="00555D30">
      <w:pPr>
        <w:rPr>
          <w:ins w:id="237" w:author="Dan Lane" w:date="2022-04-18T12:20:00Z"/>
          <w:rFonts w:ascii="Times New Roman" w:hAnsi="Times New Roman" w:cs="Times New Roman"/>
        </w:rPr>
      </w:pPr>
    </w:p>
    <w:p w14:paraId="78AB0A9D" w14:textId="77777777" w:rsidR="00A603DE" w:rsidRDefault="00A603DE" w:rsidP="00555D30">
      <w:pPr>
        <w:rPr>
          <w:rFonts w:ascii="Times New Roman" w:hAnsi="Times New Roman" w:cs="Times New Roman"/>
        </w:rPr>
      </w:pP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27CF9632" w:rsidR="00D07A0B" w:rsidRDefault="00D07A0B" w:rsidP="00555D30">
      <w:pPr>
        <w:rPr>
          <w:ins w:id="238" w:author="Dan Lane" w:date="2022-04-18T11:55:00Z"/>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61C1BC13" w14:textId="15A2D0F9" w:rsidR="00AA0C52" w:rsidRDefault="00AA0C52" w:rsidP="00555D30">
      <w:pPr>
        <w:rPr>
          <w:ins w:id="239" w:author="Dan Lane" w:date="2022-04-18T11:55:00Z"/>
          <w:rFonts w:ascii="Times New Roman" w:hAnsi="Times New Roman" w:cs="Times New Roman"/>
        </w:rPr>
      </w:pPr>
    </w:p>
    <w:p w14:paraId="015ABFCF" w14:textId="77777777" w:rsidR="00AA0C52" w:rsidRPr="00AA0C52" w:rsidRDefault="00AA0C52" w:rsidP="00AA0C52">
      <w:pPr>
        <w:spacing w:line="480" w:lineRule="auto"/>
        <w:ind w:hanging="480"/>
        <w:rPr>
          <w:ins w:id="240" w:author="Dan Lane" w:date="2022-04-18T11:55:00Z"/>
          <w:rFonts w:ascii="Times New Roman" w:eastAsia="Times New Roman" w:hAnsi="Times New Roman" w:cs="Times New Roman"/>
        </w:rPr>
      </w:pPr>
      <w:proofErr w:type="spellStart"/>
      <w:ins w:id="241" w:author="Dan Lane" w:date="2022-04-18T11:55:00Z">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Won’t Find Me? Exploring Inequalities in Social Media News Use With Tracking Data. </w:t>
        </w:r>
        <w:r w:rsidRPr="00AA0C52">
          <w:rPr>
            <w:rFonts w:ascii="Times New Roman" w:eastAsia="Times New Roman" w:hAnsi="Times New Roman" w:cs="Times New Roman"/>
            <w:i/>
            <w:iCs/>
          </w:rPr>
          <w:t>International 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(0), 21.</w:t>
        </w:r>
      </w:ins>
    </w:p>
    <w:p w14:paraId="5698327D" w14:textId="77777777" w:rsidR="00AA0C52" w:rsidRDefault="00AA0C52" w:rsidP="00555D30">
      <w:pPr>
        <w:rPr>
          <w:rFonts w:ascii="Times New Roman" w:hAnsi="Times New Roman" w:cs="Times New Roman"/>
        </w:rPr>
      </w:pPr>
    </w:p>
    <w:p w14:paraId="0E9DA94C" w14:textId="6FFBEB1F" w:rsidR="00165241" w:rsidRDefault="00165241" w:rsidP="00555D30">
      <w:pPr>
        <w:rPr>
          <w:ins w:id="242" w:author="Dan Lane" w:date="2022-04-18T12:22:00Z"/>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77FE9F" w14:textId="4C6FE510" w:rsidR="00EF48F4" w:rsidRDefault="00EF48F4" w:rsidP="00555D30">
      <w:pPr>
        <w:rPr>
          <w:ins w:id="243" w:author="Dan Lane" w:date="2022-04-18T12:22:00Z"/>
          <w:rFonts w:ascii="Times New Roman" w:hAnsi="Times New Roman" w:cs="Times New Roman"/>
        </w:rPr>
      </w:pPr>
    </w:p>
    <w:p w14:paraId="09D6A8C3" w14:textId="77777777" w:rsidR="00EF48F4" w:rsidRPr="00EF48F4" w:rsidRDefault="00EF48F4" w:rsidP="00EF48F4">
      <w:pPr>
        <w:spacing w:line="480" w:lineRule="auto"/>
        <w:ind w:hanging="480"/>
        <w:rPr>
          <w:ins w:id="244" w:author="Dan Lane" w:date="2022-04-18T12:22:00Z"/>
          <w:rFonts w:ascii="Times New Roman" w:eastAsia="Times New Roman" w:hAnsi="Times New Roman" w:cs="Times New Roman"/>
        </w:rPr>
      </w:pPr>
      <w:proofErr w:type="spellStart"/>
      <w:ins w:id="245" w:author="Dan Lane" w:date="2022-04-18T12:22:00Z">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Consequences of Incidental Exposure to Political Information: A Meta-Analysis.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 xml:space="preserve">, jqac008. </w:t>
        </w:r>
        <w:r w:rsidRPr="00EF48F4">
          <w:rPr>
            <w:rFonts w:ascii="Times New Roman" w:eastAsia="Times New Roman" w:hAnsi="Times New Roman" w:cs="Times New Roman"/>
          </w:rPr>
          <w:fldChar w:fldCharType="begin"/>
        </w:r>
        <w:r w:rsidRPr="00EF48F4">
          <w:rPr>
            <w:rFonts w:ascii="Times New Roman" w:eastAsia="Times New Roman" w:hAnsi="Times New Roman" w:cs="Times New Roman"/>
          </w:rPr>
          <w:instrText xml:space="preserve"> HYPERLINK "https://doi.org/10.1093/joc/jqac008" </w:instrText>
        </w:r>
        <w:r w:rsidRPr="00EF48F4">
          <w:rPr>
            <w:rFonts w:ascii="Times New Roman" w:eastAsia="Times New Roman" w:hAnsi="Times New Roman" w:cs="Times New Roman"/>
          </w:rPr>
          <w:fldChar w:fldCharType="separate"/>
        </w:r>
        <w:r w:rsidRPr="00EF48F4">
          <w:rPr>
            <w:rFonts w:ascii="Times New Roman" w:eastAsia="Times New Roman" w:hAnsi="Times New Roman" w:cs="Times New Roman"/>
            <w:color w:val="0000FF"/>
            <w:u w:val="single"/>
          </w:rPr>
          <w:t>https://doi.org/10.1093/joc/jqac008</w:t>
        </w:r>
        <w:r w:rsidRPr="00EF48F4">
          <w:rPr>
            <w:rFonts w:ascii="Times New Roman" w:eastAsia="Times New Roman" w:hAnsi="Times New Roman" w:cs="Times New Roman"/>
          </w:rPr>
          <w:fldChar w:fldCharType="end"/>
        </w:r>
      </w:ins>
    </w:p>
    <w:p w14:paraId="7BB385B4" w14:textId="77777777" w:rsidR="00EF48F4" w:rsidRDefault="00EF48F4" w:rsidP="00555D30">
      <w:pPr>
        <w:rPr>
          <w:rFonts w:ascii="Times New Roman" w:hAnsi="Times New Roman" w:cs="Times New Roman"/>
        </w:rPr>
      </w:pPr>
    </w:p>
    <w:p w14:paraId="2E1E3E58" w14:textId="5B40B0FF" w:rsidR="00D07A0B" w:rsidRDefault="00D07A0B" w:rsidP="00555D30">
      <w:pPr>
        <w:rPr>
          <w:ins w:id="246" w:author="Dan Lane" w:date="2022-04-18T12:20:00Z"/>
          <w:rFonts w:ascii="Times New Roman" w:hAnsi="Times New Roman" w:cs="Times New Roman"/>
        </w:rPr>
      </w:pPr>
      <w:r w:rsidRPr="00D07A0B">
        <w:rPr>
          <w:rFonts w:ascii="Times New Roman" w:hAnsi="Times New Roman" w:cs="Times New Roman"/>
          <w:highlight w:val="yellow"/>
        </w:rPr>
        <w:t>Prior, 2007</w:t>
      </w:r>
    </w:p>
    <w:p w14:paraId="12280B70" w14:textId="77777777" w:rsidR="00A603DE" w:rsidRDefault="00A603DE" w:rsidP="00555D30">
      <w:pPr>
        <w:rPr>
          <w:ins w:id="247" w:author="Dan Lane" w:date="2022-04-18T12:05:00Z"/>
          <w:rFonts w:ascii="Times New Roman" w:hAnsi="Times New Roman" w:cs="Times New Roman"/>
        </w:rPr>
      </w:pPr>
    </w:p>
    <w:p w14:paraId="3E86549D" w14:textId="572E4842" w:rsidR="00945193" w:rsidRDefault="00945193" w:rsidP="00555D30">
      <w:pPr>
        <w:rPr>
          <w:ins w:id="248" w:author="Dan Lane" w:date="2022-04-18T12:05:00Z"/>
          <w:rFonts w:ascii="Times New Roman" w:hAnsi="Times New Roman" w:cs="Times New Roman"/>
        </w:rPr>
      </w:pPr>
    </w:p>
    <w:p w14:paraId="296ADA0F" w14:textId="1F8F8FD9" w:rsidR="00945193" w:rsidRDefault="00945193" w:rsidP="00945193">
      <w:pPr>
        <w:spacing w:line="480" w:lineRule="auto"/>
        <w:ind w:hanging="480"/>
        <w:rPr>
          <w:ins w:id="249" w:author="Dan Lane" w:date="2022-04-18T12:41:00Z"/>
          <w:rFonts w:ascii="Times New Roman" w:eastAsia="Times New Roman" w:hAnsi="Times New Roman" w:cs="Times New Roman"/>
        </w:rPr>
      </w:pPr>
      <w:proofErr w:type="spellStart"/>
      <w:ins w:id="250" w:author="Dan Lane" w:date="2022-04-18T12:05:00Z">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Factsheet: Social inequalities in news consumption</w:t>
        </w:r>
        <w:r w:rsidRPr="00945193">
          <w:rPr>
            <w:rFonts w:ascii="Times New Roman" w:eastAsia="Times New Roman" w:hAnsi="Times New Roman" w:cs="Times New Roman"/>
          </w:rPr>
          <w:t xml:space="preserve">. Reuters Institute for the Study of Journalism. </w:t>
        </w:r>
        <w:r w:rsidRPr="00945193">
          <w:rPr>
            <w:rFonts w:ascii="Times New Roman" w:eastAsia="Times New Roman" w:hAnsi="Times New Roman" w:cs="Times New Roman"/>
          </w:rPr>
          <w:fldChar w:fldCharType="begin"/>
        </w:r>
        <w:r w:rsidRPr="00945193">
          <w:rPr>
            <w:rFonts w:ascii="Times New Roman" w:eastAsia="Times New Roman" w:hAnsi="Times New Roman" w:cs="Times New Roman"/>
          </w:rPr>
          <w:instrText xml:space="preserve"> HYPERLINK "https://reutersinstitute.politics.ox.ac.uk/our-research/social-inequalities-news-consumption" </w:instrText>
        </w:r>
        <w:r w:rsidRPr="00945193">
          <w:rPr>
            <w:rFonts w:ascii="Times New Roman" w:eastAsia="Times New Roman" w:hAnsi="Times New Roman" w:cs="Times New Roman"/>
          </w:rPr>
          <w:fldChar w:fldCharType="separate"/>
        </w:r>
        <w:r w:rsidRPr="00945193">
          <w:rPr>
            <w:rFonts w:ascii="Times New Roman" w:eastAsia="Times New Roman" w:hAnsi="Times New Roman" w:cs="Times New Roman"/>
            <w:color w:val="0000FF"/>
            <w:u w:val="single"/>
          </w:rPr>
          <w:t>https://reutersinstitute.politics.ox.ac.uk/our-research/social-inequalities-news-consumption</w:t>
        </w:r>
        <w:r w:rsidRPr="00945193">
          <w:rPr>
            <w:rFonts w:ascii="Times New Roman" w:eastAsia="Times New Roman" w:hAnsi="Times New Roman" w:cs="Times New Roman"/>
          </w:rPr>
          <w:fldChar w:fldCharType="end"/>
        </w:r>
      </w:ins>
    </w:p>
    <w:p w14:paraId="618E2F94" w14:textId="548F364F" w:rsidR="0040205F" w:rsidRPr="00945193" w:rsidRDefault="008655BF" w:rsidP="00945193">
      <w:pPr>
        <w:spacing w:line="480" w:lineRule="auto"/>
        <w:ind w:hanging="480"/>
        <w:rPr>
          <w:ins w:id="251" w:author="Dan Lane" w:date="2022-04-18T12:05:00Z"/>
          <w:rFonts w:ascii="Times New Roman" w:eastAsia="Times New Roman" w:hAnsi="Times New Roman" w:cs="Times New Roman"/>
        </w:rPr>
      </w:pPr>
      <w:proofErr w:type="spellStart"/>
      <w:ins w:id="252" w:author="Dan Lane" w:date="2022-04-18T12:41:00Z">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A. S. (2020). The Matthew Effect in social media news use: Assessing inequalities in news exposure and news engagement on social network sites (SNS). Journalism, 21(8), 1083–1098. https://doi.org/10.1177/1464884920915374</w:t>
        </w:r>
      </w:ins>
    </w:p>
    <w:p w14:paraId="29A0777B" w14:textId="77777777" w:rsidR="008655BF" w:rsidRPr="008655BF" w:rsidRDefault="008655BF" w:rsidP="008655BF">
      <w:pPr>
        <w:spacing w:line="480" w:lineRule="auto"/>
        <w:ind w:hanging="480"/>
        <w:rPr>
          <w:ins w:id="253" w:author="Dan Lane" w:date="2022-04-18T12:44:00Z"/>
          <w:rFonts w:ascii="Times New Roman" w:eastAsia="Times New Roman" w:hAnsi="Times New Roman" w:cs="Times New Roman"/>
        </w:rPr>
      </w:pPr>
      <w:ins w:id="254" w:author="Dan Lane" w:date="2022-04-18T12:44:00Z">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Unequal and Unrepresented: Political Inequality and the People’s Voice in the New Gilded Age</w:t>
        </w:r>
        <w:r w:rsidRPr="008655BF">
          <w:rPr>
            <w:rFonts w:ascii="Times New Roman" w:eastAsia="Times New Roman" w:hAnsi="Times New Roman" w:cs="Times New Roman"/>
          </w:rPr>
          <w:t>. Princeton University Press.</w:t>
        </w:r>
      </w:ins>
    </w:p>
    <w:p w14:paraId="2596E465" w14:textId="77777777" w:rsidR="00945193" w:rsidRDefault="00945193" w:rsidP="00555D30">
      <w:pPr>
        <w:rPr>
          <w:ins w:id="255" w:author="Dan Lane" w:date="2022-04-18T12:05:00Z"/>
          <w:rFonts w:ascii="Times New Roman" w:hAnsi="Times New Roman" w:cs="Times New Roman"/>
        </w:rPr>
      </w:pPr>
    </w:p>
    <w:p w14:paraId="2E350B13" w14:textId="77777777" w:rsidR="00945193" w:rsidRDefault="00945193" w:rsidP="00555D30">
      <w:pPr>
        <w:rPr>
          <w:rFonts w:ascii="Times New Roman" w:hAnsi="Times New Roman" w:cs="Times New Roman"/>
        </w:rPr>
      </w:pP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423B8914"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sidR="00D67183">
        <w:rPr>
          <w:rFonts w:ascii="Times New Roman" w:hAnsi="Times New Roman" w:cs="Times New Roman"/>
          <w:i/>
          <w:iCs/>
        </w:rPr>
        <w:t>S</w:t>
      </w:r>
      <w:r w:rsidRPr="00855B1D">
        <w:rPr>
          <w:rFonts w:ascii="Times New Roman" w:hAnsi="Times New Roman" w:cs="Times New Roman"/>
          <w:i/>
          <w:iCs/>
        </w:rPr>
        <w:t xml:space="preserve">tatistical </w:t>
      </w:r>
      <w:r w:rsidR="00D67183">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2AD8379B" w:rsidR="00D07A0B" w:rsidRDefault="00D07A0B" w:rsidP="00555D30">
      <w:pPr>
        <w:rPr>
          <w:ins w:id="256" w:author="Dan Lane" w:date="2022-04-18T14:03:00Z"/>
          <w:rFonts w:ascii="Times New Roman" w:hAnsi="Times New Roman" w:cs="Times New Roman"/>
        </w:rPr>
      </w:pPr>
    </w:p>
    <w:p w14:paraId="3E4255D9" w14:textId="77777777" w:rsidR="00A711F6" w:rsidRPr="00A711F6" w:rsidRDefault="00A711F6" w:rsidP="00A711F6">
      <w:pPr>
        <w:spacing w:line="480" w:lineRule="auto"/>
        <w:ind w:hanging="480"/>
        <w:rPr>
          <w:ins w:id="257" w:author="Dan Lane" w:date="2022-04-18T14:03:00Z"/>
          <w:rFonts w:ascii="Times New Roman" w:eastAsia="Times New Roman" w:hAnsi="Times New Roman" w:cs="Times New Roman"/>
        </w:rPr>
      </w:pPr>
      <w:proofErr w:type="spellStart"/>
      <w:ins w:id="258" w:author="Dan Lane" w:date="2022-04-18T14:03:00Z">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use and youth political engagement in three advanced democracies. </w:t>
        </w:r>
        <w:r w:rsidRPr="00A711F6">
          <w:rPr>
            <w:rFonts w:ascii="Times New Roman" w:eastAsia="Times New Roman" w:hAnsi="Times New Roman" w:cs="Times New Roman"/>
            <w:i/>
            <w:iCs/>
          </w:rPr>
          <w:t>Information, 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r w:rsidRPr="00A711F6">
          <w:rPr>
            <w:rFonts w:ascii="Times New Roman" w:eastAsia="Times New Roman" w:hAnsi="Times New Roman" w:cs="Times New Roman"/>
          </w:rPr>
          <w:fldChar w:fldCharType="begin"/>
        </w:r>
        <w:r w:rsidRPr="00A711F6">
          <w:rPr>
            <w:rFonts w:ascii="Times New Roman" w:eastAsia="Times New Roman" w:hAnsi="Times New Roman" w:cs="Times New Roman"/>
          </w:rPr>
          <w:instrText xml:space="preserve"> HYPERLINK "https://doi.org/10.1080/1369118X.2013.871318" </w:instrText>
        </w:r>
        <w:r w:rsidRPr="00A711F6">
          <w:rPr>
            <w:rFonts w:ascii="Times New Roman" w:eastAsia="Times New Roman" w:hAnsi="Times New Roman" w:cs="Times New Roman"/>
          </w:rPr>
          <w:fldChar w:fldCharType="separate"/>
        </w:r>
        <w:r w:rsidRPr="00A711F6">
          <w:rPr>
            <w:rFonts w:ascii="Times New Roman" w:eastAsia="Times New Roman" w:hAnsi="Times New Roman" w:cs="Times New Roman"/>
            <w:color w:val="0000FF"/>
            <w:u w:val="single"/>
          </w:rPr>
          <w:t>https://doi.org/10.1080/1369118X.2013.871318</w:t>
        </w:r>
        <w:r w:rsidRPr="00A711F6">
          <w:rPr>
            <w:rFonts w:ascii="Times New Roman" w:eastAsia="Times New Roman" w:hAnsi="Times New Roman" w:cs="Times New Roman"/>
          </w:rPr>
          <w:fldChar w:fldCharType="end"/>
        </w:r>
      </w:ins>
    </w:p>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50302D86" w14:textId="634F4A97" w:rsidR="00693E73" w:rsidRDefault="00693E73" w:rsidP="00F829A0">
      <w:pPr>
        <w:rPr>
          <w:rFonts w:ascii="Times New Roman" w:hAnsi="Times New Roman" w:cs="Times New Roman"/>
        </w:rPr>
      </w:pPr>
    </w:p>
    <w:p w14:paraId="73ED65AF" w14:textId="7562DAD0" w:rsidR="00693E73" w:rsidRDefault="00693E73" w:rsidP="00F829A0">
      <w:pPr>
        <w:rPr>
          <w:rFonts w:ascii="Times New Roman" w:hAnsi="Times New Roman" w:cs="Times New Roman"/>
        </w:rPr>
      </w:pPr>
    </w:p>
    <w:p w14:paraId="6C7161A9" w14:textId="54BC7339" w:rsidR="00693E73" w:rsidRDefault="00693E73" w:rsidP="00F829A0">
      <w:pPr>
        <w:rPr>
          <w:rFonts w:ascii="Times New Roman" w:hAnsi="Times New Roman" w:cs="Times New Roman"/>
        </w:rPr>
      </w:pPr>
    </w:p>
    <w:p w14:paraId="5C9D4206" w14:textId="17FAC4BC" w:rsidR="00693E73" w:rsidRDefault="00693E73" w:rsidP="00F829A0">
      <w:pPr>
        <w:rPr>
          <w:rFonts w:ascii="Times New Roman" w:hAnsi="Times New Roman" w:cs="Times New Roman"/>
        </w:rPr>
      </w:pPr>
    </w:p>
    <w:p w14:paraId="0A5A3100" w14:textId="4116722A" w:rsidR="00693E73" w:rsidRDefault="00693E73" w:rsidP="00F829A0">
      <w:pPr>
        <w:rPr>
          <w:rFonts w:ascii="Times New Roman" w:hAnsi="Times New Roman" w:cs="Times New Roman"/>
        </w:rPr>
      </w:pPr>
    </w:p>
    <w:p w14:paraId="152692B2" w14:textId="03D67D8D" w:rsidR="00693E73" w:rsidRDefault="00693E73" w:rsidP="00F829A0">
      <w:pPr>
        <w:rPr>
          <w:rFonts w:ascii="Times New Roman" w:hAnsi="Times New Roman" w:cs="Times New Roman"/>
        </w:rPr>
      </w:pPr>
    </w:p>
    <w:p w14:paraId="569B3741" w14:textId="1BA398D3" w:rsidR="00693E73" w:rsidRDefault="00693E73" w:rsidP="00F829A0">
      <w:pPr>
        <w:rPr>
          <w:rFonts w:ascii="Times New Roman" w:hAnsi="Times New Roman" w:cs="Times New Roman"/>
        </w:rPr>
      </w:pPr>
    </w:p>
    <w:p w14:paraId="6E2A92D1" w14:textId="724F56A8" w:rsidR="00693E73" w:rsidRDefault="00693E73" w:rsidP="00F829A0">
      <w:pPr>
        <w:rPr>
          <w:rFonts w:ascii="Times New Roman" w:hAnsi="Times New Roman" w:cs="Times New Roman"/>
        </w:rPr>
      </w:pPr>
    </w:p>
    <w:p w14:paraId="68BC5940" w14:textId="1CB8CD96" w:rsidR="00693E73" w:rsidRDefault="00693E73" w:rsidP="00F829A0">
      <w:pPr>
        <w:rPr>
          <w:rFonts w:ascii="Times New Roman" w:hAnsi="Times New Roman" w:cs="Times New Roman"/>
        </w:rPr>
      </w:pPr>
    </w:p>
    <w:p w14:paraId="78B3A517" w14:textId="1ED16D00" w:rsidR="00693E73" w:rsidRDefault="00693E73" w:rsidP="00F829A0">
      <w:pPr>
        <w:rPr>
          <w:rFonts w:ascii="Times New Roman" w:hAnsi="Times New Roman" w:cs="Times New Roman"/>
        </w:rPr>
      </w:pPr>
    </w:p>
    <w:p w14:paraId="634F6666" w14:textId="7818493E" w:rsidR="00693E73" w:rsidRDefault="00693E73" w:rsidP="00F829A0">
      <w:pPr>
        <w:rPr>
          <w:rFonts w:ascii="Times New Roman" w:hAnsi="Times New Roman" w:cs="Times New Roman"/>
        </w:rPr>
      </w:pPr>
    </w:p>
    <w:p w14:paraId="56BEC8D5" w14:textId="702B7036" w:rsidR="00693E73" w:rsidRDefault="00693E73" w:rsidP="00F829A0">
      <w:pPr>
        <w:rPr>
          <w:rFonts w:ascii="Times New Roman" w:hAnsi="Times New Roman" w:cs="Times New Roman"/>
        </w:rPr>
      </w:pPr>
    </w:p>
    <w:p w14:paraId="4D7CC9D8" w14:textId="4758319E" w:rsidR="00693E73" w:rsidRDefault="00693E73" w:rsidP="00F829A0">
      <w:pPr>
        <w:rPr>
          <w:rFonts w:ascii="Times New Roman" w:hAnsi="Times New Roman" w:cs="Times New Roman"/>
        </w:rPr>
      </w:pPr>
    </w:p>
    <w:p w14:paraId="1D74658C" w14:textId="15687BF6" w:rsidR="00693E73" w:rsidRDefault="00693E73" w:rsidP="00F829A0">
      <w:pPr>
        <w:rPr>
          <w:rFonts w:ascii="Times New Roman" w:hAnsi="Times New Roman" w:cs="Times New Roman"/>
        </w:rPr>
      </w:pPr>
    </w:p>
    <w:p w14:paraId="64684682" w14:textId="0F65E7A2" w:rsidR="00693E73" w:rsidRDefault="00693E73" w:rsidP="00F829A0">
      <w:pPr>
        <w:rPr>
          <w:rFonts w:ascii="Times New Roman" w:hAnsi="Times New Roman" w:cs="Times New Roman"/>
        </w:rPr>
      </w:pPr>
    </w:p>
    <w:p w14:paraId="5373F5BC" w14:textId="22A71CDE" w:rsidR="00693E73" w:rsidRDefault="00693E73" w:rsidP="00F829A0">
      <w:pPr>
        <w:rPr>
          <w:rFonts w:ascii="Times New Roman" w:hAnsi="Times New Roman" w:cs="Times New Roman"/>
        </w:rPr>
      </w:pPr>
    </w:p>
    <w:p w14:paraId="000B35E3" w14:textId="491EF2A5" w:rsidR="00693E73" w:rsidRDefault="00693E73" w:rsidP="00F829A0">
      <w:pPr>
        <w:rPr>
          <w:rFonts w:ascii="Times New Roman" w:hAnsi="Times New Roman" w:cs="Times New Roman"/>
        </w:rPr>
      </w:pPr>
    </w:p>
    <w:p w14:paraId="434F9216" w14:textId="5EA43DEB" w:rsidR="00693E73" w:rsidRDefault="00693E73" w:rsidP="00F829A0">
      <w:pPr>
        <w:rPr>
          <w:rFonts w:ascii="Times New Roman" w:hAnsi="Times New Roman" w:cs="Times New Roman"/>
        </w:rPr>
      </w:pPr>
    </w:p>
    <w:p w14:paraId="5DE837BC" w14:textId="30AF1F8F" w:rsidR="00693E73" w:rsidRDefault="00693E73" w:rsidP="00F829A0">
      <w:pPr>
        <w:rPr>
          <w:rFonts w:ascii="Times New Roman" w:hAnsi="Times New Roman" w:cs="Times New Roman"/>
        </w:rPr>
      </w:pPr>
    </w:p>
    <w:p w14:paraId="495A78E1" w14:textId="2EDC37F7" w:rsidR="00693E73" w:rsidRDefault="00693E73" w:rsidP="00F829A0">
      <w:pPr>
        <w:rPr>
          <w:rFonts w:ascii="Times New Roman" w:hAnsi="Times New Roman" w:cs="Times New Roman"/>
        </w:rPr>
      </w:pPr>
    </w:p>
    <w:p w14:paraId="515BCB9B" w14:textId="499EE116" w:rsidR="00693E73" w:rsidRDefault="00693E73" w:rsidP="00F829A0">
      <w:pPr>
        <w:rPr>
          <w:rFonts w:ascii="Times New Roman" w:hAnsi="Times New Roman" w:cs="Times New Roman"/>
        </w:rPr>
      </w:pPr>
    </w:p>
    <w:p w14:paraId="09EA3CBE" w14:textId="77777777" w:rsidR="00693E73" w:rsidRPr="00693E73" w:rsidRDefault="00693E73" w:rsidP="00693E73">
      <w:pPr>
        <w:jc w:val="center"/>
        <w:rPr>
          <w:rFonts w:ascii="Times New Roman" w:hAnsi="Times New Roman" w:cs="Times New Roman"/>
          <w:b/>
          <w:bCs/>
        </w:rPr>
      </w:pPr>
      <w:r w:rsidRPr="00693E73">
        <w:rPr>
          <w:rFonts w:ascii="Times New Roman" w:hAnsi="Times New Roman" w:cs="Times New Roman"/>
          <w:b/>
          <w:bCs/>
        </w:rPr>
        <w:t xml:space="preserve">Appendix D: </w:t>
      </w:r>
    </w:p>
    <w:p w14:paraId="6F2DD26B" w14:textId="7A290995" w:rsidR="00693E73" w:rsidRDefault="00693E73" w:rsidP="00693E73">
      <w:pPr>
        <w:jc w:val="center"/>
        <w:rPr>
          <w:rFonts w:ascii="Times New Roman" w:hAnsi="Times New Roman" w:cs="Times New Roman"/>
          <w:b/>
          <w:bCs/>
        </w:rPr>
      </w:pPr>
      <w:r w:rsidRPr="00693E73">
        <w:rPr>
          <w:rFonts w:ascii="Times New Roman" w:hAnsi="Times New Roman" w:cs="Times New Roman"/>
          <w:b/>
          <w:bCs/>
        </w:rPr>
        <w:t>Report of Regression Results Where Self-Reported Interest as Primary Predictor</w:t>
      </w:r>
    </w:p>
    <w:p w14:paraId="13618631" w14:textId="1F65B4A2" w:rsidR="00693E73" w:rsidRDefault="00693E73" w:rsidP="00693E73">
      <w:pPr>
        <w:jc w:val="center"/>
        <w:rPr>
          <w:rFonts w:ascii="Times New Roman" w:hAnsi="Times New Roman" w:cs="Times New Roman"/>
          <w:b/>
          <w:bCs/>
        </w:rPr>
      </w:pPr>
    </w:p>
    <w:p w14:paraId="28F2E56B" w14:textId="49904E09" w:rsidR="00693E73" w:rsidRPr="007F5C77" w:rsidRDefault="00693E73" w:rsidP="00693E7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Other results are relatively straightforward and mirror those for the grouping variable, although they are, in our view, less robust. </w:t>
      </w:r>
      <w:r w:rsidRPr="007F5C77">
        <w:rPr>
          <w:rFonts w:ascii="Times New Roman" w:hAnsi="Times New Roman" w:cs="Times New Roman"/>
        </w:rPr>
        <w:t xml:space="preserve">Interest is related to both measures of total exposure (β = 0.31, </w:t>
      </w:r>
      <w:r w:rsidRPr="007F5C77">
        <w:rPr>
          <w:rFonts w:ascii="Times New Roman" w:hAnsi="Times New Roman" w:cs="Times New Roman"/>
          <w:i/>
          <w:iCs/>
        </w:rPr>
        <w:t>SE</w:t>
      </w:r>
      <w:r w:rsidRPr="007F5C77">
        <w:rPr>
          <w:rFonts w:ascii="Times New Roman" w:hAnsi="Times New Roman" w:cs="Times New Roman"/>
        </w:rPr>
        <w:t xml:space="preserve"> = 0.02, </w:t>
      </w:r>
      <w:r w:rsidRPr="007F5C77">
        <w:rPr>
          <w:rFonts w:ascii="Times New Roman" w:hAnsi="Times New Roman" w:cs="Times New Roman"/>
          <w:i/>
          <w:iCs/>
        </w:rPr>
        <w:t>p</w:t>
      </w:r>
      <w:r w:rsidRPr="007F5C77">
        <w:rPr>
          <w:rFonts w:ascii="Times New Roman" w:hAnsi="Times New Roman" w:cs="Times New Roman"/>
        </w:rPr>
        <w:t xml:space="preserve"> &lt; .001 for the trait-like measure; β = 0.23, </w:t>
      </w:r>
      <w:r w:rsidRPr="007F5C77">
        <w:rPr>
          <w:rFonts w:ascii="Times New Roman" w:hAnsi="Times New Roman" w:cs="Times New Roman"/>
          <w:i/>
          <w:iCs/>
        </w:rPr>
        <w:t>SE</w:t>
      </w:r>
      <w:r w:rsidRPr="007F5C77">
        <w:rPr>
          <w:rFonts w:ascii="Times New Roman" w:hAnsi="Times New Roman" w:cs="Times New Roman"/>
        </w:rPr>
        <w:t xml:space="preserve"> = 0.04, </w:t>
      </w:r>
      <w:r w:rsidRPr="007F5C77">
        <w:rPr>
          <w:rFonts w:ascii="Times New Roman" w:hAnsi="Times New Roman" w:cs="Times New Roman"/>
          <w:i/>
          <w:iCs/>
        </w:rPr>
        <w:t>p</w:t>
      </w:r>
      <w:r w:rsidRPr="007F5C77">
        <w:rPr>
          <w:rFonts w:ascii="Times New Roman" w:hAnsi="Times New Roman" w:cs="Times New Roman"/>
        </w:rPr>
        <w:t xml:space="preserve"> &lt; .001 for the state-like measure).</w:t>
      </w:r>
      <w:r>
        <w:rPr>
          <w:rFonts w:ascii="Times New Roman" w:hAnsi="Times New Roman" w:cs="Times New Roman"/>
        </w:rPr>
        <w:t xml:space="preserve"> Finally,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believe that the grouping variable obtained through the LCA model provides added value in terms of understanding whether and to what extent incidental exposure closes or widens gaps in news exposure and engagement.</w:t>
      </w:r>
      <w:r w:rsidR="00734B17">
        <w:rPr>
          <w:rFonts w:ascii="Times New Roman" w:hAnsi="Times New Roman" w:cs="Times New Roman"/>
        </w:rPr>
        <w:t xml:space="preserve"> Full results of these models are available upon request. </w:t>
      </w:r>
    </w:p>
    <w:p w14:paraId="1BCF727C" w14:textId="77777777" w:rsidR="00693E73" w:rsidRPr="00693E73" w:rsidRDefault="00693E73" w:rsidP="00693E73">
      <w:pPr>
        <w:rPr>
          <w:rFonts w:ascii="Times New Roman" w:hAnsi="Times New Roman" w:cs="Times New Roman"/>
          <w:b/>
          <w:bCs/>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32DB"/>
    <w:rsid w:val="00025E64"/>
    <w:rsid w:val="0002650C"/>
    <w:rsid w:val="000522D7"/>
    <w:rsid w:val="00052897"/>
    <w:rsid w:val="00070754"/>
    <w:rsid w:val="00077752"/>
    <w:rsid w:val="000819B1"/>
    <w:rsid w:val="000A0751"/>
    <w:rsid w:val="000A2A65"/>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169F8"/>
    <w:rsid w:val="00123DF3"/>
    <w:rsid w:val="0012513B"/>
    <w:rsid w:val="00127F5B"/>
    <w:rsid w:val="0013461D"/>
    <w:rsid w:val="0015314E"/>
    <w:rsid w:val="00156A25"/>
    <w:rsid w:val="00160494"/>
    <w:rsid w:val="00165241"/>
    <w:rsid w:val="00167CA4"/>
    <w:rsid w:val="0017449D"/>
    <w:rsid w:val="00174FE3"/>
    <w:rsid w:val="00186204"/>
    <w:rsid w:val="00190B1E"/>
    <w:rsid w:val="00190C1D"/>
    <w:rsid w:val="00194CAC"/>
    <w:rsid w:val="001A14FA"/>
    <w:rsid w:val="001A649D"/>
    <w:rsid w:val="001B60E0"/>
    <w:rsid w:val="001C0322"/>
    <w:rsid w:val="001C10AA"/>
    <w:rsid w:val="001C12CB"/>
    <w:rsid w:val="001D21A3"/>
    <w:rsid w:val="001E2272"/>
    <w:rsid w:val="001E2991"/>
    <w:rsid w:val="001E2C99"/>
    <w:rsid w:val="001E4161"/>
    <w:rsid w:val="001F0128"/>
    <w:rsid w:val="001F5806"/>
    <w:rsid w:val="00207229"/>
    <w:rsid w:val="00212973"/>
    <w:rsid w:val="00212B4E"/>
    <w:rsid w:val="00221D9D"/>
    <w:rsid w:val="00224D88"/>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1A2A"/>
    <w:rsid w:val="002E31A6"/>
    <w:rsid w:val="002E6E42"/>
    <w:rsid w:val="002F68E6"/>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06EA"/>
    <w:rsid w:val="003716B9"/>
    <w:rsid w:val="003718DF"/>
    <w:rsid w:val="00373193"/>
    <w:rsid w:val="0037577D"/>
    <w:rsid w:val="003777CA"/>
    <w:rsid w:val="00383586"/>
    <w:rsid w:val="0038449E"/>
    <w:rsid w:val="0038455E"/>
    <w:rsid w:val="003849F3"/>
    <w:rsid w:val="0039531F"/>
    <w:rsid w:val="00397D43"/>
    <w:rsid w:val="003B0A1E"/>
    <w:rsid w:val="003C0F7B"/>
    <w:rsid w:val="003C40C1"/>
    <w:rsid w:val="003C46CC"/>
    <w:rsid w:val="003C6C96"/>
    <w:rsid w:val="003D305E"/>
    <w:rsid w:val="003F04E4"/>
    <w:rsid w:val="004010EA"/>
    <w:rsid w:val="00401CD1"/>
    <w:rsid w:val="0040205F"/>
    <w:rsid w:val="004039DF"/>
    <w:rsid w:val="004118FF"/>
    <w:rsid w:val="00415C99"/>
    <w:rsid w:val="00415D12"/>
    <w:rsid w:val="00424B9F"/>
    <w:rsid w:val="004444DE"/>
    <w:rsid w:val="004447C5"/>
    <w:rsid w:val="00444FB9"/>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44F6"/>
    <w:rsid w:val="004D5E0A"/>
    <w:rsid w:val="004D7A28"/>
    <w:rsid w:val="004E4C33"/>
    <w:rsid w:val="004E6304"/>
    <w:rsid w:val="004F0E24"/>
    <w:rsid w:val="00500D0B"/>
    <w:rsid w:val="00500F58"/>
    <w:rsid w:val="00506713"/>
    <w:rsid w:val="00514158"/>
    <w:rsid w:val="00532E45"/>
    <w:rsid w:val="00551018"/>
    <w:rsid w:val="00552848"/>
    <w:rsid w:val="00555D30"/>
    <w:rsid w:val="00560147"/>
    <w:rsid w:val="0056112D"/>
    <w:rsid w:val="005640C7"/>
    <w:rsid w:val="00565DEA"/>
    <w:rsid w:val="00577DF3"/>
    <w:rsid w:val="0058668A"/>
    <w:rsid w:val="00587B7A"/>
    <w:rsid w:val="00593404"/>
    <w:rsid w:val="00594AF2"/>
    <w:rsid w:val="00595D95"/>
    <w:rsid w:val="00597C98"/>
    <w:rsid w:val="005A1E41"/>
    <w:rsid w:val="005A335E"/>
    <w:rsid w:val="005D5D30"/>
    <w:rsid w:val="005E5AEA"/>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D4FDC"/>
    <w:rsid w:val="006E2265"/>
    <w:rsid w:val="006E264F"/>
    <w:rsid w:val="006F0847"/>
    <w:rsid w:val="006F40E8"/>
    <w:rsid w:val="00707510"/>
    <w:rsid w:val="00707926"/>
    <w:rsid w:val="007136BC"/>
    <w:rsid w:val="00722034"/>
    <w:rsid w:val="00725945"/>
    <w:rsid w:val="00734B17"/>
    <w:rsid w:val="00740C8F"/>
    <w:rsid w:val="0074516B"/>
    <w:rsid w:val="0074574B"/>
    <w:rsid w:val="00746613"/>
    <w:rsid w:val="00750EF3"/>
    <w:rsid w:val="007538C2"/>
    <w:rsid w:val="007541CD"/>
    <w:rsid w:val="0075439C"/>
    <w:rsid w:val="00773CBA"/>
    <w:rsid w:val="0077572B"/>
    <w:rsid w:val="00777DCC"/>
    <w:rsid w:val="0078236D"/>
    <w:rsid w:val="00782A55"/>
    <w:rsid w:val="00783C25"/>
    <w:rsid w:val="00790296"/>
    <w:rsid w:val="00790B33"/>
    <w:rsid w:val="00793C02"/>
    <w:rsid w:val="007A44D4"/>
    <w:rsid w:val="007A5E5A"/>
    <w:rsid w:val="007B03FA"/>
    <w:rsid w:val="007B7669"/>
    <w:rsid w:val="007C727D"/>
    <w:rsid w:val="007F185C"/>
    <w:rsid w:val="007F2758"/>
    <w:rsid w:val="007F5C77"/>
    <w:rsid w:val="00800856"/>
    <w:rsid w:val="00803463"/>
    <w:rsid w:val="008040F6"/>
    <w:rsid w:val="00805530"/>
    <w:rsid w:val="008125CB"/>
    <w:rsid w:val="00817236"/>
    <w:rsid w:val="0082467F"/>
    <w:rsid w:val="008246BB"/>
    <w:rsid w:val="00827274"/>
    <w:rsid w:val="00837BD9"/>
    <w:rsid w:val="008403B5"/>
    <w:rsid w:val="00854E3D"/>
    <w:rsid w:val="00855B1D"/>
    <w:rsid w:val="008627E5"/>
    <w:rsid w:val="008640AA"/>
    <w:rsid w:val="008654E1"/>
    <w:rsid w:val="008655BF"/>
    <w:rsid w:val="00875340"/>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11B82"/>
    <w:rsid w:val="00920FAC"/>
    <w:rsid w:val="009225BA"/>
    <w:rsid w:val="0093123E"/>
    <w:rsid w:val="00942608"/>
    <w:rsid w:val="00943E1C"/>
    <w:rsid w:val="00945193"/>
    <w:rsid w:val="00945AED"/>
    <w:rsid w:val="009563FE"/>
    <w:rsid w:val="00963E97"/>
    <w:rsid w:val="009679A5"/>
    <w:rsid w:val="009739A7"/>
    <w:rsid w:val="00975863"/>
    <w:rsid w:val="0098354B"/>
    <w:rsid w:val="009B4F72"/>
    <w:rsid w:val="009C286D"/>
    <w:rsid w:val="009C49F1"/>
    <w:rsid w:val="009C5409"/>
    <w:rsid w:val="009C6FF4"/>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603DE"/>
    <w:rsid w:val="00A711F6"/>
    <w:rsid w:val="00A72B35"/>
    <w:rsid w:val="00A766DA"/>
    <w:rsid w:val="00A82A76"/>
    <w:rsid w:val="00A84204"/>
    <w:rsid w:val="00A8510C"/>
    <w:rsid w:val="00A95B0A"/>
    <w:rsid w:val="00A967A7"/>
    <w:rsid w:val="00AA0C52"/>
    <w:rsid w:val="00AA3081"/>
    <w:rsid w:val="00AA381F"/>
    <w:rsid w:val="00AA7700"/>
    <w:rsid w:val="00AB13B3"/>
    <w:rsid w:val="00AB7A3E"/>
    <w:rsid w:val="00AC0710"/>
    <w:rsid w:val="00AC61C5"/>
    <w:rsid w:val="00AD7A75"/>
    <w:rsid w:val="00AE0475"/>
    <w:rsid w:val="00AE20FF"/>
    <w:rsid w:val="00AE266C"/>
    <w:rsid w:val="00AF2112"/>
    <w:rsid w:val="00AF6F9E"/>
    <w:rsid w:val="00AF7382"/>
    <w:rsid w:val="00AF7711"/>
    <w:rsid w:val="00B013BA"/>
    <w:rsid w:val="00B171C0"/>
    <w:rsid w:val="00B318BD"/>
    <w:rsid w:val="00B43A66"/>
    <w:rsid w:val="00B47729"/>
    <w:rsid w:val="00B54C49"/>
    <w:rsid w:val="00B61DBA"/>
    <w:rsid w:val="00B6314E"/>
    <w:rsid w:val="00B64BB5"/>
    <w:rsid w:val="00B663FD"/>
    <w:rsid w:val="00B71963"/>
    <w:rsid w:val="00B72B09"/>
    <w:rsid w:val="00B739EC"/>
    <w:rsid w:val="00B7551F"/>
    <w:rsid w:val="00B765AA"/>
    <w:rsid w:val="00B800EE"/>
    <w:rsid w:val="00B93605"/>
    <w:rsid w:val="00B960E3"/>
    <w:rsid w:val="00B9713D"/>
    <w:rsid w:val="00BA56A6"/>
    <w:rsid w:val="00BA7610"/>
    <w:rsid w:val="00BB074B"/>
    <w:rsid w:val="00BC420B"/>
    <w:rsid w:val="00BC45C8"/>
    <w:rsid w:val="00BC58AE"/>
    <w:rsid w:val="00BC7821"/>
    <w:rsid w:val="00BD14A4"/>
    <w:rsid w:val="00BD32BE"/>
    <w:rsid w:val="00BE6459"/>
    <w:rsid w:val="00BE6CFF"/>
    <w:rsid w:val="00C059B5"/>
    <w:rsid w:val="00C1260D"/>
    <w:rsid w:val="00C2077C"/>
    <w:rsid w:val="00C25CD3"/>
    <w:rsid w:val="00C3418C"/>
    <w:rsid w:val="00C34E6D"/>
    <w:rsid w:val="00C370AF"/>
    <w:rsid w:val="00C403B3"/>
    <w:rsid w:val="00C46A02"/>
    <w:rsid w:val="00C71975"/>
    <w:rsid w:val="00C71AD2"/>
    <w:rsid w:val="00C75F91"/>
    <w:rsid w:val="00C81DE1"/>
    <w:rsid w:val="00C87B40"/>
    <w:rsid w:val="00C924D1"/>
    <w:rsid w:val="00C96B29"/>
    <w:rsid w:val="00C972BC"/>
    <w:rsid w:val="00CA0472"/>
    <w:rsid w:val="00CA274E"/>
    <w:rsid w:val="00CB32A6"/>
    <w:rsid w:val="00CB4543"/>
    <w:rsid w:val="00CC436D"/>
    <w:rsid w:val="00CC68B1"/>
    <w:rsid w:val="00CD7040"/>
    <w:rsid w:val="00CF1BC9"/>
    <w:rsid w:val="00D0533B"/>
    <w:rsid w:val="00D07A0B"/>
    <w:rsid w:val="00D11ADE"/>
    <w:rsid w:val="00D20276"/>
    <w:rsid w:val="00D21178"/>
    <w:rsid w:val="00D25453"/>
    <w:rsid w:val="00D33E5B"/>
    <w:rsid w:val="00D36706"/>
    <w:rsid w:val="00D3763B"/>
    <w:rsid w:val="00D44D01"/>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D665A"/>
    <w:rsid w:val="00DE4A8C"/>
    <w:rsid w:val="00DF031E"/>
    <w:rsid w:val="00DF4E62"/>
    <w:rsid w:val="00E00B00"/>
    <w:rsid w:val="00E114B2"/>
    <w:rsid w:val="00E13AF8"/>
    <w:rsid w:val="00E21D61"/>
    <w:rsid w:val="00E24703"/>
    <w:rsid w:val="00E24791"/>
    <w:rsid w:val="00E27A39"/>
    <w:rsid w:val="00E27BBF"/>
    <w:rsid w:val="00E313F4"/>
    <w:rsid w:val="00E353B1"/>
    <w:rsid w:val="00E44BEC"/>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6336"/>
    <w:rsid w:val="00F256AF"/>
    <w:rsid w:val="00F30A18"/>
    <w:rsid w:val="00F324EB"/>
    <w:rsid w:val="00F357C7"/>
    <w:rsid w:val="00F35C48"/>
    <w:rsid w:val="00F4590A"/>
    <w:rsid w:val="00F53652"/>
    <w:rsid w:val="00F77B9B"/>
    <w:rsid w:val="00F80A0C"/>
    <w:rsid w:val="00F82243"/>
    <w:rsid w:val="00F829A0"/>
    <w:rsid w:val="00F86D5F"/>
    <w:rsid w:val="00FA04D0"/>
    <w:rsid w:val="00FA0CAF"/>
    <w:rsid w:val="00FA2D70"/>
    <w:rsid w:val="00FA4137"/>
    <w:rsid w:val="00FA7C62"/>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28</Pages>
  <Words>7945</Words>
  <Characters>45292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Lane</cp:lastModifiedBy>
  <cp:revision>413</cp:revision>
  <dcterms:created xsi:type="dcterms:W3CDTF">2022-02-25T21:32:00Z</dcterms:created>
  <dcterms:modified xsi:type="dcterms:W3CDTF">2022-04-18T21:07:00Z</dcterms:modified>
</cp:coreProperties>
</file>