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A2CE" w14:textId="70C46D6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77777777" w:rsidR="000A7FB0" w:rsidRDefault="00D239C1" w:rsidP="00D239C1">
      <w:pPr>
        <w:rPr>
          <w:rFonts w:ascii="Times New Roman" w:hAnsi="Times New Roman" w:cs="Times New Roman"/>
        </w:rPr>
      </w:pPr>
      <w:r>
        <w:rPr>
          <w:rFonts w:ascii="Times New Roman" w:hAnsi="Times New Roman" w:cs="Times New Roman"/>
        </w:rPr>
        <w:tab/>
      </w:r>
      <w:r w:rsidRPr="003E6315">
        <w:rPr>
          <w:rFonts w:ascii="Times New Roman" w:hAnsi="Times New Roman" w:cs="Times New Roman"/>
        </w:rPr>
        <w:t xml:space="preserve">A central question in scholarship on contemporary news environments has been whether digital media are reshaping long-standing inequalities in news exposure and engagement. This question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453566">
        <w:rPr>
          <w:rFonts w:ascii="Times New Roman" w:hAnsi="Times New Roman" w:cs="Times New Roman"/>
        </w:rPr>
        <w:t xml:space="preserve">the </w:t>
      </w:r>
      <w:r w:rsidR="00453566" w:rsidRPr="00F32EBD">
        <w:rPr>
          <w:rFonts w:ascii="Times New Roman" w:hAnsi="Times New Roman" w:cs="Times New Roman"/>
        </w:rPr>
        <w:t>electorate (e.g., Prior, 2007)</w:t>
      </w:r>
      <w:r w:rsidR="00453566">
        <w:rPr>
          <w:rFonts w:ascii="Times New Roman" w:hAnsi="Times New Roman" w:cs="Times New Roman"/>
        </w:rPr>
        <w:t xml:space="preserve">, as well as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 with its assertions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453566">
        <w:rPr>
          <w:rFonts w:ascii="Times New Roman" w:hAnsi="Times New Roman" w:cs="Times New Roman"/>
        </w:rPr>
        <w:t>, and they largely parallel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society</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stratificational versus equalizing 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09A2852C" w:rsidR="00D239C1" w:rsidRPr="000620B2" w:rsidRDefault="00D239C1" w:rsidP="00D239C1">
      <w:pPr>
        <w:rPr>
          <w:rFonts w:ascii="Times New Roman" w:hAnsi="Times New Roman" w:cs="Times New Roman"/>
          <w:highlight w:val="gree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w:t>
      </w:r>
      <w:proofErr w:type="spellStart"/>
      <w:r w:rsidRPr="000620B2">
        <w:rPr>
          <w:rFonts w:ascii="Times New Roman" w:hAnsi="Times New Roman" w:cs="Times New Roman"/>
        </w:rPr>
        <w:t>Kalogeropoulos</w:t>
      </w:r>
      <w:proofErr w:type="spellEnd"/>
      <w:r w:rsidRPr="000620B2">
        <w:rPr>
          <w:rFonts w:ascii="Times New Roman" w:hAnsi="Times New Roman" w:cs="Times New Roman"/>
        </w:rPr>
        <w:t xml:space="preserve"> &amp; Nielsen, 2018; </w:t>
      </w:r>
      <w:proofErr w:type="spellStart"/>
      <w:r w:rsidRPr="000620B2">
        <w:rPr>
          <w:rFonts w:ascii="Times New Roman" w:hAnsi="Times New Roman" w:cs="Times New Roman"/>
        </w:rPr>
        <w:t>Merten</w:t>
      </w:r>
      <w:proofErr w:type="spellEnd"/>
      <w:r w:rsidRPr="000620B2">
        <w:rPr>
          <w:rFonts w:ascii="Times New Roman" w:hAnsi="Times New Roman" w:cs="Times New Roman"/>
        </w:rPr>
        <w:t xml:space="preserve"> et al., 2022). Yet the burgeoning literature on ‘incidental’ exposure complicates this picture.</w:t>
      </w:r>
    </w:p>
    <w:p w14:paraId="0C49A997" w14:textId="191312A1" w:rsidR="00D239C1" w:rsidRDefault="00D239C1" w:rsidP="00D239C1">
      <w:pPr>
        <w:rPr>
          <w:rFonts w:ascii="Times New Roman" w:hAnsi="Times New Roman" w:cs="Times New Roman"/>
        </w:rPr>
      </w:pPr>
      <w:r>
        <w:rPr>
          <w:rFonts w:ascii="Times New Roman" w:hAnsi="Times New Roman" w:cs="Times New Roman"/>
        </w:rPr>
        <w:tab/>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 xml:space="preserve">Lu &amp; Lee, 2018; </w:t>
      </w:r>
      <w:r w:rsidRPr="00C60274">
        <w:rPr>
          <w:rFonts w:ascii="Times New Roman" w:hAnsi="Times New Roman" w:cs="Times New Roman"/>
        </w:rPr>
        <w:t>Weeks et al., 202</w:t>
      </w:r>
      <w:r>
        <w:rPr>
          <w:rFonts w:ascii="Times New Roman" w:hAnsi="Times New Roman" w:cs="Times New Roman"/>
        </w:rPr>
        <w:t>0</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and, some have argued,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77777777" w:rsidR="00E659DA" w:rsidRDefault="00D239C1" w:rsidP="00D239C1">
      <w:pPr>
        <w:ind w:firstLine="720"/>
        <w:rPr>
          <w:rFonts w:ascii="Times New Roman" w:hAnsi="Times New Roman" w:cs="Times New Roman"/>
        </w:rPr>
      </w:pPr>
      <w:r>
        <w:rPr>
          <w:rFonts w:ascii="Times New Roman" w:hAnsi="Times New Roman" w:cs="Times New Roman"/>
        </w:rPr>
        <w:t xml:space="preserve">Thus, significant scholarly attention has been devoted to understanding the </w:t>
      </w:r>
      <w:r w:rsidR="00E554B9">
        <w:rPr>
          <w:rFonts w:ascii="Times New Roman" w:hAnsi="Times New Roman" w:cs="Times New Roman"/>
        </w:rPr>
        <w:t xml:space="preserve">process and </w:t>
      </w:r>
      <w:r>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2018</w:t>
      </w:r>
      <w:r w:rsidR="00E554B9">
        <w:rPr>
          <w:rFonts w:ascii="Times New Roman" w:hAnsi="Times New Roman" w:cs="Times New Roman"/>
        </w:rPr>
        <w:t xml:space="preserve">;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lastRenderedPageBreak/>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Pr>
          <w:rFonts w:ascii="Times New Roman" w:hAnsi="Times New Roman" w:cs="Times New Roman"/>
        </w:rPr>
        <w:t>), the conditions under which people cognitively and behaviorally engage with the news they encounter incidentally (</w:t>
      </w:r>
      <w:proofErr w:type="spellStart"/>
      <w:r>
        <w:rPr>
          <w:rFonts w:ascii="Times New Roman" w:hAnsi="Times New Roman" w:cs="Times New Roman"/>
        </w:rPr>
        <w:t>Oledorf</w:t>
      </w:r>
      <w:proofErr w:type="spellEnd"/>
      <w:r>
        <w:rPr>
          <w:rFonts w:ascii="Times New Roman" w:hAnsi="Times New Roman" w:cs="Times New Roman"/>
        </w:rPr>
        <w:t xml:space="preserve">-Hirsch, 2018; Karnowski et al., </w:t>
      </w:r>
      <w:r w:rsidR="00E554B9">
        <w:rPr>
          <w:rFonts w:ascii="Times New Roman" w:hAnsi="Times New Roman" w:cs="Times New Roman"/>
        </w:rPr>
        <w:t>2017</w:t>
      </w:r>
      <w:r>
        <w:rPr>
          <w:rFonts w:ascii="Times New Roman" w:hAnsi="Times New Roman" w:cs="Times New Roman"/>
        </w:rPr>
        <w:t xml:space="preserve">), and the effects of incidental exposure on political knowledge and participation (Bode, 2016; Lee &amp; </w:t>
      </w:r>
      <w:proofErr w:type="spellStart"/>
      <w:r>
        <w:rPr>
          <w:rFonts w:ascii="Times New Roman" w:hAnsi="Times New Roman" w:cs="Times New Roman"/>
        </w:rPr>
        <w:t>Xenos</w:t>
      </w:r>
      <w:proofErr w:type="spellEnd"/>
      <w:r>
        <w:rPr>
          <w:rFonts w:ascii="Times New Roman" w:hAnsi="Times New Roman" w:cs="Times New Roman"/>
        </w:rPr>
        <w:t xml:space="preserve">, 2020; Lee et al., 2022; </w:t>
      </w:r>
      <w:proofErr w:type="spellStart"/>
      <w:r>
        <w:rPr>
          <w:rFonts w:ascii="Times New Roman" w:hAnsi="Times New Roman" w:cs="Times New Roman"/>
        </w:rPr>
        <w:t>Nanz</w:t>
      </w:r>
      <w:proofErr w:type="spellEnd"/>
      <w:r>
        <w:rPr>
          <w:rFonts w:ascii="Times New Roman" w:hAnsi="Times New Roman" w:cs="Times New Roman"/>
        </w:rPr>
        <w:t xml:space="preserve"> &amp; </w:t>
      </w:r>
      <w:proofErr w:type="spellStart"/>
      <w:r>
        <w:rPr>
          <w:rFonts w:ascii="Times New Roman" w:hAnsi="Times New Roman" w:cs="Times New Roman"/>
        </w:rPr>
        <w:t>Matthes</w:t>
      </w:r>
      <w:proofErr w:type="spellEnd"/>
      <w:r>
        <w:rPr>
          <w:rFonts w:ascii="Times New Roman" w:hAnsi="Times New Roman" w:cs="Times New Roman"/>
        </w:rPr>
        <w:t xml:space="preserve">, 2022; </w:t>
      </w:r>
      <w:proofErr w:type="spellStart"/>
      <w:r>
        <w:rPr>
          <w:rFonts w:ascii="Times New Roman" w:hAnsi="Times New Roman" w:cs="Times New Roman"/>
        </w:rPr>
        <w:t>Valeriani</w:t>
      </w:r>
      <w:proofErr w:type="spellEnd"/>
      <w:r>
        <w:rPr>
          <w:rFonts w:ascii="Times New Roman" w:hAnsi="Times New Roman" w:cs="Times New Roman"/>
        </w:rPr>
        <w:t xml:space="preserve"> &amp; </w:t>
      </w:r>
      <w:proofErr w:type="spellStart"/>
      <w:r>
        <w:rPr>
          <w:rFonts w:ascii="Times New Roman" w:hAnsi="Times New Roman" w:cs="Times New Roman"/>
        </w:rPr>
        <w:t>Vaccari</w:t>
      </w:r>
      <w:proofErr w:type="spellEnd"/>
      <w:r>
        <w:rPr>
          <w:rFonts w:ascii="Times New Roman" w:hAnsi="Times New Roman" w:cs="Times New Roman"/>
        </w:rPr>
        <w:t xml:space="preserve">, 2016). </w:t>
      </w:r>
    </w:p>
    <w:p w14:paraId="55BF4F81" w14:textId="068239F3" w:rsidR="00D239C1" w:rsidRDefault="00D239C1" w:rsidP="00D239C1">
      <w:pPr>
        <w:ind w:firstLine="720"/>
        <w:rPr>
          <w:rFonts w:ascii="Times New Roman" w:hAnsi="Times New Roman" w:cs="Times New Roman"/>
        </w:rPr>
      </w:pPr>
      <w:r>
        <w:rPr>
          <w:rFonts w:ascii="Times New Roman" w:hAnsi="Times New Roman" w:cs="Times New Roman"/>
        </w:rPr>
        <w:t>Empirical findings are</w:t>
      </w:r>
      <w:r w:rsidR="00E659DA">
        <w:rPr>
          <w:rFonts w:ascii="Times New Roman" w:hAnsi="Times New Roman" w:cs="Times New Roman"/>
        </w:rPr>
        <w:t xml:space="preserve"> generally</w:t>
      </w:r>
      <w:r>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Pr>
          <w:rFonts w:ascii="Times New Roman" w:hAnsi="Times New Roman" w:cs="Times New Roman"/>
        </w:rPr>
        <w:t>.</w:t>
      </w:r>
      <w:r w:rsidR="00814004">
        <w:rPr>
          <w:rFonts w:ascii="Times New Roman" w:hAnsi="Times New Roman" w:cs="Times New Roman"/>
        </w:rPr>
        <w:t xml:space="preserve"> </w:t>
      </w:r>
      <w:r>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Pr>
          <w:rFonts w:ascii="Times New Roman" w:hAnsi="Times New Roman" w:cs="Times New Roman"/>
        </w:rPr>
        <w:t xml:space="preserve"> effects in terms of exposure. Using survey data from four countries (</w:t>
      </w:r>
      <w:r w:rsidRPr="00C92285">
        <w:rPr>
          <w:rFonts w:ascii="Times New Roman" w:hAnsi="Times New Roman" w:cs="Times New Roman"/>
        </w:rPr>
        <w:t>Italy, Australia, United Kingdom, United States</w:t>
      </w:r>
      <w:r>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Pr>
          <w:rFonts w:ascii="Times New Roman" w:hAnsi="Times New Roman" w:cs="Times New Roman"/>
        </w:rPr>
        <w:t>Mitchelstein</w:t>
      </w:r>
      <w:proofErr w:type="spellEnd"/>
      <w:r>
        <w:rPr>
          <w:rFonts w:ascii="Times New Roman" w:hAnsi="Times New Roman" w:cs="Times New Roman"/>
        </w:rPr>
        <w:t xml:space="preserve"> et al., 2020). Additionally, other studies have found some support showing that incidental exposure is positively related to political learning and participation </w:t>
      </w:r>
      <w:r w:rsidRPr="00A603DE">
        <w:rPr>
          <w:rFonts w:ascii="Times New Roman" w:eastAsia="Times New Roman" w:hAnsi="Times New Roman" w:cs="Times New Roman"/>
        </w:rPr>
        <w:t>(</w:t>
      </w: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2019</w:t>
      </w:r>
      <w:r>
        <w:rPr>
          <w:rFonts w:ascii="Times New Roman" w:eastAsia="Times New Roman" w:hAnsi="Times New Roman" w:cs="Times New Roman"/>
        </w:rPr>
        <w:t>; Weeks et al., 2021</w:t>
      </w:r>
      <w:r w:rsidRPr="00A603DE">
        <w:rPr>
          <w:rFonts w:ascii="Times New Roman" w:eastAsia="Times New Roman" w:hAnsi="Times New Roman" w:cs="Times New Roman"/>
        </w:rPr>
        <w:t>)</w:t>
      </w:r>
      <w:r>
        <w:rPr>
          <w:rFonts w:ascii="Times New Roman" w:eastAsia="Times New Roman" w:hAnsi="Times New Roman" w:cs="Times New Roman"/>
        </w:rPr>
        <w:t xml:space="preserve">. However, a meta-analysis of incidental exposure research noted that these effects tend to be small and contextual </w:t>
      </w:r>
      <w:r w:rsidRPr="00EF48F4">
        <w:rPr>
          <w:rFonts w:ascii="Times New Roman" w:eastAsia="Times New Roman" w:hAnsi="Times New Roman" w:cs="Times New Roman"/>
        </w:rPr>
        <w:t>(</w:t>
      </w: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2022)</w:t>
      </w:r>
      <w:r>
        <w:rPr>
          <w:rFonts w:ascii="Times New Roman" w:eastAsia="Times New Roman" w:hAnsi="Times New Roman" w:cs="Times New Roman"/>
        </w:rPr>
        <w:t>.</w:t>
      </w:r>
    </w:p>
    <w:p w14:paraId="2759EEAB" w14:textId="09B0182E" w:rsidR="00D239C1" w:rsidRPr="00733324" w:rsidRDefault="00D239C1" w:rsidP="00D239C1">
      <w:pPr>
        <w:ind w:firstLine="720"/>
        <w:rPr>
          <w:rFonts w:ascii="Times New Roman" w:eastAsia="Times New Roman" w:hAnsi="Times New Roman" w:cs="Times New Roman"/>
        </w:rPr>
      </w:pPr>
      <w:r>
        <w:rPr>
          <w:rFonts w:ascii="Times New Roman" w:hAnsi="Times New Roman" w:cs="Times New Roman"/>
        </w:rPr>
        <w:t xml:space="preserve">Despite these findings, </w:t>
      </w:r>
      <w:r>
        <w:rPr>
          <w:rFonts w:ascii="Times New Roman" w:eastAsia="Times New Roman" w:hAnsi="Times New Roman" w:cs="Times New Roman"/>
        </w:rPr>
        <w:t>there continues to be robust scholarly debate over the role of incidental exposure in shaping inequalities in news exposure and engagement due to evidence for stratif</w:t>
      </w:r>
      <w:r w:rsidR="00572B21">
        <w:rPr>
          <w:rFonts w:ascii="Times New Roman" w:eastAsia="Times New Roman" w:hAnsi="Times New Roman" w:cs="Times New Roman"/>
        </w:rPr>
        <w:t>ying</w:t>
      </w:r>
      <w:r>
        <w:rPr>
          <w:rFonts w:ascii="Times New Roman" w:eastAsia="Times New Roman" w:hAnsi="Times New Roman" w:cs="Times New Roman"/>
        </w:rPr>
        <w:t xml:space="preserve"> effects. </w:t>
      </w:r>
      <w:r>
        <w:rPr>
          <w:rFonts w:ascii="Times New Roman" w:hAnsi="Times New Roman" w:cs="Times New Roman"/>
        </w:rPr>
        <w:t>While some studies have found equalizing effects for exposure to news, other studies have found that people who are interested in the news are much more likely to expend the extra effort to engage with 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xml:space="preserve">, 2020), and these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xml:space="preserve">, 2021), as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xml:space="preserve">, 2020;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36822412"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 ‘supply side’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2015</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52B160B7"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of ‘news attraction’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3CD32F00" w:rsidR="00D239C1" w:rsidRDefault="00D239C1" w:rsidP="00D239C1">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 xml:space="preserve">individual’s self-reported interest in politics or the news as an antecedent factor, and generally consider incidental exposure (or its subsequent outcomes) among individuals with low interest to be evidence of equalizing effects (Barnidge, 2021).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w:t>
      </w:r>
      <w:r w:rsidR="001C006A">
        <w:rPr>
          <w:rFonts w:ascii="Times New Roman" w:hAnsi="Times New Roman" w:cs="Times New Roman"/>
        </w:rPr>
        <w:t>ation</w:t>
      </w:r>
      <w:r>
        <w:rPr>
          <w:rFonts w:ascii="Times New Roman" w:hAnsi="Times New Roman" w:cs="Times New Roman"/>
        </w:rPr>
        <w:t xml:space="preserve"> versus stratification and provide leverage over the question of whether incidental exposure closes or widens gaps in exposure to and engagement with news and political information.</w:t>
      </w:r>
    </w:p>
    <w:p w14:paraId="4CE606FE" w14:textId="6C21ABAB" w:rsidR="00D239C1" w:rsidRDefault="00D239C1" w:rsidP="00D239C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2019</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63B5A64" w14:textId="03288FDA" w:rsidR="00D239C1" w:rsidRDefault="00D239C1" w:rsidP="00D239C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w:t>
      </w:r>
      <w:r w:rsidR="00800F70">
        <w:rPr>
          <w:rFonts w:ascii="Times New Roman" w:hAnsi="Times New Roman" w:cs="Times New Roman"/>
        </w:rPr>
        <w:t xml:space="preserve"> or preference for </w:t>
      </w:r>
      <w:r>
        <w:rPr>
          <w:rFonts w:ascii="Times New Roman" w:hAnsi="Times New Roman" w:cs="Times New Roman"/>
        </w:rPr>
        <w:t>news consumption.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2106602F" w:rsidR="00D239C1" w:rsidRDefault="00D239C1" w:rsidP="00D239C1">
      <w:pPr>
        <w:rPr>
          <w:rFonts w:ascii="Times New Roman" w:hAnsi="Times New Roman" w:cs="Times New Roman"/>
        </w:rPr>
      </w:pPr>
      <w:r>
        <w:rPr>
          <w:rFonts w:ascii="Times New Roman" w:hAnsi="Times New Roman" w:cs="Times New Roman"/>
        </w:rPr>
        <w:tab/>
        <w:t>Second, if incidental exposure on social media platforms truly closes exposure gaps by drawing in potential news audience members who would not otherwise encounter news, we would expect to see (a) higher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77777777" w:rsidR="00D239C1" w:rsidRDefault="00D239C1" w:rsidP="00D239C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2042C4B8" w:rsidR="00AA7700" w:rsidRDefault="00AA7700" w:rsidP="007F5C77">
      <w:pPr>
        <w:rPr>
          <w:rFonts w:ascii="Times New Roman" w:hAnsi="Times New Roman" w:cs="Times New Roman"/>
        </w:rPr>
      </w:pPr>
    </w:p>
    <w:p w14:paraId="3C8193CC" w14:textId="2403CEC5" w:rsidR="00AA7700" w:rsidRPr="00AA7700" w:rsidRDefault="00AA7700" w:rsidP="00AA7700">
      <w:pPr>
        <w:jc w:val="center"/>
        <w:rPr>
          <w:rFonts w:ascii="Times New Roman" w:hAnsi="Times New Roman" w:cs="Times New Roman"/>
          <w:b/>
          <w:bCs/>
        </w:rPr>
      </w:pPr>
      <w:r w:rsidRPr="00AA7700">
        <w:rPr>
          <w:rFonts w:ascii="Times New Roman" w:hAnsi="Times New Roman" w:cs="Times New Roman"/>
          <w:b/>
          <w:bCs/>
        </w:rPr>
        <w:t>Notes</w:t>
      </w:r>
    </w:p>
    <w:p w14:paraId="41202DFD" w14:textId="0A911543" w:rsidR="00AA7700" w:rsidRDefault="00AA7700" w:rsidP="007F5C77">
      <w:pPr>
        <w:rPr>
          <w:rFonts w:ascii="Times New Roman" w:hAnsi="Times New Roman" w:cs="Times New Roman"/>
        </w:rPr>
      </w:pPr>
    </w:p>
    <w:p w14:paraId="7AE9505A" w14:textId="2D7651D7" w:rsidR="00AA7700" w:rsidRPr="00AA7700" w:rsidRDefault="00AA7700" w:rsidP="007F5C77">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See Appendix D online for a more thorough reporting of relevant results. Full results are available upon request.</w:t>
      </w: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0340211E" w:rsidR="00D07A0B" w:rsidRDefault="00D07A0B" w:rsidP="00555D30">
      <w:pPr>
        <w:rPr>
          <w:ins w:id="0" w:author="Dan Lane" w:date="2022-04-18T12:20:00Z"/>
          <w:rFonts w:ascii="Times New Roman" w:hAnsi="Times New Roman" w:cs="Times New Roman"/>
        </w:rPr>
      </w:pPr>
      <w:proofErr w:type="spellStart"/>
      <w:r w:rsidRPr="00D07A0B">
        <w:rPr>
          <w:rFonts w:ascii="Times New Roman" w:hAnsi="Times New Roman" w:cs="Times New Roman"/>
          <w:highlight w:val="yellow"/>
        </w:rPr>
        <w:t>Boczkowski</w:t>
      </w:r>
      <w:proofErr w:type="spellEnd"/>
      <w:r w:rsidRPr="00D07A0B">
        <w:rPr>
          <w:rFonts w:ascii="Times New Roman" w:hAnsi="Times New Roman" w:cs="Times New Roman"/>
          <w:highlight w:val="yellow"/>
        </w:rPr>
        <w:t xml:space="preserve"> et al., 2018</w:t>
      </w:r>
    </w:p>
    <w:p w14:paraId="4E432FAC" w14:textId="0288C709" w:rsidR="00A603DE" w:rsidRDefault="00A603DE" w:rsidP="00555D30">
      <w:pPr>
        <w:rPr>
          <w:ins w:id="1" w:author="Dan Lane" w:date="2022-04-18T12:20:00Z"/>
          <w:rFonts w:ascii="Times New Roman" w:hAnsi="Times New Roman" w:cs="Times New Roman"/>
        </w:rPr>
      </w:pPr>
    </w:p>
    <w:p w14:paraId="5684F1CA" w14:textId="77777777" w:rsidR="00A603DE" w:rsidRPr="00A603DE" w:rsidRDefault="00A603DE" w:rsidP="00A603DE">
      <w:pPr>
        <w:spacing w:line="480" w:lineRule="auto"/>
        <w:ind w:hanging="480"/>
        <w:rPr>
          <w:ins w:id="2" w:author="Dan Lane" w:date="2022-04-18T12:20:00Z"/>
          <w:rFonts w:ascii="Times New Roman" w:eastAsia="Times New Roman" w:hAnsi="Times New Roman" w:cs="Times New Roman"/>
        </w:rPr>
      </w:pPr>
      <w:proofErr w:type="spellStart"/>
      <w:ins w:id="3" w:author="Dan Lane" w:date="2022-04-18T12:20:00Z">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2463–2482. </w:t>
        </w:r>
        <w:r w:rsidRPr="00A603DE">
          <w:rPr>
            <w:rFonts w:ascii="Times New Roman" w:eastAsia="Times New Roman" w:hAnsi="Times New Roman" w:cs="Times New Roman"/>
          </w:rPr>
          <w:fldChar w:fldCharType="begin"/>
        </w:r>
        <w:r w:rsidRPr="00A603DE">
          <w:rPr>
            <w:rFonts w:ascii="Times New Roman" w:eastAsia="Times New Roman" w:hAnsi="Times New Roman" w:cs="Times New Roman"/>
          </w:rPr>
          <w:instrText xml:space="preserve"> HYPERLINK "https://doi.org/10.1177/1461444819850755" </w:instrText>
        </w:r>
        <w:r w:rsidRPr="00A603DE">
          <w:rPr>
            <w:rFonts w:ascii="Times New Roman" w:eastAsia="Times New Roman" w:hAnsi="Times New Roman" w:cs="Times New Roman"/>
          </w:rPr>
          <w:fldChar w:fldCharType="separate"/>
        </w:r>
        <w:r w:rsidRPr="00A603DE">
          <w:rPr>
            <w:rFonts w:ascii="Times New Roman" w:eastAsia="Times New Roman" w:hAnsi="Times New Roman" w:cs="Times New Roman"/>
            <w:color w:val="0000FF"/>
            <w:u w:val="single"/>
          </w:rPr>
          <w:t>https://doi.org/10.1177/1461444819850755</w:t>
        </w:r>
        <w:r w:rsidRPr="00A603DE">
          <w:rPr>
            <w:rFonts w:ascii="Times New Roman" w:eastAsia="Times New Roman" w:hAnsi="Times New Roman" w:cs="Times New Roman"/>
          </w:rPr>
          <w:fldChar w:fldCharType="end"/>
        </w:r>
      </w:ins>
    </w:p>
    <w:p w14:paraId="54485DD0" w14:textId="0160C67B" w:rsidR="00A603DE" w:rsidRDefault="00A603DE" w:rsidP="00555D30">
      <w:pPr>
        <w:rPr>
          <w:ins w:id="4" w:author="Dan Lane" w:date="2022-04-18T12:20:00Z"/>
          <w:rFonts w:ascii="Times New Roman" w:hAnsi="Times New Roman" w:cs="Times New Roman"/>
        </w:rPr>
      </w:pPr>
    </w:p>
    <w:p w14:paraId="78AB0A9D" w14:textId="77777777" w:rsidR="00A603DE" w:rsidRDefault="00A603DE" w:rsidP="00555D30">
      <w:pPr>
        <w:rPr>
          <w:rFonts w:ascii="Times New Roman" w:hAnsi="Times New Roman" w:cs="Times New Roman"/>
        </w:rPr>
      </w:pP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Kümpel</w:t>
      </w:r>
      <w:proofErr w:type="spellEnd"/>
      <w:r w:rsidRPr="00D07A0B">
        <w:rPr>
          <w:rFonts w:ascii="Times New Roman" w:hAnsi="Times New Roman" w:cs="Times New Roman"/>
          <w:highlight w:val="yellow"/>
        </w:rPr>
        <w:t xml:space="preserve"> (2020)</w:t>
      </w:r>
    </w:p>
    <w:p w14:paraId="7CBBA0E7" w14:textId="27CF9632" w:rsidR="00D07A0B" w:rsidRDefault="00D07A0B" w:rsidP="00555D30">
      <w:pPr>
        <w:rPr>
          <w:ins w:id="5" w:author="Dan Lane" w:date="2022-04-18T11:55:00Z"/>
          <w:rFonts w:ascii="Times New Roman" w:hAnsi="Times New Roman" w:cs="Times New Roman"/>
        </w:rPr>
      </w:pPr>
      <w:proofErr w:type="spellStart"/>
      <w:r w:rsidRPr="00D07A0B">
        <w:rPr>
          <w:rFonts w:ascii="Times New Roman" w:hAnsi="Times New Roman" w:cs="Times New Roman"/>
          <w:highlight w:val="yellow"/>
        </w:rPr>
        <w:t>Michelstein</w:t>
      </w:r>
      <w:proofErr w:type="spellEnd"/>
      <w:r w:rsidRPr="00D07A0B">
        <w:rPr>
          <w:rFonts w:ascii="Times New Roman" w:hAnsi="Times New Roman" w:cs="Times New Roman"/>
          <w:highlight w:val="yellow"/>
        </w:rPr>
        <w:t xml:space="preserve"> et al., 2020</w:t>
      </w:r>
    </w:p>
    <w:p w14:paraId="61C1BC13" w14:textId="15A2D0F9" w:rsidR="00AA0C52" w:rsidRDefault="00AA0C52" w:rsidP="00555D30">
      <w:pPr>
        <w:rPr>
          <w:ins w:id="6" w:author="Dan Lane" w:date="2022-04-18T11:55:00Z"/>
          <w:rFonts w:ascii="Times New Roman" w:hAnsi="Times New Roman" w:cs="Times New Roman"/>
        </w:rPr>
      </w:pPr>
    </w:p>
    <w:p w14:paraId="015ABFCF" w14:textId="77777777" w:rsidR="00AA0C52" w:rsidRPr="00AA0C52" w:rsidRDefault="00AA0C52" w:rsidP="00AA0C52">
      <w:pPr>
        <w:spacing w:line="480" w:lineRule="auto"/>
        <w:ind w:hanging="480"/>
        <w:rPr>
          <w:ins w:id="7" w:author="Dan Lane" w:date="2022-04-18T11:55:00Z"/>
          <w:rFonts w:ascii="Times New Roman" w:eastAsia="Times New Roman" w:hAnsi="Times New Roman" w:cs="Times New Roman"/>
        </w:rPr>
      </w:pPr>
      <w:proofErr w:type="spellStart"/>
      <w:ins w:id="8" w:author="Dan Lane" w:date="2022-04-18T11:55:00Z">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Won’t Find Me? Exploring Inequalities in Social Media News Use With Tracking Data. </w:t>
        </w:r>
        <w:r w:rsidRPr="00AA0C52">
          <w:rPr>
            <w:rFonts w:ascii="Times New Roman" w:eastAsia="Times New Roman" w:hAnsi="Times New Roman" w:cs="Times New Roman"/>
            <w:i/>
            <w:iCs/>
          </w:rPr>
          <w:t>International 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(0), 21.</w:t>
        </w:r>
      </w:ins>
    </w:p>
    <w:p w14:paraId="5698327D" w14:textId="77777777" w:rsidR="00AA0C52" w:rsidRDefault="00AA0C52" w:rsidP="00555D30">
      <w:pPr>
        <w:rPr>
          <w:rFonts w:ascii="Times New Roman" w:hAnsi="Times New Roman" w:cs="Times New Roman"/>
        </w:rPr>
      </w:pPr>
    </w:p>
    <w:p w14:paraId="0E9DA94C" w14:textId="6FFBEB1F" w:rsidR="00165241" w:rsidRDefault="00165241" w:rsidP="00555D30">
      <w:pPr>
        <w:rPr>
          <w:ins w:id="9" w:author="Dan Lane" w:date="2022-04-18T12:22:00Z"/>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77FE9F" w14:textId="4C6FE510" w:rsidR="00EF48F4" w:rsidRDefault="00EF48F4" w:rsidP="00555D30">
      <w:pPr>
        <w:rPr>
          <w:ins w:id="10" w:author="Dan Lane" w:date="2022-04-18T12:22:00Z"/>
          <w:rFonts w:ascii="Times New Roman" w:hAnsi="Times New Roman" w:cs="Times New Roman"/>
        </w:rPr>
      </w:pPr>
    </w:p>
    <w:p w14:paraId="09D6A8C3" w14:textId="77777777" w:rsidR="00EF48F4" w:rsidRPr="00EF48F4" w:rsidRDefault="00EF48F4" w:rsidP="00EF48F4">
      <w:pPr>
        <w:spacing w:line="480" w:lineRule="auto"/>
        <w:ind w:hanging="480"/>
        <w:rPr>
          <w:ins w:id="11" w:author="Dan Lane" w:date="2022-04-18T12:22:00Z"/>
          <w:rFonts w:ascii="Times New Roman" w:eastAsia="Times New Roman" w:hAnsi="Times New Roman" w:cs="Times New Roman"/>
        </w:rPr>
      </w:pPr>
      <w:proofErr w:type="spellStart"/>
      <w:ins w:id="12" w:author="Dan Lane" w:date="2022-04-18T12:22:00Z">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Consequences of Incidental Exposure to Political Information: A Meta-Analysis.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 xml:space="preserve">, jqac008. </w:t>
        </w:r>
        <w:r w:rsidRPr="00EF48F4">
          <w:rPr>
            <w:rFonts w:ascii="Times New Roman" w:eastAsia="Times New Roman" w:hAnsi="Times New Roman" w:cs="Times New Roman"/>
          </w:rPr>
          <w:fldChar w:fldCharType="begin"/>
        </w:r>
        <w:r w:rsidRPr="00EF48F4">
          <w:rPr>
            <w:rFonts w:ascii="Times New Roman" w:eastAsia="Times New Roman" w:hAnsi="Times New Roman" w:cs="Times New Roman"/>
          </w:rPr>
          <w:instrText xml:space="preserve"> HYPERLINK "https://doi.org/10.1093/joc/jqac008" </w:instrText>
        </w:r>
        <w:r w:rsidRPr="00EF48F4">
          <w:rPr>
            <w:rFonts w:ascii="Times New Roman" w:eastAsia="Times New Roman" w:hAnsi="Times New Roman" w:cs="Times New Roman"/>
          </w:rPr>
          <w:fldChar w:fldCharType="separate"/>
        </w:r>
        <w:r w:rsidRPr="00EF48F4">
          <w:rPr>
            <w:rFonts w:ascii="Times New Roman" w:eastAsia="Times New Roman" w:hAnsi="Times New Roman" w:cs="Times New Roman"/>
            <w:color w:val="0000FF"/>
            <w:u w:val="single"/>
          </w:rPr>
          <w:t>https://doi.org/10.1093/joc/jqac008</w:t>
        </w:r>
        <w:r w:rsidRPr="00EF48F4">
          <w:rPr>
            <w:rFonts w:ascii="Times New Roman" w:eastAsia="Times New Roman" w:hAnsi="Times New Roman" w:cs="Times New Roman"/>
          </w:rPr>
          <w:fldChar w:fldCharType="end"/>
        </w:r>
      </w:ins>
    </w:p>
    <w:p w14:paraId="7BB385B4" w14:textId="77777777" w:rsidR="00EF48F4" w:rsidRDefault="00EF48F4" w:rsidP="00555D30">
      <w:pPr>
        <w:rPr>
          <w:rFonts w:ascii="Times New Roman" w:hAnsi="Times New Roman" w:cs="Times New Roman"/>
        </w:rPr>
      </w:pPr>
    </w:p>
    <w:p w14:paraId="2E1E3E58" w14:textId="5B40B0FF" w:rsidR="00D07A0B" w:rsidRDefault="00D07A0B" w:rsidP="00555D30">
      <w:pPr>
        <w:rPr>
          <w:ins w:id="13" w:author="Dan Lane" w:date="2022-04-18T12:20:00Z"/>
          <w:rFonts w:ascii="Times New Roman" w:hAnsi="Times New Roman" w:cs="Times New Roman"/>
        </w:rPr>
      </w:pPr>
      <w:r w:rsidRPr="00D07A0B">
        <w:rPr>
          <w:rFonts w:ascii="Times New Roman" w:hAnsi="Times New Roman" w:cs="Times New Roman"/>
          <w:highlight w:val="yellow"/>
        </w:rPr>
        <w:t>Prior, 2007</w:t>
      </w:r>
    </w:p>
    <w:p w14:paraId="12280B70" w14:textId="77777777" w:rsidR="00A603DE" w:rsidRDefault="00A603DE" w:rsidP="00555D30">
      <w:pPr>
        <w:rPr>
          <w:ins w:id="14" w:author="Dan Lane" w:date="2022-04-18T12:05:00Z"/>
          <w:rFonts w:ascii="Times New Roman" w:hAnsi="Times New Roman" w:cs="Times New Roman"/>
        </w:rPr>
      </w:pPr>
    </w:p>
    <w:p w14:paraId="3E86549D" w14:textId="572E4842" w:rsidR="00945193" w:rsidRDefault="00945193" w:rsidP="00555D30">
      <w:pPr>
        <w:rPr>
          <w:ins w:id="15" w:author="Dan Lane" w:date="2022-04-18T12:05:00Z"/>
          <w:rFonts w:ascii="Times New Roman" w:hAnsi="Times New Roman" w:cs="Times New Roman"/>
        </w:rPr>
      </w:pPr>
    </w:p>
    <w:p w14:paraId="296ADA0F" w14:textId="1F8F8FD9" w:rsidR="00945193" w:rsidRDefault="00945193" w:rsidP="00945193">
      <w:pPr>
        <w:spacing w:line="480" w:lineRule="auto"/>
        <w:ind w:hanging="480"/>
        <w:rPr>
          <w:ins w:id="16" w:author="Dan Lane" w:date="2022-04-18T12:41:00Z"/>
          <w:rFonts w:ascii="Times New Roman" w:eastAsia="Times New Roman" w:hAnsi="Times New Roman" w:cs="Times New Roman"/>
        </w:rPr>
      </w:pPr>
      <w:proofErr w:type="spellStart"/>
      <w:ins w:id="17" w:author="Dan Lane" w:date="2022-04-18T12:05:00Z">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Factsheet: Social inequalities in news consumption</w:t>
        </w:r>
        <w:r w:rsidRPr="00945193">
          <w:rPr>
            <w:rFonts w:ascii="Times New Roman" w:eastAsia="Times New Roman" w:hAnsi="Times New Roman" w:cs="Times New Roman"/>
          </w:rPr>
          <w:t xml:space="preserve">. Reuters Institute for the Study of Journalism. </w:t>
        </w:r>
        <w:r w:rsidRPr="00945193">
          <w:rPr>
            <w:rFonts w:ascii="Times New Roman" w:eastAsia="Times New Roman" w:hAnsi="Times New Roman" w:cs="Times New Roman"/>
          </w:rPr>
          <w:fldChar w:fldCharType="begin"/>
        </w:r>
        <w:r w:rsidRPr="00945193">
          <w:rPr>
            <w:rFonts w:ascii="Times New Roman" w:eastAsia="Times New Roman" w:hAnsi="Times New Roman" w:cs="Times New Roman"/>
          </w:rPr>
          <w:instrText xml:space="preserve"> HYPERLINK "https://reutersinstitute.politics.ox.ac.uk/our-research/social-inequalities-news-consumption" </w:instrText>
        </w:r>
        <w:r w:rsidRPr="00945193">
          <w:rPr>
            <w:rFonts w:ascii="Times New Roman" w:eastAsia="Times New Roman" w:hAnsi="Times New Roman" w:cs="Times New Roman"/>
          </w:rPr>
          <w:fldChar w:fldCharType="separate"/>
        </w:r>
        <w:r w:rsidRPr="00945193">
          <w:rPr>
            <w:rFonts w:ascii="Times New Roman" w:eastAsia="Times New Roman" w:hAnsi="Times New Roman" w:cs="Times New Roman"/>
            <w:color w:val="0000FF"/>
            <w:u w:val="single"/>
          </w:rPr>
          <w:t>https://reutersinstitute.politics.ox.ac.uk/our-research/social-inequalities-news-consumption</w:t>
        </w:r>
        <w:r w:rsidRPr="00945193">
          <w:rPr>
            <w:rFonts w:ascii="Times New Roman" w:eastAsia="Times New Roman" w:hAnsi="Times New Roman" w:cs="Times New Roman"/>
          </w:rPr>
          <w:fldChar w:fldCharType="end"/>
        </w:r>
      </w:ins>
    </w:p>
    <w:p w14:paraId="618E2F94" w14:textId="548F364F" w:rsidR="0040205F" w:rsidRPr="00945193" w:rsidRDefault="008655BF" w:rsidP="00945193">
      <w:pPr>
        <w:spacing w:line="480" w:lineRule="auto"/>
        <w:ind w:hanging="480"/>
        <w:rPr>
          <w:ins w:id="18" w:author="Dan Lane" w:date="2022-04-18T12:05:00Z"/>
          <w:rFonts w:ascii="Times New Roman" w:eastAsia="Times New Roman" w:hAnsi="Times New Roman" w:cs="Times New Roman"/>
        </w:rPr>
      </w:pPr>
      <w:proofErr w:type="spellStart"/>
      <w:ins w:id="19" w:author="Dan Lane" w:date="2022-04-18T12:41:00Z">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A. S. (2020). The Matthew Effect in social media news use: Assessing inequalities in news exposure and news engagement on social network sites (SNS). Journalism, 21(8), 1083–1098. https://doi.org/10.1177/1464884920915374</w:t>
        </w:r>
      </w:ins>
    </w:p>
    <w:p w14:paraId="29A0777B" w14:textId="77777777" w:rsidR="008655BF" w:rsidRPr="008655BF" w:rsidRDefault="008655BF" w:rsidP="008655BF">
      <w:pPr>
        <w:spacing w:line="480" w:lineRule="auto"/>
        <w:ind w:hanging="480"/>
        <w:rPr>
          <w:ins w:id="20" w:author="Dan Lane" w:date="2022-04-18T12:44:00Z"/>
          <w:rFonts w:ascii="Times New Roman" w:eastAsia="Times New Roman" w:hAnsi="Times New Roman" w:cs="Times New Roman"/>
        </w:rPr>
      </w:pPr>
      <w:ins w:id="21" w:author="Dan Lane" w:date="2022-04-18T12:44:00Z">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Unequal and Unrepresented: Political Inequality and the People’s Voice in the New Gilded Age</w:t>
        </w:r>
        <w:r w:rsidRPr="008655BF">
          <w:rPr>
            <w:rFonts w:ascii="Times New Roman" w:eastAsia="Times New Roman" w:hAnsi="Times New Roman" w:cs="Times New Roman"/>
          </w:rPr>
          <w:t>. Princeton University Press.</w:t>
        </w:r>
      </w:ins>
    </w:p>
    <w:p w14:paraId="2596E465" w14:textId="77777777" w:rsidR="00945193" w:rsidRDefault="00945193" w:rsidP="00555D30">
      <w:pPr>
        <w:rPr>
          <w:ins w:id="22" w:author="Dan Lane" w:date="2022-04-18T12:05:00Z"/>
          <w:rFonts w:ascii="Times New Roman" w:hAnsi="Times New Roman" w:cs="Times New Roman"/>
        </w:rPr>
      </w:pPr>
    </w:p>
    <w:p w14:paraId="2E350B13" w14:textId="77777777" w:rsidR="00945193" w:rsidRDefault="00945193" w:rsidP="00555D30">
      <w:pPr>
        <w:rPr>
          <w:rFonts w:ascii="Times New Roman" w:hAnsi="Times New Roman" w:cs="Times New Roman"/>
        </w:rPr>
      </w:pP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423B8914"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sidR="00D67183">
        <w:rPr>
          <w:rFonts w:ascii="Times New Roman" w:hAnsi="Times New Roman" w:cs="Times New Roman"/>
          <w:i/>
          <w:iCs/>
        </w:rPr>
        <w:t>S</w:t>
      </w:r>
      <w:r w:rsidRPr="00855B1D">
        <w:rPr>
          <w:rFonts w:ascii="Times New Roman" w:hAnsi="Times New Roman" w:cs="Times New Roman"/>
          <w:i/>
          <w:iCs/>
        </w:rPr>
        <w:t xml:space="preserve">tatistical </w:t>
      </w:r>
      <w:r w:rsidR="00D67183">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2AD8379B" w:rsidR="00D07A0B" w:rsidRDefault="00D07A0B" w:rsidP="00555D30">
      <w:pPr>
        <w:rPr>
          <w:ins w:id="23" w:author="Dan Lane" w:date="2022-04-18T14:03:00Z"/>
          <w:rFonts w:ascii="Times New Roman" w:hAnsi="Times New Roman" w:cs="Times New Roman"/>
        </w:rPr>
      </w:pPr>
    </w:p>
    <w:p w14:paraId="3E4255D9" w14:textId="77777777" w:rsidR="00A711F6" w:rsidRPr="00A711F6" w:rsidRDefault="00A711F6" w:rsidP="00A711F6">
      <w:pPr>
        <w:spacing w:line="480" w:lineRule="auto"/>
        <w:ind w:hanging="480"/>
        <w:rPr>
          <w:ins w:id="24" w:author="Dan Lane" w:date="2022-04-18T14:03:00Z"/>
          <w:rFonts w:ascii="Times New Roman" w:eastAsia="Times New Roman" w:hAnsi="Times New Roman" w:cs="Times New Roman"/>
        </w:rPr>
      </w:pPr>
      <w:proofErr w:type="spellStart"/>
      <w:ins w:id="25" w:author="Dan Lane" w:date="2022-04-18T14:03:00Z">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use and youth political engagement in three advanced democracies. </w:t>
        </w:r>
        <w:r w:rsidRPr="00A711F6">
          <w:rPr>
            <w:rFonts w:ascii="Times New Roman" w:eastAsia="Times New Roman" w:hAnsi="Times New Roman" w:cs="Times New Roman"/>
            <w:i/>
            <w:iCs/>
          </w:rPr>
          <w:t>Information, 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r w:rsidRPr="00A711F6">
          <w:rPr>
            <w:rFonts w:ascii="Times New Roman" w:eastAsia="Times New Roman" w:hAnsi="Times New Roman" w:cs="Times New Roman"/>
          </w:rPr>
          <w:fldChar w:fldCharType="begin"/>
        </w:r>
        <w:r w:rsidRPr="00A711F6">
          <w:rPr>
            <w:rFonts w:ascii="Times New Roman" w:eastAsia="Times New Roman" w:hAnsi="Times New Roman" w:cs="Times New Roman"/>
          </w:rPr>
          <w:instrText xml:space="preserve"> HYPERLINK "https://doi.org/10.1080/1369118X.2013.871318" </w:instrText>
        </w:r>
        <w:r w:rsidRPr="00A711F6">
          <w:rPr>
            <w:rFonts w:ascii="Times New Roman" w:eastAsia="Times New Roman" w:hAnsi="Times New Roman" w:cs="Times New Roman"/>
          </w:rPr>
          <w:fldChar w:fldCharType="separate"/>
        </w:r>
        <w:r w:rsidRPr="00A711F6">
          <w:rPr>
            <w:rFonts w:ascii="Times New Roman" w:eastAsia="Times New Roman" w:hAnsi="Times New Roman" w:cs="Times New Roman"/>
            <w:color w:val="0000FF"/>
            <w:u w:val="single"/>
          </w:rPr>
          <w:t>https://doi.org/10.1080/1369118X.2013.871318</w:t>
        </w:r>
        <w:r w:rsidRPr="00A711F6">
          <w:rPr>
            <w:rFonts w:ascii="Times New Roman" w:eastAsia="Times New Roman" w:hAnsi="Times New Roman" w:cs="Times New Roman"/>
          </w:rPr>
          <w:fldChar w:fldCharType="end"/>
        </w:r>
      </w:ins>
    </w:p>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50302D86" w14:textId="634F4A97" w:rsidR="00693E73" w:rsidRDefault="00693E73" w:rsidP="00F829A0">
      <w:pPr>
        <w:rPr>
          <w:rFonts w:ascii="Times New Roman" w:hAnsi="Times New Roman" w:cs="Times New Roman"/>
        </w:rPr>
      </w:pPr>
    </w:p>
    <w:p w14:paraId="73ED65AF" w14:textId="7562DAD0" w:rsidR="00693E73" w:rsidRDefault="00693E73" w:rsidP="00F829A0">
      <w:pPr>
        <w:rPr>
          <w:rFonts w:ascii="Times New Roman" w:hAnsi="Times New Roman" w:cs="Times New Roman"/>
        </w:rPr>
      </w:pPr>
    </w:p>
    <w:p w14:paraId="6C7161A9" w14:textId="54BC7339" w:rsidR="00693E73" w:rsidRDefault="00693E73" w:rsidP="00F829A0">
      <w:pPr>
        <w:rPr>
          <w:rFonts w:ascii="Times New Roman" w:hAnsi="Times New Roman" w:cs="Times New Roman"/>
        </w:rPr>
      </w:pPr>
    </w:p>
    <w:p w14:paraId="5C9D4206" w14:textId="17FAC4BC" w:rsidR="00693E73" w:rsidRDefault="00693E73" w:rsidP="00F829A0">
      <w:pPr>
        <w:rPr>
          <w:rFonts w:ascii="Times New Roman" w:hAnsi="Times New Roman" w:cs="Times New Roman"/>
        </w:rPr>
      </w:pPr>
    </w:p>
    <w:p w14:paraId="0A5A3100" w14:textId="4116722A" w:rsidR="00693E73" w:rsidRDefault="00693E73" w:rsidP="00F829A0">
      <w:pPr>
        <w:rPr>
          <w:rFonts w:ascii="Times New Roman" w:hAnsi="Times New Roman" w:cs="Times New Roman"/>
        </w:rPr>
      </w:pPr>
    </w:p>
    <w:p w14:paraId="152692B2" w14:textId="03D67D8D" w:rsidR="00693E73" w:rsidRDefault="00693E73" w:rsidP="00F829A0">
      <w:pPr>
        <w:rPr>
          <w:rFonts w:ascii="Times New Roman" w:hAnsi="Times New Roman" w:cs="Times New Roman"/>
        </w:rPr>
      </w:pPr>
    </w:p>
    <w:p w14:paraId="569B3741" w14:textId="1BA398D3" w:rsidR="00693E73" w:rsidRDefault="00693E73" w:rsidP="00F829A0">
      <w:pPr>
        <w:rPr>
          <w:rFonts w:ascii="Times New Roman" w:hAnsi="Times New Roman" w:cs="Times New Roman"/>
        </w:rPr>
      </w:pPr>
    </w:p>
    <w:p w14:paraId="6E2A92D1" w14:textId="724F56A8" w:rsidR="00693E73" w:rsidRDefault="00693E73" w:rsidP="00F829A0">
      <w:pPr>
        <w:rPr>
          <w:rFonts w:ascii="Times New Roman" w:hAnsi="Times New Roman" w:cs="Times New Roman"/>
        </w:rPr>
      </w:pPr>
    </w:p>
    <w:p w14:paraId="68BC5940" w14:textId="1CB8CD96" w:rsidR="00693E73" w:rsidRDefault="00693E73" w:rsidP="00F829A0">
      <w:pPr>
        <w:rPr>
          <w:rFonts w:ascii="Times New Roman" w:hAnsi="Times New Roman" w:cs="Times New Roman"/>
        </w:rPr>
      </w:pPr>
    </w:p>
    <w:p w14:paraId="78B3A517" w14:textId="1ED16D00" w:rsidR="00693E73" w:rsidRDefault="00693E73" w:rsidP="00F829A0">
      <w:pPr>
        <w:rPr>
          <w:rFonts w:ascii="Times New Roman" w:hAnsi="Times New Roman" w:cs="Times New Roman"/>
        </w:rPr>
      </w:pPr>
    </w:p>
    <w:p w14:paraId="634F6666" w14:textId="7818493E" w:rsidR="00693E73" w:rsidRDefault="00693E73" w:rsidP="00F829A0">
      <w:pPr>
        <w:rPr>
          <w:rFonts w:ascii="Times New Roman" w:hAnsi="Times New Roman" w:cs="Times New Roman"/>
        </w:rPr>
      </w:pPr>
    </w:p>
    <w:p w14:paraId="56BEC8D5" w14:textId="702B7036" w:rsidR="00693E73" w:rsidRDefault="00693E73" w:rsidP="00F829A0">
      <w:pPr>
        <w:rPr>
          <w:rFonts w:ascii="Times New Roman" w:hAnsi="Times New Roman" w:cs="Times New Roman"/>
        </w:rPr>
      </w:pPr>
    </w:p>
    <w:p w14:paraId="4D7CC9D8" w14:textId="4758319E" w:rsidR="00693E73" w:rsidRDefault="00693E73" w:rsidP="00F829A0">
      <w:pPr>
        <w:rPr>
          <w:rFonts w:ascii="Times New Roman" w:hAnsi="Times New Roman" w:cs="Times New Roman"/>
        </w:rPr>
      </w:pPr>
    </w:p>
    <w:p w14:paraId="1D74658C" w14:textId="15687BF6" w:rsidR="00693E73" w:rsidRDefault="00693E73" w:rsidP="00F829A0">
      <w:pPr>
        <w:rPr>
          <w:rFonts w:ascii="Times New Roman" w:hAnsi="Times New Roman" w:cs="Times New Roman"/>
        </w:rPr>
      </w:pPr>
    </w:p>
    <w:p w14:paraId="64684682" w14:textId="0F65E7A2" w:rsidR="00693E73" w:rsidRDefault="00693E73" w:rsidP="00F829A0">
      <w:pPr>
        <w:rPr>
          <w:rFonts w:ascii="Times New Roman" w:hAnsi="Times New Roman" w:cs="Times New Roman"/>
        </w:rPr>
      </w:pPr>
    </w:p>
    <w:p w14:paraId="5373F5BC" w14:textId="22A71CDE" w:rsidR="00693E73" w:rsidRDefault="00693E73" w:rsidP="00F829A0">
      <w:pPr>
        <w:rPr>
          <w:rFonts w:ascii="Times New Roman" w:hAnsi="Times New Roman" w:cs="Times New Roman"/>
        </w:rPr>
      </w:pPr>
    </w:p>
    <w:p w14:paraId="000B35E3" w14:textId="491EF2A5" w:rsidR="00693E73" w:rsidRDefault="00693E73" w:rsidP="00F829A0">
      <w:pPr>
        <w:rPr>
          <w:rFonts w:ascii="Times New Roman" w:hAnsi="Times New Roman" w:cs="Times New Roman"/>
        </w:rPr>
      </w:pPr>
    </w:p>
    <w:p w14:paraId="434F9216" w14:textId="5EA43DEB" w:rsidR="00693E73" w:rsidRDefault="00693E73" w:rsidP="00F829A0">
      <w:pPr>
        <w:rPr>
          <w:rFonts w:ascii="Times New Roman" w:hAnsi="Times New Roman" w:cs="Times New Roman"/>
        </w:rPr>
      </w:pPr>
    </w:p>
    <w:p w14:paraId="5DE837BC" w14:textId="30AF1F8F" w:rsidR="00693E73" w:rsidRDefault="00693E73" w:rsidP="00F829A0">
      <w:pPr>
        <w:rPr>
          <w:rFonts w:ascii="Times New Roman" w:hAnsi="Times New Roman" w:cs="Times New Roman"/>
        </w:rPr>
      </w:pPr>
    </w:p>
    <w:p w14:paraId="495A78E1" w14:textId="2EDC37F7" w:rsidR="00693E73" w:rsidRDefault="00693E73" w:rsidP="00F829A0">
      <w:pPr>
        <w:rPr>
          <w:rFonts w:ascii="Times New Roman" w:hAnsi="Times New Roman" w:cs="Times New Roman"/>
        </w:rPr>
      </w:pPr>
    </w:p>
    <w:p w14:paraId="515BCB9B" w14:textId="499EE116" w:rsidR="00693E73" w:rsidRDefault="00693E73" w:rsidP="00F829A0">
      <w:pPr>
        <w:rPr>
          <w:rFonts w:ascii="Times New Roman" w:hAnsi="Times New Roman" w:cs="Times New Roman"/>
        </w:rPr>
      </w:pPr>
    </w:p>
    <w:p w14:paraId="09EA3CBE" w14:textId="77777777" w:rsidR="00693E73" w:rsidRPr="00693E73" w:rsidRDefault="00693E73" w:rsidP="00693E73">
      <w:pPr>
        <w:jc w:val="center"/>
        <w:rPr>
          <w:rFonts w:ascii="Times New Roman" w:hAnsi="Times New Roman" w:cs="Times New Roman"/>
          <w:b/>
          <w:bCs/>
        </w:rPr>
      </w:pPr>
      <w:r w:rsidRPr="00693E73">
        <w:rPr>
          <w:rFonts w:ascii="Times New Roman" w:hAnsi="Times New Roman" w:cs="Times New Roman"/>
          <w:b/>
          <w:bCs/>
        </w:rPr>
        <w:t xml:space="preserve">Appendix D: </w:t>
      </w:r>
    </w:p>
    <w:p w14:paraId="6F2DD26B" w14:textId="7A290995" w:rsidR="00693E73" w:rsidRDefault="00693E73" w:rsidP="00693E73">
      <w:pPr>
        <w:jc w:val="center"/>
        <w:rPr>
          <w:rFonts w:ascii="Times New Roman" w:hAnsi="Times New Roman" w:cs="Times New Roman"/>
          <w:b/>
          <w:bCs/>
        </w:rPr>
      </w:pPr>
      <w:r w:rsidRPr="00693E73">
        <w:rPr>
          <w:rFonts w:ascii="Times New Roman" w:hAnsi="Times New Roman" w:cs="Times New Roman"/>
          <w:b/>
          <w:bCs/>
        </w:rPr>
        <w:t>Report of Regression Results Where Self-Reported Interest as Primary Predictor</w:t>
      </w:r>
    </w:p>
    <w:p w14:paraId="13618631" w14:textId="1F65B4A2" w:rsidR="00693E73" w:rsidRDefault="00693E73" w:rsidP="00693E73">
      <w:pPr>
        <w:jc w:val="center"/>
        <w:rPr>
          <w:rFonts w:ascii="Times New Roman" w:hAnsi="Times New Roman" w:cs="Times New Roman"/>
          <w:b/>
          <w:bCs/>
        </w:rPr>
      </w:pPr>
    </w:p>
    <w:p w14:paraId="28F2E56B" w14:textId="49904E09" w:rsidR="00693E73" w:rsidRPr="007F5C77" w:rsidRDefault="00693E73" w:rsidP="00693E7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Whereas our analysis of the grouping variable revealed important and theoretically fruitful group </w:t>
      </w:r>
      <w:r w:rsidRPr="00FA4137">
        <w:rPr>
          <w:rFonts w:ascii="Times New Roman" w:hAnsi="Times New Roman" w:cs="Times New Roman"/>
        </w:rPr>
        <w:t xml:space="preserve">differences in incidental exposure, analyses show that self-reported interest is unrelated to the trait-like measure (β = 0.03, </w:t>
      </w:r>
      <w:r w:rsidRPr="00FA4137">
        <w:rPr>
          <w:rFonts w:ascii="Times New Roman" w:hAnsi="Times New Roman" w:cs="Times New Roman"/>
          <w:i/>
          <w:iCs/>
        </w:rPr>
        <w:t>SE</w:t>
      </w:r>
      <w:r w:rsidRPr="00FA4137">
        <w:rPr>
          <w:rFonts w:ascii="Times New Roman" w:hAnsi="Times New Roman" w:cs="Times New Roman"/>
        </w:rPr>
        <w:t xml:space="preserve"> = 0.02, </w:t>
      </w:r>
      <w:r w:rsidRPr="00FA4137">
        <w:rPr>
          <w:rFonts w:ascii="Times New Roman" w:hAnsi="Times New Roman" w:cs="Times New Roman"/>
          <w:i/>
          <w:iCs/>
        </w:rPr>
        <w:t>p</w:t>
      </w:r>
      <w:r w:rsidRPr="00FA4137">
        <w:rPr>
          <w:rFonts w:ascii="Times New Roman" w:hAnsi="Times New Roman" w:cs="Times New Roman"/>
        </w:rPr>
        <w:t xml:space="preserve"> = .214) 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 </w:t>
      </w:r>
      <w:r>
        <w:rPr>
          <w:rFonts w:ascii="Times New Roman" w:hAnsi="Times New Roman" w:cs="Times New Roman"/>
        </w:rPr>
        <w:t xml:space="preserve">Thus, by accounting for latent classes defined by a range of behaviors, rather than just self-reported interest, we are able to not only improve our capacity to predict incidental exposure but also reveal non-linear patterns of group difference that cannot be observed by analyzing interest alone. Other results are relatively straightforward and mirror those for the grouping variable, although they are, in our view, less robust. </w:t>
      </w:r>
      <w:r w:rsidRPr="007F5C77">
        <w:rPr>
          <w:rFonts w:ascii="Times New Roman" w:hAnsi="Times New Roman" w:cs="Times New Roman"/>
        </w:rPr>
        <w:t xml:space="preserve">Interest is related to both measures of total exposure (β = 0.31, </w:t>
      </w:r>
      <w:r w:rsidRPr="007F5C77">
        <w:rPr>
          <w:rFonts w:ascii="Times New Roman" w:hAnsi="Times New Roman" w:cs="Times New Roman"/>
          <w:i/>
          <w:iCs/>
        </w:rPr>
        <w:t>SE</w:t>
      </w:r>
      <w:r w:rsidRPr="007F5C77">
        <w:rPr>
          <w:rFonts w:ascii="Times New Roman" w:hAnsi="Times New Roman" w:cs="Times New Roman"/>
        </w:rPr>
        <w:t xml:space="preserve"> = 0.02, </w:t>
      </w:r>
      <w:r w:rsidRPr="007F5C77">
        <w:rPr>
          <w:rFonts w:ascii="Times New Roman" w:hAnsi="Times New Roman" w:cs="Times New Roman"/>
          <w:i/>
          <w:iCs/>
        </w:rPr>
        <w:t>p</w:t>
      </w:r>
      <w:r w:rsidRPr="007F5C77">
        <w:rPr>
          <w:rFonts w:ascii="Times New Roman" w:hAnsi="Times New Roman" w:cs="Times New Roman"/>
        </w:rPr>
        <w:t xml:space="preserve"> &lt; .001 for the trait-like measure; β = 0.23, </w:t>
      </w:r>
      <w:r w:rsidRPr="007F5C77">
        <w:rPr>
          <w:rFonts w:ascii="Times New Roman" w:hAnsi="Times New Roman" w:cs="Times New Roman"/>
          <w:i/>
          <w:iCs/>
        </w:rPr>
        <w:t>SE</w:t>
      </w:r>
      <w:r w:rsidRPr="007F5C77">
        <w:rPr>
          <w:rFonts w:ascii="Times New Roman" w:hAnsi="Times New Roman" w:cs="Times New Roman"/>
        </w:rPr>
        <w:t xml:space="preserve"> = 0.04, </w:t>
      </w:r>
      <w:r w:rsidRPr="007F5C77">
        <w:rPr>
          <w:rFonts w:ascii="Times New Roman" w:hAnsi="Times New Roman" w:cs="Times New Roman"/>
          <w:i/>
          <w:iCs/>
        </w:rPr>
        <w:t>p</w:t>
      </w:r>
      <w:r w:rsidRPr="007F5C77">
        <w:rPr>
          <w:rFonts w:ascii="Times New Roman" w:hAnsi="Times New Roman" w:cs="Times New Roman"/>
        </w:rPr>
        <w:t xml:space="preserve"> &lt; .001 for the state-like measure).</w:t>
      </w:r>
      <w:r>
        <w:rPr>
          <w:rFonts w:ascii="Times New Roman" w:hAnsi="Times New Roman" w:cs="Times New Roman"/>
        </w:rPr>
        <w:t xml:space="preserve"> Finally, the interaction between interest and incidental exposure on the engagement </w:t>
      </w:r>
      <w:r w:rsidRPr="009C6FF4">
        <w:rPr>
          <w:rFonts w:ascii="Times New Roman" w:hAnsi="Times New Roman" w:cs="Times New Roman"/>
        </w:rPr>
        <w:t>outcomes are statistically significant (</w:t>
      </w:r>
      <w:r w:rsidRPr="007F5C77">
        <w:rPr>
          <w:rFonts w:ascii="Times New Roman" w:hAnsi="Times New Roman" w:cs="Times New Roman"/>
        </w:rPr>
        <w:t>β</w:t>
      </w:r>
      <w:r w:rsidRPr="009C6FF4">
        <w:rPr>
          <w:rFonts w:ascii="Times New Roman" w:hAnsi="Times New Roman" w:cs="Times New Roman"/>
        </w:rPr>
        <w:t xml:space="preserve"> = -0.43, </w:t>
      </w:r>
      <w:r w:rsidRPr="009C6FF4">
        <w:rPr>
          <w:rFonts w:ascii="Times New Roman" w:hAnsi="Times New Roman" w:cs="Times New Roman"/>
          <w:i/>
          <w:iCs/>
        </w:rPr>
        <w:t>SE</w:t>
      </w:r>
      <w:r>
        <w:rPr>
          <w:rFonts w:ascii="Times New Roman" w:hAnsi="Times New Roman" w:cs="Times New Roman"/>
        </w:rPr>
        <w:t xml:space="preserve"> </w:t>
      </w:r>
      <w:r w:rsidRPr="009C6FF4">
        <w:rPr>
          <w:rFonts w:ascii="Times New Roman" w:hAnsi="Times New Roman" w:cs="Times New Roman"/>
        </w:rPr>
        <w:t xml:space="preserve">= 0.14, </w:t>
      </w:r>
      <w:r w:rsidRPr="009C6FF4">
        <w:rPr>
          <w:rFonts w:ascii="Times New Roman" w:hAnsi="Times New Roman" w:cs="Times New Roman"/>
          <w:i/>
          <w:iCs/>
        </w:rPr>
        <w:t>p</w:t>
      </w:r>
      <w:r w:rsidRPr="009C6FF4">
        <w:rPr>
          <w:rFonts w:ascii="Times New Roman" w:hAnsi="Times New Roman" w:cs="Times New Roman"/>
        </w:rPr>
        <w:t xml:space="preserve"> = .002 for overall engagement; </w:t>
      </w:r>
      <w:r w:rsidRPr="007F5C77">
        <w:rPr>
          <w:rFonts w:ascii="Times New Roman" w:hAnsi="Times New Roman" w:cs="Times New Roman"/>
        </w:rPr>
        <w:t>β</w:t>
      </w:r>
      <w:r w:rsidRPr="009C6FF4">
        <w:rPr>
          <w:rFonts w:ascii="Times New Roman" w:hAnsi="Times New Roman" w:cs="Times New Roman"/>
        </w:rPr>
        <w:t xml:space="preserve"> = -0.37, </w:t>
      </w:r>
      <w:r w:rsidRPr="009C6FF4">
        <w:rPr>
          <w:rFonts w:ascii="Times New Roman" w:hAnsi="Times New Roman" w:cs="Times New Roman"/>
          <w:i/>
          <w:iCs/>
        </w:rPr>
        <w:t>SE</w:t>
      </w:r>
      <w:r w:rsidRPr="009C6FF4">
        <w:rPr>
          <w:rFonts w:ascii="Times New Roman" w:hAnsi="Times New Roman" w:cs="Times New Roman"/>
        </w:rPr>
        <w:t xml:space="preserve"> = 0.09, </w:t>
      </w:r>
      <w:r w:rsidRPr="009C6FF4">
        <w:rPr>
          <w:rFonts w:ascii="Times New Roman" w:hAnsi="Times New Roman" w:cs="Times New Roman"/>
          <w:i/>
          <w:iCs/>
        </w:rPr>
        <w:t>p</w:t>
      </w:r>
      <w:r w:rsidRPr="009C6FF4">
        <w:rPr>
          <w:rFonts w:ascii="Times New Roman" w:hAnsi="Times New Roman" w:cs="Times New Roman"/>
        </w:rPr>
        <w:t xml:space="preserve"> &lt; .001 for high-effort engagement), with slightly stronger effects observed among respondents reporting purposeful exposure rather than incidental exposure.</w:t>
      </w:r>
      <w:r>
        <w:rPr>
          <w:rFonts w:ascii="Times New Roman" w:hAnsi="Times New Roman" w:cs="Times New Roman"/>
        </w:rPr>
        <w:t xml:space="preserve"> Based on this analysis, we strongly believe that the grouping variable obtained through the LCA model provides added value in terms of understanding whether and to what extent incidental exposure closes or widens gaps in news exposure and engagement.</w:t>
      </w:r>
      <w:r w:rsidR="00734B17">
        <w:rPr>
          <w:rFonts w:ascii="Times New Roman" w:hAnsi="Times New Roman" w:cs="Times New Roman"/>
        </w:rPr>
        <w:t xml:space="preserve"> Full results of these models are available upon request. </w:t>
      </w:r>
    </w:p>
    <w:p w14:paraId="1BCF727C" w14:textId="77777777" w:rsidR="00693E73" w:rsidRPr="00693E73" w:rsidRDefault="00693E73" w:rsidP="00693E73">
      <w:pPr>
        <w:rPr>
          <w:rFonts w:ascii="Times New Roman" w:hAnsi="Times New Roman" w:cs="Times New Roman"/>
          <w:b/>
          <w:bCs/>
        </w:rPr>
      </w:pPr>
    </w:p>
    <w:p w14:paraId="5099A12C" w14:textId="77777777" w:rsidR="00F829A0" w:rsidRDefault="00F829A0"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59B8"/>
    <w:rsid w:val="000232DB"/>
    <w:rsid w:val="00025E64"/>
    <w:rsid w:val="0002650C"/>
    <w:rsid w:val="000522D7"/>
    <w:rsid w:val="00052897"/>
    <w:rsid w:val="00070754"/>
    <w:rsid w:val="00077752"/>
    <w:rsid w:val="000819B1"/>
    <w:rsid w:val="000A0751"/>
    <w:rsid w:val="000A2A65"/>
    <w:rsid w:val="000A4BCC"/>
    <w:rsid w:val="000A4FC6"/>
    <w:rsid w:val="000A7FB0"/>
    <w:rsid w:val="000B55AB"/>
    <w:rsid w:val="000B599F"/>
    <w:rsid w:val="000B67FF"/>
    <w:rsid w:val="000C452B"/>
    <w:rsid w:val="000D18FA"/>
    <w:rsid w:val="000D24B8"/>
    <w:rsid w:val="000D3114"/>
    <w:rsid w:val="000D5A5F"/>
    <w:rsid w:val="000D763D"/>
    <w:rsid w:val="000F10A2"/>
    <w:rsid w:val="000F2C5F"/>
    <w:rsid w:val="000F4D57"/>
    <w:rsid w:val="0010778F"/>
    <w:rsid w:val="00115505"/>
    <w:rsid w:val="001169F8"/>
    <w:rsid w:val="00123DF3"/>
    <w:rsid w:val="0012471B"/>
    <w:rsid w:val="0012513B"/>
    <w:rsid w:val="00127F5B"/>
    <w:rsid w:val="0013461D"/>
    <w:rsid w:val="00140570"/>
    <w:rsid w:val="0015314E"/>
    <w:rsid w:val="00156A25"/>
    <w:rsid w:val="00160494"/>
    <w:rsid w:val="00165241"/>
    <w:rsid w:val="00167CA4"/>
    <w:rsid w:val="00172839"/>
    <w:rsid w:val="0017449D"/>
    <w:rsid w:val="00174FE3"/>
    <w:rsid w:val="00186204"/>
    <w:rsid w:val="00190B1E"/>
    <w:rsid w:val="00190C1D"/>
    <w:rsid w:val="00194CAC"/>
    <w:rsid w:val="001A14FA"/>
    <w:rsid w:val="001A649D"/>
    <w:rsid w:val="001B60E0"/>
    <w:rsid w:val="001C006A"/>
    <w:rsid w:val="001C0322"/>
    <w:rsid w:val="001C10AA"/>
    <w:rsid w:val="001C12CB"/>
    <w:rsid w:val="001D21A3"/>
    <w:rsid w:val="001D3861"/>
    <w:rsid w:val="001E2272"/>
    <w:rsid w:val="001E2991"/>
    <w:rsid w:val="001E2C99"/>
    <w:rsid w:val="001E4161"/>
    <w:rsid w:val="001F0128"/>
    <w:rsid w:val="001F5806"/>
    <w:rsid w:val="00202333"/>
    <w:rsid w:val="00207229"/>
    <w:rsid w:val="00212973"/>
    <w:rsid w:val="00212B4E"/>
    <w:rsid w:val="00221D9D"/>
    <w:rsid w:val="00224D88"/>
    <w:rsid w:val="00227A3D"/>
    <w:rsid w:val="0023489B"/>
    <w:rsid w:val="00242466"/>
    <w:rsid w:val="0024287C"/>
    <w:rsid w:val="0024490F"/>
    <w:rsid w:val="002461D5"/>
    <w:rsid w:val="00247C37"/>
    <w:rsid w:val="002514B0"/>
    <w:rsid w:val="00260D06"/>
    <w:rsid w:val="00261333"/>
    <w:rsid w:val="00274592"/>
    <w:rsid w:val="00280C75"/>
    <w:rsid w:val="00293B51"/>
    <w:rsid w:val="00295049"/>
    <w:rsid w:val="00295914"/>
    <w:rsid w:val="002A0CE5"/>
    <w:rsid w:val="002A288E"/>
    <w:rsid w:val="002A2DC3"/>
    <w:rsid w:val="002A5D80"/>
    <w:rsid w:val="002B009E"/>
    <w:rsid w:val="002B1208"/>
    <w:rsid w:val="002B4EE9"/>
    <w:rsid w:val="002B67B4"/>
    <w:rsid w:val="002C1706"/>
    <w:rsid w:val="002C1710"/>
    <w:rsid w:val="002C22AD"/>
    <w:rsid w:val="002C2EA7"/>
    <w:rsid w:val="002C37DF"/>
    <w:rsid w:val="002D007E"/>
    <w:rsid w:val="002D05EB"/>
    <w:rsid w:val="002D26D8"/>
    <w:rsid w:val="002D78E9"/>
    <w:rsid w:val="002E0602"/>
    <w:rsid w:val="002E1A2A"/>
    <w:rsid w:val="002E31A6"/>
    <w:rsid w:val="002E6E42"/>
    <w:rsid w:val="002F137F"/>
    <w:rsid w:val="002F68E6"/>
    <w:rsid w:val="003144CF"/>
    <w:rsid w:val="003157E7"/>
    <w:rsid w:val="003200E4"/>
    <w:rsid w:val="00322D11"/>
    <w:rsid w:val="00332108"/>
    <w:rsid w:val="00332C02"/>
    <w:rsid w:val="00336CC5"/>
    <w:rsid w:val="003450D3"/>
    <w:rsid w:val="003451D1"/>
    <w:rsid w:val="003462DB"/>
    <w:rsid w:val="00350D05"/>
    <w:rsid w:val="0035158A"/>
    <w:rsid w:val="00362646"/>
    <w:rsid w:val="003641C9"/>
    <w:rsid w:val="00365566"/>
    <w:rsid w:val="003706EA"/>
    <w:rsid w:val="003716B9"/>
    <w:rsid w:val="003718DF"/>
    <w:rsid w:val="00373193"/>
    <w:rsid w:val="0037577D"/>
    <w:rsid w:val="003777CA"/>
    <w:rsid w:val="00383586"/>
    <w:rsid w:val="0038449E"/>
    <w:rsid w:val="0038455E"/>
    <w:rsid w:val="003849F3"/>
    <w:rsid w:val="0039531F"/>
    <w:rsid w:val="00397D43"/>
    <w:rsid w:val="003B0A1E"/>
    <w:rsid w:val="003B592D"/>
    <w:rsid w:val="003C0F7B"/>
    <w:rsid w:val="003C40C1"/>
    <w:rsid w:val="003C46CC"/>
    <w:rsid w:val="003C6C96"/>
    <w:rsid w:val="003D305E"/>
    <w:rsid w:val="003F04E4"/>
    <w:rsid w:val="004010EA"/>
    <w:rsid w:val="00401CD1"/>
    <w:rsid w:val="0040205F"/>
    <w:rsid w:val="004039DF"/>
    <w:rsid w:val="004118FF"/>
    <w:rsid w:val="00415C99"/>
    <w:rsid w:val="00415D12"/>
    <w:rsid w:val="00424B9F"/>
    <w:rsid w:val="00441B9D"/>
    <w:rsid w:val="004444DE"/>
    <w:rsid w:val="004447C5"/>
    <w:rsid w:val="00444FB9"/>
    <w:rsid w:val="00453566"/>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3726"/>
    <w:rsid w:val="004B3C0F"/>
    <w:rsid w:val="004B512B"/>
    <w:rsid w:val="004C02EE"/>
    <w:rsid w:val="004C0934"/>
    <w:rsid w:val="004D12A9"/>
    <w:rsid w:val="004D44F6"/>
    <w:rsid w:val="004D5E0A"/>
    <w:rsid w:val="004D7A28"/>
    <w:rsid w:val="004E4C33"/>
    <w:rsid w:val="004E6304"/>
    <w:rsid w:val="004F0E24"/>
    <w:rsid w:val="004F32AE"/>
    <w:rsid w:val="00500D0B"/>
    <w:rsid w:val="00500F58"/>
    <w:rsid w:val="00506713"/>
    <w:rsid w:val="00514158"/>
    <w:rsid w:val="00514AF5"/>
    <w:rsid w:val="00532E45"/>
    <w:rsid w:val="00551018"/>
    <w:rsid w:val="00552848"/>
    <w:rsid w:val="00555D30"/>
    <w:rsid w:val="00560147"/>
    <w:rsid w:val="0056112D"/>
    <w:rsid w:val="005640C7"/>
    <w:rsid w:val="00565DEA"/>
    <w:rsid w:val="00572B21"/>
    <w:rsid w:val="00577DF3"/>
    <w:rsid w:val="0058668A"/>
    <w:rsid w:val="0058706D"/>
    <w:rsid w:val="00587B7A"/>
    <w:rsid w:val="00593404"/>
    <w:rsid w:val="00594AF2"/>
    <w:rsid w:val="00595D95"/>
    <w:rsid w:val="00597C98"/>
    <w:rsid w:val="005A1E41"/>
    <w:rsid w:val="005A335E"/>
    <w:rsid w:val="005B052B"/>
    <w:rsid w:val="005D5D30"/>
    <w:rsid w:val="005E5AEA"/>
    <w:rsid w:val="005F211F"/>
    <w:rsid w:val="005F4748"/>
    <w:rsid w:val="005F48D5"/>
    <w:rsid w:val="005F6F2D"/>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2F87"/>
    <w:rsid w:val="006B3768"/>
    <w:rsid w:val="006B727D"/>
    <w:rsid w:val="006D4FDC"/>
    <w:rsid w:val="006E2265"/>
    <w:rsid w:val="006E264F"/>
    <w:rsid w:val="006F0847"/>
    <w:rsid w:val="006F40E8"/>
    <w:rsid w:val="00707510"/>
    <w:rsid w:val="00707926"/>
    <w:rsid w:val="007136BC"/>
    <w:rsid w:val="00722034"/>
    <w:rsid w:val="00725945"/>
    <w:rsid w:val="00734B17"/>
    <w:rsid w:val="007355AE"/>
    <w:rsid w:val="00740C8F"/>
    <w:rsid w:val="0074516B"/>
    <w:rsid w:val="0074574B"/>
    <w:rsid w:val="00746613"/>
    <w:rsid w:val="00750EF3"/>
    <w:rsid w:val="007538C2"/>
    <w:rsid w:val="007541CD"/>
    <w:rsid w:val="0075439C"/>
    <w:rsid w:val="0076380B"/>
    <w:rsid w:val="00773CBA"/>
    <w:rsid w:val="0077572B"/>
    <w:rsid w:val="00777DCC"/>
    <w:rsid w:val="0078236D"/>
    <w:rsid w:val="00782A55"/>
    <w:rsid w:val="00783C25"/>
    <w:rsid w:val="00790296"/>
    <w:rsid w:val="00790B33"/>
    <w:rsid w:val="00793C02"/>
    <w:rsid w:val="007A44D4"/>
    <w:rsid w:val="007A5E5A"/>
    <w:rsid w:val="007B03FA"/>
    <w:rsid w:val="007B7669"/>
    <w:rsid w:val="007C727D"/>
    <w:rsid w:val="007F185C"/>
    <w:rsid w:val="007F2758"/>
    <w:rsid w:val="007F5C77"/>
    <w:rsid w:val="00800856"/>
    <w:rsid w:val="00800F70"/>
    <w:rsid w:val="00803463"/>
    <w:rsid w:val="008040F6"/>
    <w:rsid w:val="00804111"/>
    <w:rsid w:val="00805530"/>
    <w:rsid w:val="008125CB"/>
    <w:rsid w:val="00814004"/>
    <w:rsid w:val="00817236"/>
    <w:rsid w:val="0082467F"/>
    <w:rsid w:val="008246BB"/>
    <w:rsid w:val="00827274"/>
    <w:rsid w:val="00837BD9"/>
    <w:rsid w:val="008403B5"/>
    <w:rsid w:val="00854E3D"/>
    <w:rsid w:val="00855B1D"/>
    <w:rsid w:val="008627E5"/>
    <w:rsid w:val="008640AA"/>
    <w:rsid w:val="008654E1"/>
    <w:rsid w:val="008655BF"/>
    <w:rsid w:val="00870205"/>
    <w:rsid w:val="00875340"/>
    <w:rsid w:val="00875F96"/>
    <w:rsid w:val="00883C35"/>
    <w:rsid w:val="00891146"/>
    <w:rsid w:val="00893D5F"/>
    <w:rsid w:val="00897C00"/>
    <w:rsid w:val="008B31E7"/>
    <w:rsid w:val="008B4174"/>
    <w:rsid w:val="008C15EF"/>
    <w:rsid w:val="008D1B3A"/>
    <w:rsid w:val="008D232C"/>
    <w:rsid w:val="008D2B65"/>
    <w:rsid w:val="008D30D7"/>
    <w:rsid w:val="008E406C"/>
    <w:rsid w:val="008E7B98"/>
    <w:rsid w:val="008F39DD"/>
    <w:rsid w:val="008F3E7D"/>
    <w:rsid w:val="00906665"/>
    <w:rsid w:val="00906EC6"/>
    <w:rsid w:val="00911B82"/>
    <w:rsid w:val="00920FAC"/>
    <w:rsid w:val="009225BA"/>
    <w:rsid w:val="0093123E"/>
    <w:rsid w:val="00942608"/>
    <w:rsid w:val="00943E1C"/>
    <w:rsid w:val="00945193"/>
    <w:rsid w:val="00945AED"/>
    <w:rsid w:val="009563FE"/>
    <w:rsid w:val="00963E97"/>
    <w:rsid w:val="009679A5"/>
    <w:rsid w:val="009739A7"/>
    <w:rsid w:val="00975863"/>
    <w:rsid w:val="0098354B"/>
    <w:rsid w:val="00995DF3"/>
    <w:rsid w:val="009B04EE"/>
    <w:rsid w:val="009B4F72"/>
    <w:rsid w:val="009C286D"/>
    <w:rsid w:val="009C49F1"/>
    <w:rsid w:val="009C5409"/>
    <w:rsid w:val="009C6FF4"/>
    <w:rsid w:val="009D1C9E"/>
    <w:rsid w:val="009D4A80"/>
    <w:rsid w:val="009D73B4"/>
    <w:rsid w:val="009E0021"/>
    <w:rsid w:val="009E075A"/>
    <w:rsid w:val="009E3EEB"/>
    <w:rsid w:val="00A0172F"/>
    <w:rsid w:val="00A15D3C"/>
    <w:rsid w:val="00A15DF1"/>
    <w:rsid w:val="00A25977"/>
    <w:rsid w:val="00A272FC"/>
    <w:rsid w:val="00A275CA"/>
    <w:rsid w:val="00A3664D"/>
    <w:rsid w:val="00A42748"/>
    <w:rsid w:val="00A458C1"/>
    <w:rsid w:val="00A546D8"/>
    <w:rsid w:val="00A603DE"/>
    <w:rsid w:val="00A711F6"/>
    <w:rsid w:val="00A72B35"/>
    <w:rsid w:val="00A766DA"/>
    <w:rsid w:val="00A82A76"/>
    <w:rsid w:val="00A84204"/>
    <w:rsid w:val="00A8510C"/>
    <w:rsid w:val="00A95B0A"/>
    <w:rsid w:val="00A967A7"/>
    <w:rsid w:val="00AA0C52"/>
    <w:rsid w:val="00AA3081"/>
    <w:rsid w:val="00AA381F"/>
    <w:rsid w:val="00AA7700"/>
    <w:rsid w:val="00AB13B3"/>
    <w:rsid w:val="00AB7A3E"/>
    <w:rsid w:val="00AC0710"/>
    <w:rsid w:val="00AC61C5"/>
    <w:rsid w:val="00AC7EA9"/>
    <w:rsid w:val="00AD7A75"/>
    <w:rsid w:val="00AE0475"/>
    <w:rsid w:val="00AE20FF"/>
    <w:rsid w:val="00AE266C"/>
    <w:rsid w:val="00AF2112"/>
    <w:rsid w:val="00AF6F9E"/>
    <w:rsid w:val="00AF7382"/>
    <w:rsid w:val="00AF7711"/>
    <w:rsid w:val="00B01304"/>
    <w:rsid w:val="00B013BA"/>
    <w:rsid w:val="00B171C0"/>
    <w:rsid w:val="00B318BD"/>
    <w:rsid w:val="00B43A66"/>
    <w:rsid w:val="00B47729"/>
    <w:rsid w:val="00B54C49"/>
    <w:rsid w:val="00B61DBA"/>
    <w:rsid w:val="00B6314E"/>
    <w:rsid w:val="00B64BB5"/>
    <w:rsid w:val="00B663FD"/>
    <w:rsid w:val="00B71963"/>
    <w:rsid w:val="00B72B09"/>
    <w:rsid w:val="00B739EC"/>
    <w:rsid w:val="00B7551F"/>
    <w:rsid w:val="00B765AA"/>
    <w:rsid w:val="00B800EE"/>
    <w:rsid w:val="00B93605"/>
    <w:rsid w:val="00B960E3"/>
    <w:rsid w:val="00B9713D"/>
    <w:rsid w:val="00BA56A6"/>
    <w:rsid w:val="00BA7610"/>
    <w:rsid w:val="00BB074B"/>
    <w:rsid w:val="00BB31E4"/>
    <w:rsid w:val="00BC420B"/>
    <w:rsid w:val="00BC45C8"/>
    <w:rsid w:val="00BC58AE"/>
    <w:rsid w:val="00BC7821"/>
    <w:rsid w:val="00BD14A4"/>
    <w:rsid w:val="00BD32BE"/>
    <w:rsid w:val="00BE144C"/>
    <w:rsid w:val="00BE6459"/>
    <w:rsid w:val="00BE6CFF"/>
    <w:rsid w:val="00C059B5"/>
    <w:rsid w:val="00C1260D"/>
    <w:rsid w:val="00C2077C"/>
    <w:rsid w:val="00C25CD3"/>
    <w:rsid w:val="00C3418C"/>
    <w:rsid w:val="00C34E6D"/>
    <w:rsid w:val="00C370AF"/>
    <w:rsid w:val="00C403B3"/>
    <w:rsid w:val="00C46A02"/>
    <w:rsid w:val="00C71975"/>
    <w:rsid w:val="00C71AD2"/>
    <w:rsid w:val="00C75F91"/>
    <w:rsid w:val="00C81DE1"/>
    <w:rsid w:val="00C87B40"/>
    <w:rsid w:val="00C924D1"/>
    <w:rsid w:val="00C96B29"/>
    <w:rsid w:val="00C972BC"/>
    <w:rsid w:val="00CA0472"/>
    <w:rsid w:val="00CA274E"/>
    <w:rsid w:val="00CB243E"/>
    <w:rsid w:val="00CB32A6"/>
    <w:rsid w:val="00CB4543"/>
    <w:rsid w:val="00CC436D"/>
    <w:rsid w:val="00CC68B1"/>
    <w:rsid w:val="00CD7040"/>
    <w:rsid w:val="00CF1BC9"/>
    <w:rsid w:val="00CF1DC0"/>
    <w:rsid w:val="00D0533B"/>
    <w:rsid w:val="00D07A0B"/>
    <w:rsid w:val="00D11ADE"/>
    <w:rsid w:val="00D20276"/>
    <w:rsid w:val="00D21178"/>
    <w:rsid w:val="00D239C1"/>
    <w:rsid w:val="00D25453"/>
    <w:rsid w:val="00D33E5B"/>
    <w:rsid w:val="00D36706"/>
    <w:rsid w:val="00D3763B"/>
    <w:rsid w:val="00D44D01"/>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2CD4"/>
    <w:rsid w:val="00DB6590"/>
    <w:rsid w:val="00DD665A"/>
    <w:rsid w:val="00DE4A8C"/>
    <w:rsid w:val="00DF031E"/>
    <w:rsid w:val="00DF40E8"/>
    <w:rsid w:val="00DF4E62"/>
    <w:rsid w:val="00E00B00"/>
    <w:rsid w:val="00E114B2"/>
    <w:rsid w:val="00E13AF8"/>
    <w:rsid w:val="00E21D61"/>
    <w:rsid w:val="00E24703"/>
    <w:rsid w:val="00E24791"/>
    <w:rsid w:val="00E27A39"/>
    <w:rsid w:val="00E27BBF"/>
    <w:rsid w:val="00E313F4"/>
    <w:rsid w:val="00E353B1"/>
    <w:rsid w:val="00E44BEC"/>
    <w:rsid w:val="00E47A55"/>
    <w:rsid w:val="00E528E0"/>
    <w:rsid w:val="00E554B9"/>
    <w:rsid w:val="00E558B8"/>
    <w:rsid w:val="00E57B8D"/>
    <w:rsid w:val="00E60033"/>
    <w:rsid w:val="00E659DA"/>
    <w:rsid w:val="00E70B92"/>
    <w:rsid w:val="00E715BF"/>
    <w:rsid w:val="00E93B5E"/>
    <w:rsid w:val="00EA4A29"/>
    <w:rsid w:val="00EA6746"/>
    <w:rsid w:val="00EA7BEC"/>
    <w:rsid w:val="00EB023E"/>
    <w:rsid w:val="00EB120F"/>
    <w:rsid w:val="00EB3665"/>
    <w:rsid w:val="00EB44AA"/>
    <w:rsid w:val="00EC37BD"/>
    <w:rsid w:val="00EC5BD0"/>
    <w:rsid w:val="00EC6727"/>
    <w:rsid w:val="00ED2369"/>
    <w:rsid w:val="00ED3D69"/>
    <w:rsid w:val="00EE17D9"/>
    <w:rsid w:val="00EE3CC4"/>
    <w:rsid w:val="00EE40DA"/>
    <w:rsid w:val="00EE792A"/>
    <w:rsid w:val="00EE7A4E"/>
    <w:rsid w:val="00EF108B"/>
    <w:rsid w:val="00EF48F4"/>
    <w:rsid w:val="00EF53E8"/>
    <w:rsid w:val="00F06336"/>
    <w:rsid w:val="00F256AF"/>
    <w:rsid w:val="00F30A18"/>
    <w:rsid w:val="00F324EB"/>
    <w:rsid w:val="00F357C7"/>
    <w:rsid w:val="00F35C48"/>
    <w:rsid w:val="00F4590A"/>
    <w:rsid w:val="00F53652"/>
    <w:rsid w:val="00F77B9B"/>
    <w:rsid w:val="00F80A0C"/>
    <w:rsid w:val="00F82243"/>
    <w:rsid w:val="00F829A0"/>
    <w:rsid w:val="00F86D5F"/>
    <w:rsid w:val="00FA04D0"/>
    <w:rsid w:val="00FA0CAF"/>
    <w:rsid w:val="00FA2D70"/>
    <w:rsid w:val="00FA4137"/>
    <w:rsid w:val="00FA7C62"/>
    <w:rsid w:val="00FB2273"/>
    <w:rsid w:val="00FB2A85"/>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29</Pages>
  <Words>8508</Words>
  <Characters>48501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454</cp:revision>
  <dcterms:created xsi:type="dcterms:W3CDTF">2022-02-25T21:32:00Z</dcterms:created>
  <dcterms:modified xsi:type="dcterms:W3CDTF">2022-04-25T06:47:00Z</dcterms:modified>
</cp:coreProperties>
</file>