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125" w14:textId="77777777" w:rsidR="00D07A0B" w:rsidRDefault="00D07A0B" w:rsidP="00D07A0B">
      <w:pPr>
        <w:rPr>
          <w:rFonts w:ascii="Times New Roman" w:hAnsi="Times New Roman" w:cs="Times New Roman"/>
        </w:rPr>
      </w:pPr>
      <w:r>
        <w:rPr>
          <w:rFonts w:ascii="Times New Roman" w:hAnsi="Times New Roman" w:cs="Times New Roman"/>
        </w:rPr>
        <w:t>I. Equalizing effects – see NMS</w:t>
      </w:r>
    </w:p>
    <w:p w14:paraId="4CDE2CE3" w14:textId="77777777" w:rsidR="00D07A0B" w:rsidRDefault="00D07A0B" w:rsidP="00D07A0B">
      <w:pPr>
        <w:rPr>
          <w:rFonts w:ascii="Times New Roman" w:hAnsi="Times New Roman" w:cs="Times New Roman"/>
        </w:rPr>
      </w:pPr>
      <w:r>
        <w:rPr>
          <w:rFonts w:ascii="Times New Roman" w:hAnsi="Times New Roman" w:cs="Times New Roman"/>
        </w:rPr>
        <w:t>II. Stratificational effects – see NMS</w:t>
      </w:r>
    </w:p>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77777777"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 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w:t>
      </w:r>
      <w:r>
        <w:rPr>
          <w:rFonts w:ascii="Times New Roman" w:hAnsi="Times New Roman" w:cs="Times New Roman"/>
        </w:rPr>
        <w:lastRenderedPageBreak/>
        <w:t xml:space="preserve">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A555793"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negatively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77777777" w:rsidR="00D07A0B" w:rsidRDefault="00D07A0B" w:rsidP="00D07A0B">
      <w:pPr>
        <w:rPr>
          <w:rFonts w:ascii="Times New Roman" w:hAnsi="Times New Roman" w:cs="Times New Roman"/>
        </w:rPr>
      </w:pPr>
      <w:r>
        <w:rPr>
          <w:rFonts w:ascii="Times New Roman" w:hAnsi="Times New Roman" w:cs="Times New Roman"/>
        </w:rPr>
        <w:tab/>
        <w:t>H1: News attraction will be negatively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7777777" w:rsidR="00D07A0B" w:rsidRDefault="00D07A0B" w:rsidP="00D07A0B">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4AB2B630" w14:textId="0A485C99" w:rsidR="00D07A0B" w:rsidRPr="00CC68B1" w:rsidRDefault="00D07A0B" w:rsidP="00CC68B1">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1DB94FD"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(1 = </w:t>
      </w:r>
      <w:r w:rsidR="00565DEA" w:rsidRPr="00565DEA">
        <w:rPr>
          <w:rFonts w:ascii="Times New Roman" w:hAnsi="Times New Roman" w:cs="Times New Roman"/>
          <w:i/>
          <w:iCs/>
        </w:rPr>
        <w:t>None at all</w:t>
      </w:r>
      <w:r w:rsidR="00565DEA">
        <w:rPr>
          <w:rFonts w:ascii="Times New Roman" w:hAnsi="Times New Roman" w:cs="Times New Roman"/>
        </w:rPr>
        <w:t xml:space="preserve"> and 5 = </w:t>
      </w:r>
      <w:r w:rsidR="00565DEA" w:rsidRPr="00565DEA">
        <w:rPr>
          <w:rFonts w:ascii="Times New Roman" w:hAnsi="Times New Roman" w:cs="Times New Roman"/>
          <w:i/>
          <w:iCs/>
        </w:rPr>
        <w:t>Almost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w:t>
      </w:r>
      <w:r w:rsidR="00C34E6D">
        <w:rPr>
          <w:rFonts w:ascii="Times New Roman" w:hAnsi="Times New Roman" w:cs="Times New Roman"/>
        </w:rPr>
        <w:t>.92</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77777777"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low-attraction group</w:t>
      </w:r>
      <w:r>
        <w:rPr>
          <w:rFonts w:ascii="Times New Roman" w:hAnsi="Times New Roman" w:cs="Times New Roman"/>
        </w:rPr>
        <w:t xml:space="preserve"> is the biggest of the three classes (</w:t>
      </w:r>
      <w:r w:rsidRPr="000F2F23">
        <w:rPr>
          <w:rFonts w:ascii="Times New Roman" w:hAnsi="Times New Roman" w:cs="Times New Roman"/>
          <w:i/>
          <w:iCs/>
        </w:rPr>
        <w:t>n</w:t>
      </w:r>
      <w:r>
        <w:rPr>
          <w:rFonts w:ascii="Times New Roman" w:hAnsi="Times New Roman" w:cs="Times New Roman"/>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Figure A1</w:t>
      </w:r>
      <w:r>
        <w:rPr>
          <w:rFonts w:ascii="Times New Roman" w:hAnsi="Times New Roman" w:cs="Times New Roman"/>
        </w:rPr>
        <w:t xml:space="preserve"> online for within-group sample distributions on the four manifest variables). The second group, which we have termed the </w:t>
      </w:r>
      <w:r>
        <w:rPr>
          <w:rFonts w:ascii="Times New Roman" w:hAnsi="Times New Roman" w:cs="Times New Roman"/>
          <w:i/>
          <w:iCs/>
        </w:rPr>
        <w:t>medium-attraction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high-attraction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75059F5" w:rsidR="00295049" w:rsidRPr="00577DF3" w:rsidRDefault="00577DF3" w:rsidP="00295049">
      <w:pPr>
        <w:rPr>
          <w:rFonts w:ascii="Times New Roman" w:hAnsi="Times New Roman" w:cs="Times New Roman"/>
        </w:rPr>
      </w:pPr>
      <w:r>
        <w:rPr>
          <w:rFonts w:ascii="Times New Roman" w:hAnsi="Times New Roman" w:cs="Times New Roman"/>
        </w:rPr>
        <w:tab/>
        <w:t>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Results support this prediction, as both the medium-attraction group (</w:t>
      </w:r>
      <w:r w:rsidR="00295049" w:rsidRPr="00672FDF">
        <w:rPr>
          <w:rFonts w:ascii="Times New Roman" w:hAnsi="Times New Roman" w:cs="Times New Roman"/>
        </w:rPr>
        <w:t>β</w:t>
      </w:r>
      <w:r w:rsidR="00295049">
        <w:rPr>
          <w:rFonts w:ascii="Times New Roman" w:hAnsi="Times New Roman" w:cs="Times New Roman"/>
        </w:rPr>
        <w:t xml:space="preserve"> = 0.90, </w:t>
      </w:r>
      <w:r w:rsidR="00295049" w:rsidRPr="00125ED2">
        <w:rPr>
          <w:rFonts w:ascii="Times New Roman" w:hAnsi="Times New Roman" w:cs="Times New Roman"/>
          <w:i/>
          <w:iCs/>
        </w:rPr>
        <w:t>SE</w:t>
      </w:r>
      <w:r w:rsidR="00295049">
        <w:rPr>
          <w:rFonts w:ascii="Times New Roman" w:hAnsi="Times New Roman" w:cs="Times New Roman"/>
        </w:rPr>
        <w:t xml:space="preserve"> = 0.04,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and the high-attraction group (</w:t>
      </w:r>
      <w:r w:rsidR="00295049" w:rsidRPr="00672FDF">
        <w:rPr>
          <w:rFonts w:ascii="Times New Roman" w:hAnsi="Times New Roman" w:cs="Times New Roman"/>
        </w:rPr>
        <w:t>β</w:t>
      </w:r>
      <w:r w:rsidR="00295049">
        <w:rPr>
          <w:rFonts w:ascii="Times New Roman" w:hAnsi="Times New Roman" w:cs="Times New Roman"/>
        </w:rPr>
        <w:t xml:space="preserve"> = 1.76, </w:t>
      </w:r>
      <w:r w:rsidR="00295049" w:rsidRPr="00125ED2">
        <w:rPr>
          <w:rFonts w:ascii="Times New Roman" w:hAnsi="Times New Roman" w:cs="Times New Roman"/>
          <w:i/>
          <w:iCs/>
        </w:rPr>
        <w:t>SE</w:t>
      </w:r>
      <w:r w:rsidR="00295049">
        <w:rPr>
          <w:rFonts w:ascii="Times New Roman" w:hAnsi="Times New Roman" w:cs="Times New Roman"/>
        </w:rPr>
        <w:t xml:space="preserve"> = 0.07,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xml:space="preserve">) report higher levels of news use in non-social media environments than the low-attraction group. This pattern is visualized in </w:t>
      </w:r>
      <w:r w:rsidR="00295049">
        <w:rPr>
          <w:rFonts w:ascii="Times New Roman" w:hAnsi="Times New Roman" w:cs="Times New Roman"/>
        </w:rPr>
        <w:t xml:space="preserve">Figure </w:t>
      </w:r>
      <w:r w:rsidR="00490D24">
        <w:rPr>
          <w:rFonts w:ascii="Times New Roman" w:hAnsi="Times New Roman" w:cs="Times New Roman"/>
        </w:rPr>
        <w:t>2</w:t>
      </w:r>
      <w:r>
        <w:rPr>
          <w:rFonts w:ascii="Times New Roman" w:hAnsi="Times New Roman" w:cs="Times New Roman"/>
        </w:rPr>
        <w:t xml:space="preserve">, and results are reported in </w:t>
      </w:r>
      <w:r w:rsidR="00295049">
        <w:rPr>
          <w:rFonts w:ascii="Times New Roman" w:hAnsi="Times New Roman" w:cs="Times New Roman"/>
        </w:rPr>
        <w:t>Table 1</w:t>
      </w:r>
      <w:r>
        <w:rPr>
          <w:rFonts w:ascii="Times New Roman" w:hAnsi="Times New Roman" w:cs="Times New Roman"/>
        </w:rPr>
        <w:t>.</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next phase of the analysis, we test these criteria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 (i.e., when weighted, the binomial outcomes take on a Poisson distribution). Results of these analyses are presented in Table 2. </w:t>
      </w:r>
    </w:p>
    <w:p w14:paraId="43D81E3A" w14:textId="67B6F0A8" w:rsidR="00295049"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medium-attraction groups report roughly equal amounts of incidental exposure, and both of these groups report more than high-attraction group. This pattern is visualized in Figure </w:t>
      </w:r>
      <w:r w:rsidR="00490D24">
        <w:rPr>
          <w:rFonts w:ascii="Times New Roman" w:hAnsi="Times New Roman" w:cs="Times New Roman"/>
        </w:rPr>
        <w:t>3</w:t>
      </w:r>
      <w:r>
        <w:rPr>
          <w:rFonts w:ascii="Times New Roman" w:hAnsi="Times New Roman" w:cs="Times New Roman"/>
        </w:rPr>
        <w:t>, and evidence comes from the regression coefficients related to the contrasts between the groups. The contrast coefficient for the high-attraction group is statistically significant (</w:t>
      </w:r>
      <w:r w:rsidRPr="00672FDF">
        <w:rPr>
          <w:rFonts w:ascii="Times New Roman" w:hAnsi="Times New Roman" w:cs="Times New Roman"/>
        </w:rPr>
        <w:t>β</w:t>
      </w:r>
      <w:r>
        <w:rPr>
          <w:rFonts w:ascii="Times New Roman" w:hAnsi="Times New Roman" w:cs="Times New Roman"/>
        </w:rPr>
        <w:t xml:space="preserve"> = -1.08,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-0.10, </w:t>
      </w:r>
      <w:r w:rsidRPr="00125ED2">
        <w:rPr>
          <w:rFonts w:ascii="Times New Roman" w:hAnsi="Times New Roman" w:cs="Times New Roman"/>
          <w:i/>
          <w:iCs/>
        </w:rPr>
        <w:t>SE</w:t>
      </w:r>
      <w:r>
        <w:rPr>
          <w:rFonts w:ascii="Times New Roman" w:hAnsi="Times New Roman" w:cs="Times New Roman"/>
        </w:rPr>
        <w:t xml:space="preserve"> = 0.06, </w:t>
      </w:r>
      <w:r w:rsidRPr="009C5409">
        <w:rPr>
          <w:rFonts w:ascii="Times New Roman" w:hAnsi="Times New Roman" w:cs="Times New Roman"/>
          <w:i/>
          <w:iCs/>
        </w:rPr>
        <w:t>p</w:t>
      </w:r>
      <w:r w:rsidRPr="009C5409">
        <w:rPr>
          <w:rFonts w:ascii="Times New Roman" w:hAnsi="Times New Roman" w:cs="Times New Roman"/>
        </w:rPr>
        <w:t xml:space="preserve"> = </w:t>
      </w:r>
      <w:r w:rsidR="009C5409" w:rsidRPr="009C5409">
        <w:rPr>
          <w:rFonts w:ascii="Times New Roman" w:hAnsi="Times New Roman" w:cs="Times New Roman"/>
        </w:rPr>
        <w:t>.08</w:t>
      </w:r>
      <w:r>
        <w:rPr>
          <w:rFonts w:ascii="Times New Roman" w:hAnsi="Times New Roman" w:cs="Times New Roman"/>
        </w:rPr>
        <w:t xml:space="preserve">). </w:t>
      </w:r>
    </w:p>
    <w:p w14:paraId="550C7D32" w14:textId="2F24479A" w:rsidR="00295049"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medium-attraction group reports the highest levels of incidental exposure. The low- and high-attraction groups are roughly equal. Once again, this pattern can be observed in Figure </w:t>
      </w:r>
      <w:r w:rsidR="00490D24">
        <w:rPr>
          <w:rFonts w:ascii="Times New Roman" w:hAnsi="Times New Roman" w:cs="Times New Roman"/>
        </w:rPr>
        <w:t>3</w:t>
      </w:r>
      <w:r>
        <w:rPr>
          <w:rFonts w:ascii="Times New Roman" w:hAnsi="Times New Roman" w:cs="Times New Roman"/>
        </w:rPr>
        <w:t>, and key evidence comes from the contrast effects. The coefficient for the medium-attraction group is statistically significant (</w:t>
      </w:r>
      <w:r w:rsidRPr="00672FDF">
        <w:rPr>
          <w:rFonts w:ascii="Times New Roman" w:hAnsi="Times New Roman" w:cs="Times New Roman"/>
        </w:rPr>
        <w:t>β</w:t>
      </w:r>
      <w:r>
        <w:rPr>
          <w:rFonts w:ascii="Times New Roman" w:hAnsi="Times New Roman" w:cs="Times New Roman"/>
        </w:rPr>
        <w:t xml:space="preserve"> = 0.31, 0.12, </w:t>
      </w:r>
      <w:r>
        <w:rPr>
          <w:rFonts w:ascii="Times New Roman" w:hAnsi="Times New Roman" w:cs="Times New Roman"/>
          <w:i/>
          <w:iCs/>
        </w:rPr>
        <w:t xml:space="preserve">p </w:t>
      </w:r>
      <w:r>
        <w:rPr>
          <w:rFonts w:ascii="Times New Roman" w:hAnsi="Times New Roman" w:cs="Times New Roman"/>
        </w:rPr>
        <w:t>&lt; .01), while the coefficient for the high-attraction group is not (</w:t>
      </w:r>
      <w:r w:rsidRPr="00672FDF">
        <w:rPr>
          <w:rFonts w:ascii="Times New Roman" w:hAnsi="Times New Roman" w:cs="Times New Roman"/>
        </w:rPr>
        <w:t>β</w:t>
      </w:r>
      <w:r>
        <w:rPr>
          <w:rFonts w:ascii="Times New Roman" w:hAnsi="Times New Roman" w:cs="Times New Roman"/>
        </w:rPr>
        <w:t xml:space="preserve"> = -0.04, </w:t>
      </w:r>
      <w:r w:rsidRPr="00EC0071">
        <w:rPr>
          <w:rFonts w:ascii="Times New Roman" w:hAnsi="Times New Roman" w:cs="Times New Roman"/>
          <w:i/>
          <w:iCs/>
        </w:rPr>
        <w:t>SE</w:t>
      </w:r>
      <w:r>
        <w:rPr>
          <w:rFonts w:ascii="Times New Roman" w:hAnsi="Times New Roman" w:cs="Times New Roman"/>
        </w:rPr>
        <w:t xml:space="preserve"> = 0.</w:t>
      </w:r>
      <w:r w:rsidRPr="009C5409">
        <w:rPr>
          <w:rFonts w:ascii="Times New Roman" w:hAnsi="Times New Roman" w:cs="Times New Roman"/>
        </w:rPr>
        <w:t xml:space="preserve">20, </w:t>
      </w:r>
      <w:r w:rsidRPr="009C5409">
        <w:rPr>
          <w:rFonts w:ascii="Times New Roman" w:hAnsi="Times New Roman" w:cs="Times New Roman"/>
          <w:i/>
          <w:iCs/>
        </w:rPr>
        <w:t xml:space="preserve">p </w:t>
      </w:r>
      <w:r w:rsidRPr="009C5409">
        <w:rPr>
          <w:rFonts w:ascii="Times New Roman" w:hAnsi="Times New Roman" w:cs="Times New Roman"/>
        </w:rPr>
        <w:t>= .</w:t>
      </w:r>
      <w:r w:rsidR="009C5409" w:rsidRPr="009C5409">
        <w:rPr>
          <w:rFonts w:ascii="Times New Roman" w:hAnsi="Times New Roman" w:cs="Times New Roman"/>
        </w:rPr>
        <w:t>85</w:t>
      </w:r>
      <w:r w:rsidRPr="009C5409">
        <w:rPr>
          <w:rFonts w:ascii="Times New Roman" w:hAnsi="Times New Roman" w:cs="Times New Roman"/>
        </w:rPr>
        <w:t>).</w:t>
      </w:r>
    </w:p>
    <w:p w14:paraId="5B2BD71B" w14:textId="0EC325EC" w:rsidR="00295049" w:rsidRDefault="00295049" w:rsidP="00295049">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medium-attraction groups are not statistically different from one another. The low-attraction group is less likely to have been exposed than either of the other groups (see Figure </w:t>
      </w:r>
      <w:r w:rsidR="00490D24">
        <w:rPr>
          <w:rFonts w:ascii="Times New Roman" w:hAnsi="Times New Roman" w:cs="Times New Roman"/>
        </w:rPr>
        <w:t>3</w:t>
      </w:r>
      <w:r>
        <w:rPr>
          <w:rFonts w:ascii="Times New Roman" w:hAnsi="Times New Roman" w:cs="Times New Roman"/>
        </w:rPr>
        <w:t xml:space="preserve">). For the medium-attraction group, contrast coefficient is </w:t>
      </w:r>
      <w:r w:rsidRPr="00672FDF">
        <w:rPr>
          <w:rFonts w:ascii="Times New Roman" w:hAnsi="Times New Roman" w:cs="Times New Roman"/>
        </w:rPr>
        <w:t>β</w:t>
      </w:r>
      <w:r>
        <w:rPr>
          <w:rFonts w:ascii="Times New Roman" w:hAnsi="Times New Roman" w:cs="Times New Roman"/>
        </w:rPr>
        <w:t xml:space="preserve"> = 0.34 (</w:t>
      </w:r>
      <w:r w:rsidRPr="00AA3560">
        <w:rPr>
          <w:rFonts w:ascii="Times New Roman" w:hAnsi="Times New Roman" w:cs="Times New Roman"/>
          <w:i/>
          <w:iCs/>
        </w:rPr>
        <w:t>SE</w:t>
      </w:r>
      <w:r>
        <w:rPr>
          <w:rFonts w:ascii="Times New Roman" w:hAnsi="Times New Roman" w:cs="Times New Roman"/>
        </w:rPr>
        <w:t xml:space="preserve"> = 0.05, </w:t>
      </w:r>
      <w:r w:rsidRPr="00AA3560">
        <w:rPr>
          <w:rFonts w:ascii="Times New Roman" w:hAnsi="Times New Roman" w:cs="Times New Roman"/>
          <w:i/>
          <w:iCs/>
        </w:rPr>
        <w:t>p</w:t>
      </w:r>
      <w:r>
        <w:rPr>
          <w:rFonts w:ascii="Times New Roman" w:hAnsi="Times New Roman" w:cs="Times New Roman"/>
        </w:rPr>
        <w:t xml:space="preserve"> &lt; .001), and for the high-attraction group it is </w:t>
      </w:r>
      <w:r w:rsidRPr="00672FDF">
        <w:rPr>
          <w:rFonts w:ascii="Times New Roman" w:hAnsi="Times New Roman" w:cs="Times New Roman"/>
        </w:rPr>
        <w:t>β</w:t>
      </w:r>
      <w:r>
        <w:rPr>
          <w:rFonts w:ascii="Times New Roman" w:hAnsi="Times New Roman" w:cs="Times New Roman"/>
        </w:rPr>
        <w:t xml:space="preserve"> = 0.53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3BE80EE2" w14:textId="642111B3" w:rsidR="00295049" w:rsidRDefault="00295049" w:rsidP="00295049">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490D24">
        <w:rPr>
          <w:rFonts w:ascii="Times New Roman" w:hAnsi="Times New Roman" w:cs="Times New Roman"/>
        </w:rPr>
        <w:t>3</w:t>
      </w:r>
      <w:r>
        <w:rPr>
          <w:rFonts w:ascii="Times New Roman" w:hAnsi="Times New Roman" w:cs="Times New Roman"/>
        </w:rPr>
        <w:t xml:space="preserve">). The high- and medium-attraction groups are statistically equivalent, while the low-attraction groups was less likely to report exposure than either. The contrast for the medium-attraction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0.56, </w:t>
      </w:r>
      <w:r w:rsidRPr="00BB507A">
        <w:rPr>
          <w:rFonts w:ascii="Times New Roman" w:hAnsi="Times New Roman" w:cs="Times New Roman"/>
          <w:i/>
          <w:iCs/>
        </w:rPr>
        <w:t>SE</w:t>
      </w:r>
      <w:r>
        <w:rPr>
          <w:rFonts w:ascii="Times New Roman" w:hAnsi="Times New Roman" w:cs="Times New Roman"/>
        </w:rPr>
        <w:t xml:space="preserve"> = 0.14, </w:t>
      </w:r>
      <w:r w:rsidRPr="00BB507A">
        <w:rPr>
          <w:rFonts w:ascii="Times New Roman" w:hAnsi="Times New Roman" w:cs="Times New Roman"/>
          <w:i/>
          <w:iCs/>
        </w:rPr>
        <w:t>p</w:t>
      </w:r>
      <w:r>
        <w:rPr>
          <w:rFonts w:ascii="Times New Roman" w:hAnsi="Times New Roman" w:cs="Times New Roman"/>
        </w:rPr>
        <w:t xml:space="preserve"> &lt; .001).</w:t>
      </w:r>
    </w:p>
    <w:p w14:paraId="508FD967" w14:textId="77777777" w:rsidR="00295049" w:rsidRDefault="00295049" w:rsidP="00295049">
      <w:r>
        <w:rPr>
          <w:rFonts w:ascii="Times New Roman" w:hAnsi="Times New Roman" w:cs="Times New Roman"/>
        </w:rPr>
        <w:tab/>
        <w:t>Putting these results together, we can draw two different conclusions for the low- and medium-attraction groups. For the former, results show some evidence that meets the first criterion (i.e., more incidental exposure), but not the second criterion (i.e., equality or near-equality in total exposure). For the medium-attraction group, results show evidence that meets both criteria. In this group, we see both more incidental exposure than in the high-attraction group and roughly equal amounts of total exposure as that group. Thus, evidence suggests that incidental exposure may close the exposure gap among people with moderate news attraction, but not among people with low news attraction.</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05AC755F"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attraction, wherein the effect of incidental exposure is stronger among lower attraction groups and weaker in the high-attraction group. We test that interaction using MLM (weighted linear; random intercepts) to analyze two outcomes: overall engagement and high-effort engagement. Results are reported in Table 3. </w:t>
      </w:r>
      <w:r>
        <w:rPr>
          <w:rFonts w:ascii="Times New Roman" w:hAnsi="Times New Roman" w:cs="Times New Roman"/>
        </w:rPr>
        <w:tab/>
      </w:r>
    </w:p>
    <w:p w14:paraId="441F7855" w14:textId="733E54AD" w:rsidR="00295049" w:rsidRDefault="00295049" w:rsidP="0029504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medium-attraction group, resulting in a statistically significant </w:t>
      </w:r>
      <w:r w:rsidRPr="00943E1C">
        <w:rPr>
          <w:rFonts w:ascii="Times New Roman" w:hAnsi="Times New Roman" w:cs="Times New Roman"/>
        </w:rPr>
        <w:t xml:space="preserve">interaction coefficient for the medium group (β = 0.72, </w:t>
      </w:r>
      <w:r w:rsidRPr="00943E1C">
        <w:rPr>
          <w:rFonts w:ascii="Times New Roman" w:hAnsi="Times New Roman" w:cs="Times New Roman"/>
          <w:i/>
          <w:iCs/>
        </w:rPr>
        <w:t>SE</w:t>
      </w:r>
      <w:r w:rsidRPr="00943E1C">
        <w:rPr>
          <w:rFonts w:ascii="Times New Roman" w:hAnsi="Times New Roman" w:cs="Times New Roman"/>
        </w:rPr>
        <w:t xml:space="preserve"> = 0.34, </w:t>
      </w:r>
      <w:r w:rsidRPr="00943E1C">
        <w:rPr>
          <w:rFonts w:ascii="Times New Roman" w:hAnsi="Times New Roman" w:cs="Times New Roman"/>
          <w:i/>
          <w:iCs/>
        </w:rPr>
        <w:t>p</w:t>
      </w:r>
      <w:r w:rsidRPr="00943E1C">
        <w:rPr>
          <w:rFonts w:ascii="Times New Roman" w:hAnsi="Times New Roman" w:cs="Times New Roman"/>
        </w:rPr>
        <w:t xml:space="preserve"> &lt; .05). The gap in the high- and low-attraction groups are broadly similar and not statistically different from one another (β = 0.40, </w:t>
      </w:r>
      <w:r w:rsidRPr="00943E1C">
        <w:rPr>
          <w:rFonts w:ascii="Times New Roman" w:hAnsi="Times New Roman" w:cs="Times New Roman"/>
          <w:i/>
          <w:iCs/>
        </w:rPr>
        <w:t>SE</w:t>
      </w:r>
      <w:r w:rsidRPr="00943E1C">
        <w:rPr>
          <w:rFonts w:ascii="Times New Roman" w:hAnsi="Times New Roman" w:cs="Times New Roman"/>
        </w:rPr>
        <w:t xml:space="preserve"> = 0.41, </w:t>
      </w:r>
      <w:r w:rsidRPr="00943E1C">
        <w:rPr>
          <w:rFonts w:ascii="Times New Roman" w:hAnsi="Times New Roman" w:cs="Times New Roman"/>
          <w:i/>
          <w:iCs/>
        </w:rPr>
        <w:t xml:space="preserve">p </w:t>
      </w:r>
      <w:r w:rsidRPr="00943E1C">
        <w:rPr>
          <w:rFonts w:ascii="Times New Roman" w:hAnsi="Times New Roman" w:cs="Times New Roman"/>
        </w:rPr>
        <w:t>=.3</w:t>
      </w:r>
      <w:r w:rsidR="00943E1C" w:rsidRPr="00943E1C">
        <w:rPr>
          <w:rFonts w:ascii="Times New Roman" w:hAnsi="Times New Roman" w:cs="Times New Roman"/>
        </w:rPr>
        <w:t>4</w:t>
      </w:r>
      <w:r w:rsidRPr="00943E1C">
        <w:rPr>
          <w:rFonts w:ascii="Times New Roman" w:hAnsi="Times New Roman" w:cs="Times New Roman"/>
        </w:rPr>
        <w:t xml:space="preserve">). These patterns are visualized in Figure </w:t>
      </w:r>
      <w:r w:rsidR="00490D24">
        <w:rPr>
          <w:rFonts w:ascii="Times New Roman" w:hAnsi="Times New Roman" w:cs="Times New Roman"/>
        </w:rPr>
        <w:t>4</w:t>
      </w:r>
      <w:r w:rsidRPr="00943E1C">
        <w:rPr>
          <w:rFonts w:ascii="Times New Roman" w:hAnsi="Times New Roman" w:cs="Times New Roman"/>
        </w:rPr>
        <w:t xml:space="preserve">. Meanwhile, for high-effort engagement, there are no significant differences in gaps between those reporting incidental versus purposeful exposure (contrast for the medium-attraction group is β = 0.31, </w:t>
      </w:r>
      <w:r w:rsidRPr="00943E1C">
        <w:rPr>
          <w:rFonts w:ascii="Times New Roman" w:hAnsi="Times New Roman" w:cs="Times New Roman"/>
          <w:i/>
          <w:iCs/>
        </w:rPr>
        <w:t>SE</w:t>
      </w:r>
      <w:r w:rsidRPr="00943E1C">
        <w:rPr>
          <w:rFonts w:ascii="Times New Roman" w:hAnsi="Times New Roman" w:cs="Times New Roman"/>
        </w:rPr>
        <w:t xml:space="preserve"> = 0.23, </w:t>
      </w:r>
      <w:r w:rsidRPr="00943E1C">
        <w:rPr>
          <w:rFonts w:ascii="Times New Roman" w:hAnsi="Times New Roman" w:cs="Times New Roman"/>
          <w:i/>
          <w:iCs/>
        </w:rPr>
        <w:t xml:space="preserve">p </w:t>
      </w:r>
      <w:r w:rsidRPr="00943E1C">
        <w:rPr>
          <w:rFonts w:ascii="Times New Roman" w:hAnsi="Times New Roman" w:cs="Times New Roman"/>
        </w:rPr>
        <w:t xml:space="preserve">= .17; contrast for the high-attraction group is β = -0.11, </w:t>
      </w:r>
      <w:r w:rsidRPr="00943E1C">
        <w:rPr>
          <w:rFonts w:ascii="Times New Roman" w:hAnsi="Times New Roman" w:cs="Times New Roman"/>
          <w:i/>
          <w:iCs/>
        </w:rPr>
        <w:t>SE</w:t>
      </w:r>
      <w:r w:rsidRPr="00943E1C">
        <w:rPr>
          <w:rFonts w:ascii="Times New Roman" w:hAnsi="Times New Roman" w:cs="Times New Roman"/>
        </w:rPr>
        <w:t xml:space="preserve"> = 0.27, </w:t>
      </w:r>
      <w:r w:rsidRPr="00943E1C">
        <w:rPr>
          <w:rFonts w:ascii="Times New Roman" w:hAnsi="Times New Roman" w:cs="Times New Roman"/>
          <w:i/>
          <w:iCs/>
        </w:rPr>
        <w:t xml:space="preserve">p </w:t>
      </w:r>
      <w:r w:rsidRPr="00943E1C">
        <w:rPr>
          <w:rFonts w:ascii="Times New Roman" w:hAnsi="Times New Roman" w:cs="Times New Roman"/>
        </w:rPr>
        <w:t>= .69). This pattern</w:t>
      </w:r>
      <w:r>
        <w:rPr>
          <w:rFonts w:ascii="Times New Roman" w:hAnsi="Times New Roman" w:cs="Times New Roman"/>
        </w:rPr>
        <w:t xml:space="preserve"> is shown in Figure </w:t>
      </w:r>
      <w:r w:rsidR="00490D24">
        <w:rPr>
          <w:rFonts w:ascii="Times New Roman" w:hAnsi="Times New Roman" w:cs="Times New Roman"/>
        </w:rPr>
        <w:t>5</w:t>
      </w:r>
      <w:r>
        <w:rPr>
          <w:rFonts w:ascii="Times New Roman" w:hAnsi="Times New Roman" w:cs="Times New Roman"/>
        </w:rPr>
        <w:t xml:space="preserve">. </w:t>
      </w:r>
    </w:p>
    <w:p w14:paraId="06581EE9" w14:textId="77777777" w:rsidR="00295049" w:rsidRPr="00EF3712" w:rsidRDefault="00295049" w:rsidP="00295049">
      <w:r>
        <w:rPr>
          <w:rFonts w:ascii="Times New Roman" w:hAnsi="Times New Roman" w:cs="Times New Roman"/>
        </w:rPr>
        <w:tab/>
        <w:t>Taken together, these results provide no evidence that incidental exposure closes engagement gaps, particularly for the low-attraction group. On the other hand, there is some evidence that it may close gaps for the medium-attraction group.</w:t>
      </w: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w:t>
      </w:r>
      <w:r w:rsidRPr="00D07A0B">
        <w:rPr>
          <w:rFonts w:ascii="Times New Roman" w:hAnsi="Times New Roman" w:cs="Times New Roman"/>
          <w:highlight w:val="yellow"/>
        </w:rPr>
        <w:t>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5D6EDACE" w:rsidR="00B71963" w:rsidRDefault="00B71963" w:rsidP="00B71963">
            <w:pPr>
              <w:rPr>
                <w:rFonts w:ascii="Times New Roman" w:hAnsi="Times New Roman" w:cs="Times New Roman"/>
              </w:rPr>
            </w:pPr>
            <w:r>
              <w:rPr>
                <w:rFonts w:ascii="Times New Roman" w:hAnsi="Times New Roman" w:cs="Times New Roman"/>
              </w:rPr>
              <w:t>Intercept</w:t>
            </w:r>
          </w:p>
        </w:tc>
        <w:tc>
          <w:tcPr>
            <w:tcW w:w="2790" w:type="dxa"/>
            <w:tcBorders>
              <w:left w:val="nil"/>
              <w:bottom w:val="nil"/>
              <w:right w:val="nil"/>
            </w:tcBorders>
          </w:tcPr>
          <w:p w14:paraId="115A4528" w14:textId="330691E0" w:rsidR="00B71963" w:rsidRDefault="00B43A66" w:rsidP="00C96B29">
            <w:pPr>
              <w:tabs>
                <w:tab w:val="decimal" w:pos="1158"/>
              </w:tabs>
              <w:rPr>
                <w:rFonts w:ascii="Times New Roman" w:hAnsi="Times New Roman" w:cs="Times New Roman"/>
              </w:rPr>
            </w:pPr>
            <w:r>
              <w:rPr>
                <w:rFonts w:ascii="Times New Roman" w:hAnsi="Times New Roman" w:cs="Times New Roman"/>
              </w:rPr>
              <w:t>1.57</w:t>
            </w:r>
            <w:r w:rsidR="00C96B29">
              <w:rPr>
                <w:rFonts w:ascii="Times New Roman" w:hAnsi="Times New Roman" w:cs="Times New Roman"/>
              </w:rPr>
              <w:t>***</w:t>
            </w:r>
          </w:p>
        </w:tc>
        <w:tc>
          <w:tcPr>
            <w:tcW w:w="2790" w:type="dxa"/>
            <w:tcBorders>
              <w:left w:val="nil"/>
              <w:bottom w:val="nil"/>
              <w:right w:val="nil"/>
            </w:tcBorders>
          </w:tcPr>
          <w:p w14:paraId="4F1BB8E4" w14:textId="78E14C13" w:rsidR="00B71963" w:rsidRDefault="00B43A66" w:rsidP="00C96B29">
            <w:pPr>
              <w:tabs>
                <w:tab w:val="decimal" w:pos="1148"/>
              </w:tabs>
              <w:rPr>
                <w:rFonts w:ascii="Times New Roman" w:hAnsi="Times New Roman" w:cs="Times New Roman"/>
              </w:rPr>
            </w:pPr>
            <w:r>
              <w:rPr>
                <w:rFonts w:ascii="Times New Roman" w:hAnsi="Times New Roman" w:cs="Times New Roman"/>
              </w:rPr>
              <w:t>0.07</w:t>
            </w:r>
          </w:p>
        </w:tc>
      </w:tr>
      <w:tr w:rsidR="00C96B29" w14:paraId="39408145" w14:textId="77777777" w:rsidTr="00FA0CAF">
        <w:tc>
          <w:tcPr>
            <w:tcW w:w="3865" w:type="dxa"/>
            <w:tcBorders>
              <w:top w:val="nil"/>
              <w:left w:val="nil"/>
              <w:bottom w:val="nil"/>
              <w:right w:val="nil"/>
            </w:tcBorders>
          </w:tcPr>
          <w:p w14:paraId="52F54C34" w14:textId="613FA8E3" w:rsidR="00B71963" w:rsidRDefault="00CA0472" w:rsidP="00B71963">
            <w:pPr>
              <w:rPr>
                <w:rFonts w:ascii="Times New Roman" w:hAnsi="Times New Roman" w:cs="Times New Roman"/>
              </w:rPr>
            </w:pPr>
            <w:r>
              <w:rPr>
                <w:rFonts w:ascii="Times New Roman" w:hAnsi="Times New Roman" w:cs="Times New Roman"/>
              </w:rPr>
              <w:t>News Attraction</w:t>
            </w:r>
            <w:r w:rsidR="00B71963">
              <w:rPr>
                <w:rFonts w:ascii="Times New Roman" w:hAnsi="Times New Roman" w:cs="Times New Roman"/>
              </w:rPr>
              <w:t xml:space="preserve"> (</w:t>
            </w:r>
            <w:proofErr w:type="spellStart"/>
            <w:r w:rsidR="00B71963">
              <w:rPr>
                <w:rFonts w:ascii="Times New Roman" w:hAnsi="Times New Roman" w:cs="Times New Roman"/>
              </w:rPr>
              <w:t>Medium:Low</w:t>
            </w:r>
            <w:proofErr w:type="spellEnd"/>
            <w:r w:rsidR="00B71963">
              <w:rPr>
                <w:rFonts w:ascii="Times New Roman" w:hAnsi="Times New Roman" w:cs="Times New Roman"/>
              </w:rPr>
              <w:t>)</w:t>
            </w:r>
          </w:p>
        </w:tc>
        <w:tc>
          <w:tcPr>
            <w:tcW w:w="2790" w:type="dxa"/>
            <w:tcBorders>
              <w:top w:val="nil"/>
              <w:left w:val="nil"/>
              <w:bottom w:val="nil"/>
              <w:right w:val="nil"/>
            </w:tcBorders>
          </w:tcPr>
          <w:p w14:paraId="27794F6B" w14:textId="39AF55F3" w:rsidR="00B71963" w:rsidRDefault="00B43A66" w:rsidP="00C96B29">
            <w:pPr>
              <w:tabs>
                <w:tab w:val="decimal" w:pos="1158"/>
              </w:tabs>
              <w:rPr>
                <w:rFonts w:ascii="Times New Roman" w:hAnsi="Times New Roman" w:cs="Times New Roman"/>
              </w:rPr>
            </w:pPr>
            <w:r>
              <w:rPr>
                <w:rFonts w:ascii="Times New Roman" w:hAnsi="Times New Roman" w:cs="Times New Roman"/>
              </w:rPr>
              <w:t>0.</w:t>
            </w:r>
            <w:r w:rsidR="002A0CE5">
              <w:rPr>
                <w:rFonts w:ascii="Times New Roman" w:hAnsi="Times New Roman" w:cs="Times New Roman"/>
              </w:rPr>
              <w:t>89</w:t>
            </w:r>
            <w:r w:rsidR="00C96B29">
              <w:rPr>
                <w:rFonts w:ascii="Times New Roman" w:hAnsi="Times New Roman" w:cs="Times New Roman"/>
              </w:rPr>
              <w:t>***</w:t>
            </w:r>
          </w:p>
        </w:tc>
        <w:tc>
          <w:tcPr>
            <w:tcW w:w="2790" w:type="dxa"/>
            <w:tcBorders>
              <w:top w:val="nil"/>
              <w:left w:val="nil"/>
              <w:bottom w:val="nil"/>
              <w:right w:val="nil"/>
            </w:tcBorders>
          </w:tcPr>
          <w:p w14:paraId="73E87E41" w14:textId="30C3D6D5"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58D9373F" w:rsidR="00B71963" w:rsidRDefault="00CA0472" w:rsidP="00B71963">
            <w:pPr>
              <w:rPr>
                <w:rFonts w:ascii="Times New Roman" w:hAnsi="Times New Roman" w:cs="Times New Roman"/>
              </w:rPr>
            </w:pPr>
            <w:r>
              <w:rPr>
                <w:rFonts w:ascii="Times New Roman" w:hAnsi="Times New Roman" w:cs="Times New Roman"/>
              </w:rPr>
              <w:t xml:space="preserve">News Attraction </w:t>
            </w:r>
            <w:r w:rsidR="00B71963">
              <w:rPr>
                <w:rFonts w:ascii="Times New Roman" w:hAnsi="Times New Roman" w:cs="Times New Roman"/>
              </w:rPr>
              <w:t>(</w:t>
            </w:r>
            <w:proofErr w:type="spellStart"/>
            <w:r w:rsidR="00B71963">
              <w:rPr>
                <w:rFonts w:ascii="Times New Roman" w:hAnsi="Times New Roman" w:cs="Times New Roman"/>
              </w:rPr>
              <w:t>High:Low</w:t>
            </w:r>
            <w:proofErr w:type="spellEnd"/>
            <w:r w:rsidR="00B71963">
              <w:rPr>
                <w:rFonts w:ascii="Times New Roman" w:hAnsi="Times New Roman" w:cs="Times New Roman"/>
              </w:rPr>
              <w:t>)</w:t>
            </w:r>
          </w:p>
        </w:tc>
        <w:tc>
          <w:tcPr>
            <w:tcW w:w="2790" w:type="dxa"/>
            <w:tcBorders>
              <w:top w:val="nil"/>
              <w:left w:val="nil"/>
              <w:bottom w:val="nil"/>
              <w:right w:val="nil"/>
            </w:tcBorders>
          </w:tcPr>
          <w:p w14:paraId="33652890" w14:textId="71BF157C" w:rsidR="00B71963" w:rsidRDefault="00B43A66" w:rsidP="00C96B29">
            <w:pPr>
              <w:tabs>
                <w:tab w:val="decimal" w:pos="1158"/>
              </w:tabs>
              <w:rPr>
                <w:rFonts w:ascii="Times New Roman" w:hAnsi="Times New Roman" w:cs="Times New Roman"/>
              </w:rPr>
            </w:pPr>
            <w:r>
              <w:rPr>
                <w:rFonts w:ascii="Times New Roman" w:hAnsi="Times New Roman" w:cs="Times New Roman"/>
              </w:rPr>
              <w:t>1.7</w:t>
            </w:r>
            <w:r w:rsidR="002A0CE5">
              <w:rPr>
                <w:rFonts w:ascii="Times New Roman" w:hAnsi="Times New Roman" w:cs="Times New Roman"/>
              </w:rPr>
              <w:t>2</w:t>
            </w:r>
            <w:r w:rsidR="00C96B29">
              <w:rPr>
                <w:rFonts w:ascii="Times New Roman" w:hAnsi="Times New Roman" w:cs="Times New Roman"/>
              </w:rPr>
              <w:t>***</w:t>
            </w:r>
          </w:p>
        </w:tc>
        <w:tc>
          <w:tcPr>
            <w:tcW w:w="2790" w:type="dxa"/>
            <w:tcBorders>
              <w:top w:val="nil"/>
              <w:left w:val="nil"/>
              <w:bottom w:val="nil"/>
              <w:right w:val="nil"/>
            </w:tcBorders>
          </w:tcPr>
          <w:p w14:paraId="4AD1D9AE" w14:textId="2F842609" w:rsidR="00B71963" w:rsidRDefault="00B43A66" w:rsidP="00C96B29">
            <w:pPr>
              <w:tabs>
                <w:tab w:val="decimal" w:pos="1148"/>
              </w:tabs>
              <w:rPr>
                <w:rFonts w:ascii="Times New Roman" w:hAnsi="Times New Roman" w:cs="Times New Roman"/>
              </w:rPr>
            </w:pPr>
            <w:r>
              <w:rPr>
                <w:rFonts w:ascii="Times New Roman" w:hAnsi="Times New Roman" w:cs="Times New Roman"/>
              </w:rPr>
              <w:t>0.0</w:t>
            </w:r>
            <w:r w:rsidR="002A0CE5">
              <w:rPr>
                <w:rFonts w:ascii="Times New Roman" w:hAnsi="Times New Roman" w:cs="Times New Roman"/>
              </w:rPr>
              <w:t>6</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3CF760D" w:rsidR="00B71963" w:rsidRDefault="00B43A66" w:rsidP="00C96B29">
            <w:pPr>
              <w:tabs>
                <w:tab w:val="decimal" w:pos="1158"/>
              </w:tabs>
              <w:rPr>
                <w:rFonts w:ascii="Times New Roman" w:hAnsi="Times New Roman" w:cs="Times New Roman"/>
              </w:rPr>
            </w:pPr>
            <w:r>
              <w:rPr>
                <w:rFonts w:ascii="Times New Roman" w:hAnsi="Times New Roman" w:cs="Times New Roman"/>
              </w:rPr>
              <w:t>-0.02</w:t>
            </w:r>
          </w:p>
        </w:tc>
        <w:tc>
          <w:tcPr>
            <w:tcW w:w="2790" w:type="dxa"/>
            <w:tcBorders>
              <w:top w:val="nil"/>
              <w:left w:val="nil"/>
              <w:bottom w:val="nil"/>
              <w:right w:val="nil"/>
            </w:tcBorders>
          </w:tcPr>
          <w:p w14:paraId="596B2530" w14:textId="28515AF5"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058B1AB5" w:rsidR="00B71963" w:rsidRDefault="00B43A66" w:rsidP="00C96B29">
            <w:pPr>
              <w:tabs>
                <w:tab w:val="decimal" w:pos="1158"/>
              </w:tabs>
              <w:rPr>
                <w:rFonts w:ascii="Times New Roman" w:hAnsi="Times New Roman" w:cs="Times New Roman"/>
              </w:rPr>
            </w:pPr>
            <w:r>
              <w:rPr>
                <w:rFonts w:ascii="Times New Roman" w:hAnsi="Times New Roman" w:cs="Times New Roman"/>
              </w:rPr>
              <w:t>-0.19</w:t>
            </w:r>
            <w:r w:rsidR="00C96B29">
              <w:rPr>
                <w:rFonts w:ascii="Times New Roman" w:hAnsi="Times New Roman" w:cs="Times New Roman"/>
              </w:rPr>
              <w:t>***</w:t>
            </w:r>
          </w:p>
        </w:tc>
        <w:tc>
          <w:tcPr>
            <w:tcW w:w="2790" w:type="dxa"/>
            <w:tcBorders>
              <w:top w:val="nil"/>
              <w:left w:val="nil"/>
              <w:bottom w:val="nil"/>
              <w:right w:val="nil"/>
            </w:tcBorders>
          </w:tcPr>
          <w:p w14:paraId="0EDD626E" w14:textId="3B1A40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20C78618" w:rsidR="00B71963" w:rsidRDefault="00B43A66" w:rsidP="00C96B29">
            <w:pPr>
              <w:tabs>
                <w:tab w:val="decimal" w:pos="1158"/>
              </w:tabs>
              <w:rPr>
                <w:rFonts w:ascii="Times New Roman" w:hAnsi="Times New Roman" w:cs="Times New Roman"/>
              </w:rPr>
            </w:pPr>
            <w:r>
              <w:rPr>
                <w:rFonts w:ascii="Times New Roman" w:hAnsi="Times New Roman" w:cs="Times New Roman"/>
              </w:rPr>
              <w:t>0.03</w:t>
            </w:r>
          </w:p>
        </w:tc>
        <w:tc>
          <w:tcPr>
            <w:tcW w:w="2790" w:type="dxa"/>
            <w:tcBorders>
              <w:top w:val="nil"/>
              <w:left w:val="nil"/>
              <w:bottom w:val="nil"/>
              <w:right w:val="nil"/>
            </w:tcBorders>
          </w:tcPr>
          <w:p w14:paraId="1FD3FCB1" w14:textId="406548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4C5C26F5" w:rsidR="00B71963" w:rsidRDefault="00B43A66" w:rsidP="00C96B29">
            <w:pPr>
              <w:tabs>
                <w:tab w:val="decimal" w:pos="1158"/>
              </w:tabs>
              <w:rPr>
                <w:rFonts w:ascii="Times New Roman" w:hAnsi="Times New Roman" w:cs="Times New Roman"/>
              </w:rPr>
            </w:pPr>
            <w:r>
              <w:rPr>
                <w:rFonts w:ascii="Times New Roman" w:hAnsi="Times New Roman" w:cs="Times New Roman"/>
              </w:rPr>
              <w:t>0.07</w:t>
            </w:r>
            <w:r w:rsidR="00C96B29">
              <w:rPr>
                <w:rFonts w:ascii="Times New Roman" w:hAnsi="Times New Roman" w:cs="Times New Roman"/>
              </w:rPr>
              <w:t>***</w:t>
            </w:r>
          </w:p>
        </w:tc>
        <w:tc>
          <w:tcPr>
            <w:tcW w:w="2790" w:type="dxa"/>
            <w:tcBorders>
              <w:top w:val="nil"/>
              <w:left w:val="nil"/>
              <w:bottom w:val="nil"/>
              <w:right w:val="nil"/>
            </w:tcBorders>
          </w:tcPr>
          <w:p w14:paraId="7F7AB728" w14:textId="05EB0557"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7AB5E3F" w:rsidR="00B71963" w:rsidRDefault="00B43A66" w:rsidP="00C96B29">
            <w:pPr>
              <w:tabs>
                <w:tab w:val="decimal" w:pos="1158"/>
              </w:tabs>
              <w:rPr>
                <w:rFonts w:ascii="Times New Roman" w:hAnsi="Times New Roman" w:cs="Times New Roman"/>
              </w:rPr>
            </w:pPr>
            <w:r>
              <w:rPr>
                <w:rFonts w:ascii="Times New Roman" w:hAnsi="Times New Roman" w:cs="Times New Roman"/>
              </w:rPr>
              <w:t>0.06</w:t>
            </w:r>
            <w:r w:rsidR="00C96B29">
              <w:rPr>
                <w:rFonts w:ascii="Times New Roman" w:hAnsi="Times New Roman" w:cs="Times New Roman"/>
              </w:rPr>
              <w:t>***</w:t>
            </w:r>
          </w:p>
        </w:tc>
        <w:tc>
          <w:tcPr>
            <w:tcW w:w="2790" w:type="dxa"/>
            <w:tcBorders>
              <w:top w:val="nil"/>
              <w:left w:val="nil"/>
              <w:bottom w:val="nil"/>
              <w:right w:val="nil"/>
            </w:tcBorders>
          </w:tcPr>
          <w:p w14:paraId="72C270DE" w14:textId="75E1A1F8"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482A745" w:rsidR="00B71963" w:rsidRDefault="00C96B29"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77151EC8" w:rsidR="00B71963"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2D193FC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single" w:sz="4" w:space="0" w:color="auto"/>
              <w:right w:val="nil"/>
            </w:tcBorders>
          </w:tcPr>
          <w:p w14:paraId="75D69AE3" w14:textId="25D02D68" w:rsidR="00C96B29"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66C4C3FD" w:rsidR="00C96B29" w:rsidRPr="00637F6E" w:rsidRDefault="00C96B29" w:rsidP="00C96B29">
            <w:pPr>
              <w:rPr>
                <w:rFonts w:ascii="Times New Roman" w:hAnsi="Times New Roman" w:cs="Times New Roman"/>
                <w:b/>
                <w:bCs/>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77848956" w14:textId="77777777" w:rsidTr="00FA0CAF">
        <w:tc>
          <w:tcPr>
            <w:tcW w:w="3865" w:type="dxa"/>
            <w:tcBorders>
              <w:top w:val="nil"/>
              <w:left w:val="nil"/>
              <w:bottom w:val="single" w:sz="4" w:space="0" w:color="auto"/>
              <w:right w:val="nil"/>
            </w:tcBorders>
          </w:tcPr>
          <w:p w14:paraId="21E51692" w14:textId="329590D8" w:rsidR="00C96B29" w:rsidRDefault="00C96B29" w:rsidP="00C96B29">
            <w:pPr>
              <w:rPr>
                <w:rFonts w:ascii="Times New Roman" w:hAnsi="Times New Roman" w:cs="Times New Roman"/>
              </w:rPr>
            </w:pPr>
            <w:r>
              <w:rPr>
                <w:rFonts w:ascii="Times New Roman" w:hAnsi="Times New Roman" w:cs="Times New Roman"/>
              </w:rPr>
              <w:t>Residual</w:t>
            </w:r>
          </w:p>
        </w:tc>
        <w:tc>
          <w:tcPr>
            <w:tcW w:w="2790" w:type="dxa"/>
            <w:tcBorders>
              <w:top w:val="nil"/>
              <w:left w:val="nil"/>
              <w:bottom w:val="single" w:sz="4" w:space="0" w:color="auto"/>
              <w:right w:val="nil"/>
            </w:tcBorders>
          </w:tcPr>
          <w:p w14:paraId="6C9FAD69" w14:textId="6BA782D2" w:rsidR="00C96B29" w:rsidRDefault="00C96B29" w:rsidP="00C96B29">
            <w:pPr>
              <w:tabs>
                <w:tab w:val="decimal" w:pos="1158"/>
              </w:tabs>
              <w:rPr>
                <w:rFonts w:ascii="Times New Roman" w:hAnsi="Times New Roman" w:cs="Times New Roman"/>
              </w:rPr>
            </w:pPr>
            <w:r>
              <w:rPr>
                <w:rFonts w:ascii="Times New Roman" w:hAnsi="Times New Roman" w:cs="Times New Roman"/>
              </w:rPr>
              <w:t>0.61</w:t>
            </w:r>
          </w:p>
        </w:tc>
        <w:tc>
          <w:tcPr>
            <w:tcW w:w="2790" w:type="dxa"/>
            <w:tcBorders>
              <w:top w:val="nil"/>
              <w:left w:val="nil"/>
              <w:bottom w:val="single" w:sz="4" w:space="0" w:color="auto"/>
              <w:right w:val="nil"/>
            </w:tcBorders>
          </w:tcPr>
          <w:p w14:paraId="44CC9532" w14:textId="61D38B76" w:rsidR="00C96B29" w:rsidRDefault="00C96B29" w:rsidP="00C96B29">
            <w:pPr>
              <w:tabs>
                <w:tab w:val="decimal" w:pos="1148"/>
              </w:tabs>
              <w:rPr>
                <w:rFonts w:ascii="Times New Roman" w:hAnsi="Times New Roman" w:cs="Times New Roman"/>
              </w:rPr>
            </w:pPr>
            <w:r>
              <w:rPr>
                <w:rFonts w:ascii="Times New Roman" w:hAnsi="Times New Roman" w:cs="Times New Roman"/>
              </w:rPr>
              <w:t>0.78</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07BBBA07" w:rsidR="00C96B29" w:rsidRDefault="00C96B29" w:rsidP="00C96B29">
            <w:pPr>
              <w:jc w:val="center"/>
              <w:rPr>
                <w:rFonts w:ascii="Times New Roman" w:hAnsi="Times New Roman" w:cs="Times New Roman"/>
              </w:rPr>
            </w:pPr>
            <w:r>
              <w:rPr>
                <w:rFonts w:ascii="Times New Roman" w:hAnsi="Times New Roman" w:cs="Times New Roman"/>
              </w:rPr>
              <w:t>-2,</w:t>
            </w:r>
            <w:r w:rsidR="00DB0543">
              <w:rPr>
                <w:rFonts w:ascii="Times New Roman" w:hAnsi="Times New Roman" w:cs="Times New Roman"/>
              </w:rPr>
              <w:t>622.25</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7EC50144" w:rsidR="00C96B29" w:rsidRDefault="00C96B29" w:rsidP="00C96B29">
            <w:pPr>
              <w:jc w:val="center"/>
              <w:rPr>
                <w:rFonts w:ascii="Times New Roman" w:hAnsi="Times New Roman" w:cs="Times New Roman"/>
              </w:rPr>
            </w:pPr>
            <w:r>
              <w:rPr>
                <w:rFonts w:ascii="Times New Roman" w:hAnsi="Times New Roman" w:cs="Times New Roman"/>
              </w:rPr>
              <w:t>.47</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045" w:type="dxa"/>
        <w:tblLook w:val="04A0" w:firstRow="1" w:lastRow="0" w:firstColumn="1" w:lastColumn="0" w:noHBand="0" w:noVBand="1"/>
      </w:tblPr>
      <w:tblGrid>
        <w:gridCol w:w="3365"/>
        <w:gridCol w:w="1200"/>
        <w:gridCol w:w="32"/>
        <w:gridCol w:w="1194"/>
        <w:gridCol w:w="1078"/>
        <w:gridCol w:w="188"/>
        <w:gridCol w:w="1194"/>
        <w:gridCol w:w="586"/>
        <w:gridCol w:w="616"/>
        <w:gridCol w:w="1195"/>
        <w:gridCol w:w="428"/>
        <w:gridCol w:w="774"/>
        <w:gridCol w:w="1195"/>
      </w:tblGrid>
      <w:tr w:rsidR="00C75F91" w14:paraId="05D1A9F9" w14:textId="77777777" w:rsidTr="00C75F91">
        <w:tc>
          <w:tcPr>
            <w:tcW w:w="13045" w:type="dxa"/>
            <w:gridSpan w:val="13"/>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457D3E">
        <w:tc>
          <w:tcPr>
            <w:tcW w:w="340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37"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4"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4"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457D3E">
        <w:tc>
          <w:tcPr>
            <w:tcW w:w="340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33"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4"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457D3E">
        <w:tc>
          <w:tcPr>
            <w:tcW w:w="340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457D3E">
        <w:tc>
          <w:tcPr>
            <w:tcW w:w="3400"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32" w:type="dxa"/>
            <w:gridSpan w:val="2"/>
            <w:tcBorders>
              <w:left w:val="nil"/>
              <w:bottom w:val="nil"/>
              <w:right w:val="nil"/>
            </w:tcBorders>
          </w:tcPr>
          <w:p w14:paraId="129B718F" w14:textId="1511F5E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653574">
              <w:rPr>
                <w:rFonts w:ascii="Times New Roman" w:hAnsi="Times New Roman" w:cs="Times New Roman"/>
              </w:rPr>
              <w:t>19</w:t>
            </w:r>
          </w:p>
        </w:tc>
        <w:tc>
          <w:tcPr>
            <w:tcW w:w="1201" w:type="dxa"/>
            <w:tcBorders>
              <w:left w:val="nil"/>
              <w:bottom w:val="nil"/>
              <w:right w:val="nil"/>
            </w:tcBorders>
          </w:tcPr>
          <w:p w14:paraId="7060267B" w14:textId="219D56B4" w:rsidR="00906665" w:rsidRDefault="009679A5" w:rsidP="00EF53E8">
            <w:pPr>
              <w:tabs>
                <w:tab w:val="decimal" w:pos="350"/>
              </w:tabs>
              <w:rPr>
                <w:rFonts w:ascii="Times New Roman" w:hAnsi="Times New Roman" w:cs="Times New Roman"/>
              </w:rPr>
            </w:pPr>
            <w:r>
              <w:rPr>
                <w:rFonts w:ascii="Times New Roman" w:hAnsi="Times New Roman" w:cs="Times New Roman"/>
              </w:rPr>
              <w:t>0.11</w:t>
            </w:r>
          </w:p>
        </w:tc>
        <w:tc>
          <w:tcPr>
            <w:tcW w:w="1203" w:type="dxa"/>
            <w:gridSpan w:val="2"/>
            <w:tcBorders>
              <w:left w:val="nil"/>
              <w:bottom w:val="nil"/>
              <w:right w:val="nil"/>
            </w:tcBorders>
          </w:tcPr>
          <w:p w14:paraId="33B12AFB" w14:textId="2D5B51CA"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w:t>
            </w:r>
            <w:r w:rsidR="00D5188D">
              <w:rPr>
                <w:rFonts w:ascii="Times New Roman" w:hAnsi="Times New Roman" w:cs="Times New Roman"/>
              </w:rPr>
              <w:t>8</w:t>
            </w:r>
            <w:r>
              <w:rPr>
                <w:rFonts w:ascii="Times New Roman" w:hAnsi="Times New Roman" w:cs="Times New Roman"/>
              </w:rPr>
              <w:t>***</w:t>
            </w:r>
          </w:p>
        </w:tc>
        <w:tc>
          <w:tcPr>
            <w:tcW w:w="1201" w:type="dxa"/>
            <w:tcBorders>
              <w:left w:val="nil"/>
              <w:bottom w:val="nil"/>
              <w:right w:val="nil"/>
            </w:tcBorders>
          </w:tcPr>
          <w:p w14:paraId="2ECAA10C" w14:textId="3229D339" w:rsidR="00906665" w:rsidRDefault="004A77D0" w:rsidP="00C2077C">
            <w:pPr>
              <w:tabs>
                <w:tab w:val="decimal" w:pos="353"/>
              </w:tabs>
              <w:rPr>
                <w:rFonts w:ascii="Times New Roman" w:hAnsi="Times New Roman" w:cs="Times New Roman"/>
              </w:rPr>
            </w:pPr>
            <w:r>
              <w:rPr>
                <w:rFonts w:ascii="Times New Roman" w:hAnsi="Times New Roman" w:cs="Times New Roman"/>
              </w:rPr>
              <w:t>0.26</w:t>
            </w:r>
          </w:p>
        </w:tc>
        <w:tc>
          <w:tcPr>
            <w:tcW w:w="1203" w:type="dxa"/>
            <w:gridSpan w:val="2"/>
            <w:tcBorders>
              <w:left w:val="nil"/>
              <w:bottom w:val="nil"/>
              <w:right w:val="nil"/>
            </w:tcBorders>
          </w:tcPr>
          <w:p w14:paraId="2E91163D" w14:textId="791E02A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3849F3">
              <w:rPr>
                <w:rFonts w:ascii="Times New Roman" w:hAnsi="Times New Roman" w:cs="Times New Roman"/>
              </w:rPr>
              <w:t>3</w:t>
            </w:r>
            <w:r>
              <w:rPr>
                <w:rFonts w:ascii="Times New Roman" w:hAnsi="Times New Roman" w:cs="Times New Roman"/>
              </w:rPr>
              <w:t>**</w:t>
            </w:r>
          </w:p>
        </w:tc>
        <w:tc>
          <w:tcPr>
            <w:tcW w:w="1201" w:type="dxa"/>
            <w:tcBorders>
              <w:left w:val="nil"/>
              <w:bottom w:val="nil"/>
              <w:right w:val="nil"/>
            </w:tcBorders>
          </w:tcPr>
          <w:p w14:paraId="0F0EE393" w14:textId="096B4526" w:rsidR="00906665" w:rsidRDefault="002B009E" w:rsidP="00C2077C">
            <w:pPr>
              <w:tabs>
                <w:tab w:val="decimal" w:pos="340"/>
              </w:tabs>
              <w:rPr>
                <w:rFonts w:ascii="Times New Roman" w:hAnsi="Times New Roman" w:cs="Times New Roman"/>
              </w:rPr>
            </w:pPr>
            <w:r>
              <w:rPr>
                <w:rFonts w:ascii="Times New Roman" w:hAnsi="Times New Roman" w:cs="Times New Roman"/>
              </w:rPr>
              <w:t>0.1</w:t>
            </w:r>
            <w:r w:rsidR="008D1B3A">
              <w:rPr>
                <w:rFonts w:ascii="Times New Roman" w:hAnsi="Times New Roman" w:cs="Times New Roman"/>
              </w:rPr>
              <w:t>1</w:t>
            </w:r>
          </w:p>
        </w:tc>
        <w:tc>
          <w:tcPr>
            <w:tcW w:w="1203" w:type="dxa"/>
            <w:gridSpan w:val="2"/>
            <w:tcBorders>
              <w:left w:val="nil"/>
              <w:bottom w:val="nil"/>
              <w:right w:val="nil"/>
            </w:tcBorders>
          </w:tcPr>
          <w:p w14:paraId="493D47D5" w14:textId="0540F332"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w:t>
            </w:r>
            <w:r w:rsidR="00AA381F">
              <w:rPr>
                <w:rFonts w:ascii="Times New Roman" w:hAnsi="Times New Roman" w:cs="Times New Roman"/>
              </w:rPr>
              <w:t>14</w:t>
            </w:r>
            <w:r>
              <w:rPr>
                <w:rFonts w:ascii="Times New Roman" w:hAnsi="Times New Roman" w:cs="Times New Roman"/>
              </w:rPr>
              <w:t>***</w:t>
            </w:r>
          </w:p>
        </w:tc>
        <w:tc>
          <w:tcPr>
            <w:tcW w:w="1201" w:type="dxa"/>
            <w:tcBorders>
              <w:left w:val="nil"/>
              <w:bottom w:val="nil"/>
              <w:right w:val="nil"/>
            </w:tcBorders>
          </w:tcPr>
          <w:p w14:paraId="4EF99084" w14:textId="3E69747B" w:rsidR="00906665" w:rsidRDefault="001F0128"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457D3E">
        <w:tc>
          <w:tcPr>
            <w:tcW w:w="3400" w:type="dxa"/>
            <w:tcBorders>
              <w:top w:val="nil"/>
              <w:left w:val="nil"/>
              <w:bottom w:val="nil"/>
              <w:right w:val="nil"/>
            </w:tcBorders>
          </w:tcPr>
          <w:p w14:paraId="5F80797A" w14:textId="3E637FFC"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Medium:Low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5EC133DB" w14:textId="36FA088E" w:rsidR="00672FDF" w:rsidRDefault="00637F6E" w:rsidP="00EF53E8">
            <w:pPr>
              <w:tabs>
                <w:tab w:val="decimal" w:pos="350"/>
              </w:tabs>
              <w:rPr>
                <w:rFonts w:ascii="Times New Roman" w:hAnsi="Times New Roman" w:cs="Times New Roman"/>
              </w:rPr>
            </w:pPr>
            <w:r>
              <w:rPr>
                <w:rFonts w:ascii="Times New Roman" w:hAnsi="Times New Roman" w:cs="Times New Roman"/>
              </w:rPr>
              <w:t>-0.</w:t>
            </w:r>
            <w:r w:rsidR="000D3114">
              <w:rPr>
                <w:rFonts w:ascii="Times New Roman" w:hAnsi="Times New Roman" w:cs="Times New Roman"/>
              </w:rPr>
              <w:t>1</w:t>
            </w:r>
            <w:r w:rsidR="00653574">
              <w:rPr>
                <w:rFonts w:ascii="Times New Roman" w:hAnsi="Times New Roman" w:cs="Times New Roman"/>
              </w:rPr>
              <w:t>0</w:t>
            </w:r>
          </w:p>
        </w:tc>
        <w:tc>
          <w:tcPr>
            <w:tcW w:w="1201" w:type="dxa"/>
            <w:tcBorders>
              <w:top w:val="nil"/>
              <w:left w:val="nil"/>
              <w:bottom w:val="nil"/>
              <w:right w:val="nil"/>
            </w:tcBorders>
          </w:tcPr>
          <w:p w14:paraId="34EF4009" w14:textId="4C3982BF" w:rsidR="00672FDF" w:rsidRDefault="009679A5" w:rsidP="00EF53E8">
            <w:pPr>
              <w:tabs>
                <w:tab w:val="decimal" w:pos="350"/>
              </w:tabs>
              <w:rPr>
                <w:rFonts w:ascii="Times New Roman" w:hAnsi="Times New Roman" w:cs="Times New Roman"/>
              </w:rPr>
            </w:pPr>
            <w:r>
              <w:rPr>
                <w:rFonts w:ascii="Times New Roman" w:hAnsi="Times New Roman" w:cs="Times New Roman"/>
              </w:rPr>
              <w:t>0.06</w:t>
            </w:r>
          </w:p>
        </w:tc>
        <w:tc>
          <w:tcPr>
            <w:tcW w:w="1203" w:type="dxa"/>
            <w:gridSpan w:val="2"/>
            <w:tcBorders>
              <w:top w:val="nil"/>
              <w:left w:val="nil"/>
              <w:bottom w:val="nil"/>
              <w:right w:val="nil"/>
            </w:tcBorders>
          </w:tcPr>
          <w:p w14:paraId="59786D30" w14:textId="12B10FD1" w:rsidR="00672FDF" w:rsidRDefault="004A77D0" w:rsidP="00C2077C">
            <w:pPr>
              <w:tabs>
                <w:tab w:val="decimal" w:pos="353"/>
              </w:tabs>
              <w:rPr>
                <w:rFonts w:ascii="Times New Roman" w:hAnsi="Times New Roman" w:cs="Times New Roman"/>
              </w:rPr>
            </w:pPr>
            <w:r>
              <w:rPr>
                <w:rFonts w:ascii="Times New Roman" w:hAnsi="Times New Roman" w:cs="Times New Roman"/>
              </w:rPr>
              <w:t>0.3</w:t>
            </w:r>
            <w:r w:rsidR="00D21178">
              <w:rPr>
                <w:rFonts w:ascii="Times New Roman" w:hAnsi="Times New Roman" w:cs="Times New Roman"/>
              </w:rPr>
              <w:t>1</w:t>
            </w:r>
            <w:r>
              <w:rPr>
                <w:rFonts w:ascii="Times New Roman" w:hAnsi="Times New Roman" w:cs="Times New Roman"/>
              </w:rPr>
              <w:t>**</w:t>
            </w:r>
          </w:p>
        </w:tc>
        <w:tc>
          <w:tcPr>
            <w:tcW w:w="1201" w:type="dxa"/>
            <w:tcBorders>
              <w:top w:val="nil"/>
              <w:left w:val="nil"/>
              <w:bottom w:val="nil"/>
              <w:right w:val="nil"/>
            </w:tcBorders>
          </w:tcPr>
          <w:p w14:paraId="7C01B50F" w14:textId="4B0EF2FA" w:rsidR="00672FDF" w:rsidRDefault="003716B9" w:rsidP="00C2077C">
            <w:pPr>
              <w:tabs>
                <w:tab w:val="decimal" w:pos="353"/>
              </w:tabs>
              <w:rPr>
                <w:rFonts w:ascii="Times New Roman" w:hAnsi="Times New Roman" w:cs="Times New Roman"/>
              </w:rPr>
            </w:pPr>
            <w:r>
              <w:rPr>
                <w:rFonts w:ascii="Times New Roman" w:hAnsi="Times New Roman" w:cs="Times New Roman"/>
              </w:rPr>
              <w:t>0.12</w:t>
            </w:r>
          </w:p>
        </w:tc>
        <w:tc>
          <w:tcPr>
            <w:tcW w:w="1203" w:type="dxa"/>
            <w:gridSpan w:val="2"/>
            <w:tcBorders>
              <w:top w:val="nil"/>
              <w:left w:val="nil"/>
              <w:bottom w:val="nil"/>
              <w:right w:val="nil"/>
            </w:tcBorders>
          </w:tcPr>
          <w:p w14:paraId="688BEC7E" w14:textId="087F40D9"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34</w:t>
            </w:r>
            <w:r>
              <w:rPr>
                <w:rFonts w:ascii="Times New Roman" w:hAnsi="Times New Roman" w:cs="Times New Roman"/>
              </w:rPr>
              <w:t>***</w:t>
            </w:r>
          </w:p>
        </w:tc>
        <w:tc>
          <w:tcPr>
            <w:tcW w:w="1201" w:type="dxa"/>
            <w:tcBorders>
              <w:top w:val="nil"/>
              <w:left w:val="nil"/>
              <w:bottom w:val="nil"/>
              <w:right w:val="nil"/>
            </w:tcBorders>
          </w:tcPr>
          <w:p w14:paraId="5AFC9B47" w14:textId="0CFCB786" w:rsidR="00672FDF" w:rsidRDefault="002B009E" w:rsidP="00C2077C">
            <w:pPr>
              <w:tabs>
                <w:tab w:val="decimal" w:pos="34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5</w:t>
            </w:r>
          </w:p>
        </w:tc>
        <w:tc>
          <w:tcPr>
            <w:tcW w:w="1203"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046D441A" w14:textId="727CEB6B" w:rsidR="00672FDF" w:rsidRDefault="001F0128" w:rsidP="00C2077C">
            <w:pPr>
              <w:tabs>
                <w:tab w:val="decimal" w:pos="370"/>
              </w:tabs>
              <w:rPr>
                <w:rFonts w:ascii="Times New Roman" w:hAnsi="Times New Roman" w:cs="Times New Roman"/>
              </w:rPr>
            </w:pPr>
            <w:r>
              <w:rPr>
                <w:rFonts w:ascii="Times New Roman" w:hAnsi="Times New Roman" w:cs="Times New Roman"/>
              </w:rPr>
              <w:t>0.10</w:t>
            </w:r>
          </w:p>
        </w:tc>
      </w:tr>
      <w:tr w:rsidR="00C75F91" w14:paraId="1E2E4B85" w14:textId="77777777" w:rsidTr="00457D3E">
        <w:tc>
          <w:tcPr>
            <w:tcW w:w="3400" w:type="dxa"/>
            <w:tcBorders>
              <w:top w:val="nil"/>
              <w:left w:val="nil"/>
              <w:bottom w:val="nil"/>
              <w:right w:val="nil"/>
            </w:tcBorders>
          </w:tcPr>
          <w:p w14:paraId="49C29484" w14:textId="30A313AA"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High:Low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48C864E5" w14:textId="29787A70" w:rsidR="00672FDF" w:rsidRDefault="00637F6E" w:rsidP="00EF53E8">
            <w:pPr>
              <w:tabs>
                <w:tab w:val="decimal" w:pos="350"/>
              </w:tabs>
              <w:rPr>
                <w:rFonts w:ascii="Times New Roman" w:hAnsi="Times New Roman" w:cs="Times New Roman"/>
              </w:rPr>
            </w:pPr>
            <w:r>
              <w:rPr>
                <w:rFonts w:ascii="Times New Roman" w:hAnsi="Times New Roman" w:cs="Times New Roman"/>
              </w:rPr>
              <w:t>-1</w:t>
            </w:r>
            <w:r w:rsidR="000D3114">
              <w:rPr>
                <w:rFonts w:ascii="Times New Roman" w:hAnsi="Times New Roman" w:cs="Times New Roman"/>
              </w:rPr>
              <w:t>.</w:t>
            </w:r>
            <w:r w:rsidR="00653574">
              <w:rPr>
                <w:rFonts w:ascii="Times New Roman" w:hAnsi="Times New Roman" w:cs="Times New Roman"/>
              </w:rPr>
              <w:t>08</w:t>
            </w:r>
            <w:r w:rsidR="00E528E0">
              <w:rPr>
                <w:rFonts w:ascii="Times New Roman" w:hAnsi="Times New Roman" w:cs="Times New Roman"/>
              </w:rPr>
              <w:t>***</w:t>
            </w:r>
          </w:p>
        </w:tc>
        <w:tc>
          <w:tcPr>
            <w:tcW w:w="1201" w:type="dxa"/>
            <w:tcBorders>
              <w:top w:val="nil"/>
              <w:left w:val="nil"/>
              <w:bottom w:val="nil"/>
              <w:right w:val="nil"/>
            </w:tcBorders>
          </w:tcPr>
          <w:p w14:paraId="4AD36FF8" w14:textId="464BA762" w:rsidR="00672FDF" w:rsidRDefault="009679A5" w:rsidP="00EF53E8">
            <w:pPr>
              <w:tabs>
                <w:tab w:val="decimal" w:pos="350"/>
              </w:tabs>
              <w:rPr>
                <w:rFonts w:ascii="Times New Roman" w:hAnsi="Times New Roman" w:cs="Times New Roman"/>
              </w:rPr>
            </w:pPr>
            <w:r>
              <w:rPr>
                <w:rFonts w:ascii="Times New Roman" w:hAnsi="Times New Roman" w:cs="Times New Roman"/>
              </w:rPr>
              <w:t>0.09</w:t>
            </w:r>
          </w:p>
        </w:tc>
        <w:tc>
          <w:tcPr>
            <w:tcW w:w="1203" w:type="dxa"/>
            <w:gridSpan w:val="2"/>
            <w:tcBorders>
              <w:top w:val="nil"/>
              <w:left w:val="nil"/>
              <w:bottom w:val="nil"/>
              <w:right w:val="nil"/>
            </w:tcBorders>
          </w:tcPr>
          <w:p w14:paraId="2C7B6193" w14:textId="1D809668" w:rsidR="00672FDF" w:rsidRDefault="00D21178"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145B0E23" w14:textId="2A03BF5B" w:rsidR="00672FDF" w:rsidRDefault="004A77D0" w:rsidP="00C2077C">
            <w:pPr>
              <w:tabs>
                <w:tab w:val="decimal" w:pos="353"/>
              </w:tabs>
              <w:rPr>
                <w:rFonts w:ascii="Times New Roman" w:hAnsi="Times New Roman" w:cs="Times New Roman"/>
              </w:rPr>
            </w:pPr>
            <w:r>
              <w:rPr>
                <w:rFonts w:ascii="Times New Roman" w:hAnsi="Times New Roman" w:cs="Times New Roman"/>
              </w:rPr>
              <w:t>0.2</w:t>
            </w:r>
            <w:r w:rsidR="00D21178">
              <w:rPr>
                <w:rFonts w:ascii="Times New Roman" w:hAnsi="Times New Roman" w:cs="Times New Roman"/>
              </w:rPr>
              <w:t>0</w:t>
            </w:r>
          </w:p>
        </w:tc>
        <w:tc>
          <w:tcPr>
            <w:tcW w:w="1203" w:type="dxa"/>
            <w:gridSpan w:val="2"/>
            <w:tcBorders>
              <w:top w:val="nil"/>
              <w:left w:val="nil"/>
              <w:bottom w:val="nil"/>
              <w:right w:val="nil"/>
            </w:tcBorders>
          </w:tcPr>
          <w:p w14:paraId="0439FE01" w14:textId="237138DA"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B72B09">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3FD22310" w14:textId="2DB69C50" w:rsidR="00672FDF" w:rsidRDefault="002B009E" w:rsidP="00C2077C">
            <w:pPr>
              <w:tabs>
                <w:tab w:val="decimal" w:pos="34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09</w:t>
            </w:r>
          </w:p>
        </w:tc>
        <w:tc>
          <w:tcPr>
            <w:tcW w:w="1203" w:type="dxa"/>
            <w:gridSpan w:val="2"/>
            <w:tcBorders>
              <w:top w:val="nil"/>
              <w:left w:val="nil"/>
              <w:bottom w:val="nil"/>
              <w:right w:val="nil"/>
            </w:tcBorders>
          </w:tcPr>
          <w:p w14:paraId="7B97E737" w14:textId="2F40FD84"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w:t>
            </w:r>
            <w:r w:rsidR="007541CD">
              <w:rPr>
                <w:rFonts w:ascii="Times New Roman" w:hAnsi="Times New Roman" w:cs="Times New Roman"/>
              </w:rPr>
              <w:t>6</w:t>
            </w:r>
            <w:r>
              <w:rPr>
                <w:rFonts w:ascii="Times New Roman" w:hAnsi="Times New Roman" w:cs="Times New Roman"/>
              </w:rPr>
              <w:t>***</w:t>
            </w:r>
          </w:p>
        </w:tc>
        <w:tc>
          <w:tcPr>
            <w:tcW w:w="1201" w:type="dxa"/>
            <w:tcBorders>
              <w:top w:val="nil"/>
              <w:left w:val="nil"/>
              <w:bottom w:val="nil"/>
              <w:right w:val="nil"/>
            </w:tcBorders>
          </w:tcPr>
          <w:p w14:paraId="0D8E10FC" w14:textId="24F22879" w:rsidR="00672FDF" w:rsidRDefault="001F0128"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4</w:t>
            </w:r>
          </w:p>
        </w:tc>
      </w:tr>
      <w:tr w:rsidR="00C75F91" w14:paraId="224A47FF" w14:textId="77777777" w:rsidTr="00457D3E">
        <w:tc>
          <w:tcPr>
            <w:tcW w:w="340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75920384" w:rsidR="00672FDF"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8</w:t>
            </w:r>
            <w:r w:rsidR="00E528E0">
              <w:rPr>
                <w:rFonts w:ascii="Times New Roman" w:hAnsi="Times New Roman" w:cs="Times New Roman"/>
              </w:rPr>
              <w:t>***</w:t>
            </w:r>
          </w:p>
        </w:tc>
        <w:tc>
          <w:tcPr>
            <w:tcW w:w="1201"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201"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4254314D" w14:textId="3CA2684C" w:rsidR="00672FDF"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7</w:t>
            </w:r>
            <w:r>
              <w:rPr>
                <w:rFonts w:ascii="Times New Roman" w:hAnsi="Times New Roman" w:cs="Times New Roman"/>
              </w:rPr>
              <w:t>***</w:t>
            </w:r>
          </w:p>
        </w:tc>
        <w:tc>
          <w:tcPr>
            <w:tcW w:w="1201"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5E5A5DB7" w14:textId="510FFE49"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2</w:t>
            </w:r>
          </w:p>
        </w:tc>
        <w:tc>
          <w:tcPr>
            <w:tcW w:w="1201"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457D3E">
        <w:tc>
          <w:tcPr>
            <w:tcW w:w="340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408688CE" w:rsidR="00906665" w:rsidRDefault="00637F6E" w:rsidP="00EF53E8">
            <w:pPr>
              <w:tabs>
                <w:tab w:val="decimal" w:pos="35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201"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53869E57" w14:textId="25C7642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9</w:t>
            </w:r>
          </w:p>
        </w:tc>
        <w:tc>
          <w:tcPr>
            <w:tcW w:w="1201" w:type="dxa"/>
            <w:tcBorders>
              <w:top w:val="nil"/>
              <w:left w:val="nil"/>
              <w:bottom w:val="nil"/>
              <w:right w:val="nil"/>
            </w:tcBorders>
          </w:tcPr>
          <w:p w14:paraId="6E7541A6" w14:textId="6DA37171"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457D3E">
        <w:tc>
          <w:tcPr>
            <w:tcW w:w="340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2AB51AD3" w:rsidR="00906665" w:rsidRDefault="00637F6E" w:rsidP="00EF53E8">
            <w:pPr>
              <w:tabs>
                <w:tab w:val="decimal" w:pos="35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1"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201"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1" w:type="dxa"/>
            <w:tcBorders>
              <w:top w:val="nil"/>
              <w:left w:val="nil"/>
              <w:bottom w:val="nil"/>
              <w:right w:val="nil"/>
            </w:tcBorders>
          </w:tcPr>
          <w:p w14:paraId="158F2403" w14:textId="2DBA4A37"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1"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457D3E">
        <w:tc>
          <w:tcPr>
            <w:tcW w:w="340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BC6AD88" w:rsidR="00906665" w:rsidRDefault="00637F6E" w:rsidP="00EF53E8">
            <w:pPr>
              <w:tabs>
                <w:tab w:val="decimal" w:pos="35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1"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6B04C42" w14:textId="6C10732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3849F3">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046A4C2F" w14:textId="1D28F2AE"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1"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457D3E">
        <w:tc>
          <w:tcPr>
            <w:tcW w:w="340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163C0B3E" w14:textId="748386C1" w:rsidR="00906665" w:rsidRDefault="0017449D" w:rsidP="00C2077C">
            <w:pPr>
              <w:tabs>
                <w:tab w:val="decimal" w:pos="370"/>
              </w:tabs>
              <w:rPr>
                <w:rFonts w:ascii="Times New Roman" w:hAnsi="Times New Roman" w:cs="Times New Roman"/>
              </w:rPr>
            </w:pPr>
            <w:r>
              <w:rPr>
                <w:rFonts w:ascii="Times New Roman" w:hAnsi="Times New Roman" w:cs="Times New Roman"/>
              </w:rPr>
              <w:t>0.02</w:t>
            </w:r>
          </w:p>
        </w:tc>
      </w:tr>
      <w:tr w:rsidR="00C75F91" w14:paraId="1C1E23A0" w14:textId="77777777" w:rsidTr="00457D3E">
        <w:tc>
          <w:tcPr>
            <w:tcW w:w="340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201"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201"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1"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1"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457D3E">
        <w:tc>
          <w:tcPr>
            <w:tcW w:w="340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2C58D559"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201"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0EC543C1" w14:textId="1EC265ED"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1"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457D3E">
        <w:tc>
          <w:tcPr>
            <w:tcW w:w="340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59341DE4" w:rsidR="00906665" w:rsidRDefault="00637F6E" w:rsidP="00EF53E8">
            <w:pPr>
              <w:tabs>
                <w:tab w:val="decimal" w:pos="35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1"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22655402" w14:textId="47D35F5D"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8*</w:t>
            </w:r>
          </w:p>
        </w:tc>
        <w:tc>
          <w:tcPr>
            <w:tcW w:w="1201"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59F04A18" w14:textId="03B6F9A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1"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457D3E">
        <w:tc>
          <w:tcPr>
            <w:tcW w:w="340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711DE61A"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4E5315F3" w14:textId="37B98373"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D21178">
              <w:rPr>
                <w:rFonts w:ascii="Times New Roman" w:hAnsi="Times New Roman" w:cs="Times New Roman"/>
              </w:rPr>
              <w:t>7</w:t>
            </w:r>
          </w:p>
        </w:tc>
        <w:tc>
          <w:tcPr>
            <w:tcW w:w="1201"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3" w:type="dxa"/>
            <w:gridSpan w:val="2"/>
            <w:tcBorders>
              <w:top w:val="nil"/>
              <w:left w:val="nil"/>
              <w:bottom w:val="nil"/>
              <w:right w:val="nil"/>
            </w:tcBorders>
          </w:tcPr>
          <w:p w14:paraId="4B3ED36B" w14:textId="0732BAA6"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2038E935" w14:textId="639C12F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.19</w:t>
            </w:r>
          </w:p>
        </w:tc>
        <w:tc>
          <w:tcPr>
            <w:tcW w:w="1201"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457D3E">
        <w:tc>
          <w:tcPr>
            <w:tcW w:w="340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5DAFA95C"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653574">
              <w:rPr>
                <w:rFonts w:ascii="Times New Roman" w:hAnsi="Times New Roman" w:cs="Times New Roman"/>
              </w:rPr>
              <w:t>8</w:t>
            </w:r>
          </w:p>
        </w:tc>
        <w:tc>
          <w:tcPr>
            <w:tcW w:w="1201" w:type="dxa"/>
            <w:tcBorders>
              <w:top w:val="nil"/>
              <w:left w:val="nil"/>
              <w:bottom w:val="nil"/>
              <w:right w:val="nil"/>
            </w:tcBorders>
          </w:tcPr>
          <w:p w14:paraId="1D88F8C6" w14:textId="23DBD47F" w:rsidR="00906665" w:rsidRDefault="009679A5" w:rsidP="00EF53E8">
            <w:pPr>
              <w:tabs>
                <w:tab w:val="decimal" w:pos="35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2ABC7589" w14:textId="60EDAB4A"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3" w:type="dxa"/>
            <w:gridSpan w:val="2"/>
            <w:tcBorders>
              <w:top w:val="nil"/>
              <w:left w:val="nil"/>
              <w:bottom w:val="nil"/>
              <w:right w:val="nil"/>
            </w:tcBorders>
          </w:tcPr>
          <w:p w14:paraId="61ADBE43" w14:textId="6B0E63BB"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13879A62" w14:textId="479C64AC"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AA381F">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457D3E">
        <w:tc>
          <w:tcPr>
            <w:tcW w:w="340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3DE0416D" w:rsidR="00906665" w:rsidRDefault="00637F6E" w:rsidP="00EF53E8">
            <w:pPr>
              <w:tabs>
                <w:tab w:val="decimal" w:pos="350"/>
              </w:tabs>
              <w:rPr>
                <w:rFonts w:ascii="Times New Roman" w:hAnsi="Times New Roman" w:cs="Times New Roman"/>
              </w:rPr>
            </w:pPr>
            <w:r>
              <w:rPr>
                <w:rFonts w:ascii="Times New Roman" w:hAnsi="Times New Roman" w:cs="Times New Roman"/>
              </w:rPr>
              <w:t>0.2</w:t>
            </w:r>
            <w:r w:rsidR="00653574">
              <w:rPr>
                <w:rFonts w:ascii="Times New Roman" w:hAnsi="Times New Roman" w:cs="Times New Roman"/>
              </w:rPr>
              <w:t>2</w:t>
            </w:r>
            <w:r w:rsidR="00E528E0">
              <w:rPr>
                <w:rFonts w:ascii="Times New Roman" w:hAnsi="Times New Roman" w:cs="Times New Roman"/>
              </w:rPr>
              <w:t>***</w:t>
            </w:r>
          </w:p>
        </w:tc>
        <w:tc>
          <w:tcPr>
            <w:tcW w:w="1201" w:type="dxa"/>
            <w:tcBorders>
              <w:top w:val="nil"/>
              <w:left w:val="nil"/>
              <w:bottom w:val="nil"/>
              <w:right w:val="nil"/>
            </w:tcBorders>
          </w:tcPr>
          <w:p w14:paraId="6B3E19A0" w14:textId="0A69B44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201"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1"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1A5B99DF" w14:textId="78A5A55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.10</w:t>
            </w:r>
          </w:p>
        </w:tc>
        <w:tc>
          <w:tcPr>
            <w:tcW w:w="1201"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09CFE839" w14:textId="77777777" w:rsidTr="00457D3E">
        <w:tc>
          <w:tcPr>
            <w:tcW w:w="3400"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32" w:type="dxa"/>
            <w:gridSpan w:val="2"/>
            <w:tcBorders>
              <w:top w:val="nil"/>
              <w:left w:val="nil"/>
              <w:bottom w:val="nil"/>
              <w:right w:val="nil"/>
            </w:tcBorders>
          </w:tcPr>
          <w:p w14:paraId="488B6502" w14:textId="0D3AB9B4" w:rsidR="00906665" w:rsidRDefault="00637F6E" w:rsidP="00EF53E8">
            <w:pPr>
              <w:tabs>
                <w:tab w:val="decimal" w:pos="35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1" w:type="dxa"/>
            <w:tcBorders>
              <w:top w:val="nil"/>
              <w:left w:val="nil"/>
              <w:bottom w:val="nil"/>
              <w:right w:val="nil"/>
            </w:tcBorders>
          </w:tcPr>
          <w:p w14:paraId="26AECBF4" w14:textId="5DDC2049" w:rsidR="00906665" w:rsidRDefault="009679A5" w:rsidP="00EF53E8">
            <w:pPr>
              <w:tabs>
                <w:tab w:val="decimal" w:pos="35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AD31B65" w14:textId="6C1DDFD2"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17**</w:t>
            </w:r>
          </w:p>
        </w:tc>
        <w:tc>
          <w:tcPr>
            <w:tcW w:w="1201" w:type="dxa"/>
            <w:tcBorders>
              <w:top w:val="nil"/>
              <w:left w:val="nil"/>
              <w:bottom w:val="nil"/>
              <w:right w:val="nil"/>
            </w:tcBorders>
          </w:tcPr>
          <w:p w14:paraId="2FCEBDAC" w14:textId="648C3E8E"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3" w:type="dxa"/>
            <w:gridSpan w:val="2"/>
            <w:tcBorders>
              <w:top w:val="nil"/>
              <w:left w:val="nil"/>
              <w:bottom w:val="nil"/>
              <w:right w:val="nil"/>
            </w:tcBorders>
          </w:tcPr>
          <w:p w14:paraId="294F2A01" w14:textId="1A14DB54" w:rsidR="00906665" w:rsidRDefault="002B009E" w:rsidP="00C75F91">
            <w:pPr>
              <w:tabs>
                <w:tab w:val="decimal" w:pos="260"/>
              </w:tabs>
              <w:rPr>
                <w:rFonts w:ascii="Times New Roman" w:hAnsi="Times New Roman" w:cs="Times New Roman"/>
              </w:rPr>
            </w:pPr>
            <w:r>
              <w:rPr>
                <w:rFonts w:ascii="Times New Roman" w:hAnsi="Times New Roman" w:cs="Times New Roman"/>
              </w:rPr>
              <w:t>0.4</w:t>
            </w:r>
            <w:r w:rsidR="008D1B3A">
              <w:rPr>
                <w:rFonts w:ascii="Times New Roman" w:hAnsi="Times New Roman" w:cs="Times New Roman"/>
              </w:rPr>
              <w:t>9</w:t>
            </w:r>
            <w:r>
              <w:rPr>
                <w:rFonts w:ascii="Times New Roman" w:hAnsi="Times New Roman" w:cs="Times New Roman"/>
              </w:rPr>
              <w:t>***</w:t>
            </w:r>
          </w:p>
        </w:tc>
        <w:tc>
          <w:tcPr>
            <w:tcW w:w="1201" w:type="dxa"/>
            <w:tcBorders>
              <w:top w:val="nil"/>
              <w:left w:val="nil"/>
              <w:bottom w:val="nil"/>
              <w:right w:val="nil"/>
            </w:tcBorders>
          </w:tcPr>
          <w:p w14:paraId="5D0B3CE2" w14:textId="6EB3D79B" w:rsidR="00906665" w:rsidRDefault="002B009E" w:rsidP="00C2077C">
            <w:pPr>
              <w:tabs>
                <w:tab w:val="decimal" w:pos="34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1" w:type="dxa"/>
            <w:tcBorders>
              <w:top w:val="nil"/>
              <w:left w:val="nil"/>
              <w:bottom w:val="nil"/>
              <w:right w:val="nil"/>
            </w:tcBorders>
          </w:tcPr>
          <w:p w14:paraId="06D08D78" w14:textId="5EB6AEA1" w:rsidR="00906665" w:rsidRDefault="0017449D" w:rsidP="00C2077C">
            <w:pPr>
              <w:tabs>
                <w:tab w:val="decimal" w:pos="370"/>
              </w:tabs>
              <w:rPr>
                <w:rFonts w:ascii="Times New Roman" w:hAnsi="Times New Roman" w:cs="Times New Roman"/>
              </w:rPr>
            </w:pPr>
            <w:r>
              <w:rPr>
                <w:rFonts w:ascii="Times New Roman" w:hAnsi="Times New Roman" w:cs="Times New Roman"/>
              </w:rPr>
              <w:t>0.05</w:t>
            </w:r>
          </w:p>
        </w:tc>
      </w:tr>
      <w:tr w:rsidR="00C75F91" w14:paraId="1709CD81" w14:textId="77777777" w:rsidTr="00457D3E">
        <w:tc>
          <w:tcPr>
            <w:tcW w:w="340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457D3E">
        <w:tc>
          <w:tcPr>
            <w:tcW w:w="340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1"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3" w:type="dxa"/>
            <w:gridSpan w:val="2"/>
            <w:tcBorders>
              <w:left w:val="nil"/>
              <w:bottom w:val="nil"/>
              <w:right w:val="nil"/>
            </w:tcBorders>
          </w:tcPr>
          <w:p w14:paraId="34DEFA42" w14:textId="03D6793D"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B6314E">
              <w:rPr>
                <w:rFonts w:ascii="Times New Roman" w:hAnsi="Times New Roman" w:cs="Times New Roman"/>
              </w:rPr>
              <w:t>5</w:t>
            </w:r>
          </w:p>
        </w:tc>
        <w:tc>
          <w:tcPr>
            <w:tcW w:w="1201" w:type="dxa"/>
            <w:tcBorders>
              <w:left w:val="nil"/>
              <w:bottom w:val="nil"/>
              <w:right w:val="nil"/>
            </w:tcBorders>
          </w:tcPr>
          <w:p w14:paraId="69337D4E" w14:textId="6535FC8E"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w:t>
            </w:r>
            <w:r w:rsidR="000522D7">
              <w:rPr>
                <w:rFonts w:ascii="Times New Roman" w:hAnsi="Times New Roman" w:cs="Times New Roman"/>
              </w:rPr>
              <w:t>1</w:t>
            </w:r>
          </w:p>
        </w:tc>
        <w:tc>
          <w:tcPr>
            <w:tcW w:w="1203" w:type="dxa"/>
            <w:gridSpan w:val="2"/>
            <w:tcBorders>
              <w:left w:val="nil"/>
              <w:bottom w:val="nil"/>
              <w:right w:val="nil"/>
            </w:tcBorders>
          </w:tcPr>
          <w:p w14:paraId="775B168A" w14:textId="1D136B0B"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0D5A5F">
              <w:rPr>
                <w:rFonts w:ascii="Times New Roman" w:hAnsi="Times New Roman" w:cs="Times New Roman"/>
              </w:rPr>
              <w:t>1</w:t>
            </w:r>
          </w:p>
        </w:tc>
        <w:tc>
          <w:tcPr>
            <w:tcW w:w="1201" w:type="dxa"/>
            <w:tcBorders>
              <w:left w:val="nil"/>
              <w:bottom w:val="nil"/>
              <w:right w:val="nil"/>
            </w:tcBorders>
          </w:tcPr>
          <w:p w14:paraId="7C7C99F9" w14:textId="57710B6F"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10</w:t>
            </w:r>
          </w:p>
        </w:tc>
        <w:tc>
          <w:tcPr>
            <w:tcW w:w="1203" w:type="dxa"/>
            <w:gridSpan w:val="2"/>
            <w:tcBorders>
              <w:left w:val="nil"/>
              <w:bottom w:val="nil"/>
              <w:right w:val="nil"/>
            </w:tcBorders>
          </w:tcPr>
          <w:p w14:paraId="532BF0BF" w14:textId="06F5769E"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5640C7">
              <w:rPr>
                <w:rFonts w:ascii="Times New Roman" w:hAnsi="Times New Roman" w:cs="Times New Roman"/>
              </w:rPr>
              <w:t>4</w:t>
            </w:r>
          </w:p>
        </w:tc>
        <w:tc>
          <w:tcPr>
            <w:tcW w:w="1201" w:type="dxa"/>
            <w:tcBorders>
              <w:left w:val="nil"/>
              <w:bottom w:val="nil"/>
              <w:right w:val="nil"/>
            </w:tcBorders>
          </w:tcPr>
          <w:p w14:paraId="57BFC300" w14:textId="52460567"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5640C7">
              <w:rPr>
                <w:rFonts w:ascii="Times New Roman" w:hAnsi="Times New Roman" w:cs="Times New Roman"/>
              </w:rPr>
              <w:t>9</w:t>
            </w:r>
          </w:p>
        </w:tc>
      </w:tr>
      <w:tr w:rsidR="00C75F91" w14:paraId="51BEC912" w14:textId="77777777" w:rsidTr="00457D3E">
        <w:tc>
          <w:tcPr>
            <w:tcW w:w="3400"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32"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1" w:type="dxa"/>
            <w:tcBorders>
              <w:top w:val="nil"/>
              <w:left w:val="nil"/>
              <w:bottom w:val="single" w:sz="4" w:space="0" w:color="auto"/>
              <w:right w:val="nil"/>
            </w:tcBorders>
          </w:tcPr>
          <w:p w14:paraId="4C18EDE0" w14:textId="3162405D"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w:t>
            </w:r>
            <w:r w:rsidR="000D3114">
              <w:rPr>
                <w:rFonts w:ascii="Times New Roman" w:hAnsi="Times New Roman" w:cs="Times New Roman"/>
              </w:rPr>
              <w:t>7</w:t>
            </w:r>
          </w:p>
        </w:tc>
        <w:tc>
          <w:tcPr>
            <w:tcW w:w="1203" w:type="dxa"/>
            <w:gridSpan w:val="2"/>
            <w:tcBorders>
              <w:top w:val="nil"/>
              <w:left w:val="nil"/>
              <w:bottom w:val="single" w:sz="4" w:space="0" w:color="auto"/>
              <w:right w:val="nil"/>
            </w:tcBorders>
          </w:tcPr>
          <w:p w14:paraId="736A8509" w14:textId="065D06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62</w:t>
            </w:r>
          </w:p>
        </w:tc>
        <w:tc>
          <w:tcPr>
            <w:tcW w:w="1201" w:type="dxa"/>
            <w:tcBorders>
              <w:top w:val="nil"/>
              <w:left w:val="nil"/>
              <w:bottom w:val="single" w:sz="4" w:space="0" w:color="auto"/>
              <w:right w:val="nil"/>
            </w:tcBorders>
          </w:tcPr>
          <w:p w14:paraId="587EA23B" w14:textId="04F5E5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27</w:t>
            </w:r>
          </w:p>
        </w:tc>
        <w:tc>
          <w:tcPr>
            <w:tcW w:w="1203" w:type="dxa"/>
            <w:gridSpan w:val="2"/>
            <w:tcBorders>
              <w:top w:val="nil"/>
              <w:left w:val="nil"/>
              <w:bottom w:val="single" w:sz="4" w:space="0" w:color="auto"/>
              <w:right w:val="nil"/>
            </w:tcBorders>
          </w:tcPr>
          <w:p w14:paraId="0D2283EF" w14:textId="2DB0B28B"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87</w:t>
            </w:r>
          </w:p>
        </w:tc>
        <w:tc>
          <w:tcPr>
            <w:tcW w:w="1201" w:type="dxa"/>
            <w:tcBorders>
              <w:top w:val="nil"/>
              <w:left w:val="nil"/>
              <w:bottom w:val="single" w:sz="4" w:space="0" w:color="auto"/>
              <w:right w:val="nil"/>
            </w:tcBorders>
          </w:tcPr>
          <w:p w14:paraId="002C1AC8" w14:textId="45B8AFDA"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93</w:t>
            </w:r>
          </w:p>
        </w:tc>
        <w:tc>
          <w:tcPr>
            <w:tcW w:w="1203" w:type="dxa"/>
            <w:gridSpan w:val="2"/>
            <w:tcBorders>
              <w:top w:val="nil"/>
              <w:left w:val="nil"/>
              <w:bottom w:val="single" w:sz="4" w:space="0" w:color="auto"/>
              <w:right w:val="nil"/>
            </w:tcBorders>
          </w:tcPr>
          <w:p w14:paraId="370C0B8D" w14:textId="3AD2880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29</w:t>
            </w:r>
          </w:p>
        </w:tc>
        <w:tc>
          <w:tcPr>
            <w:tcW w:w="1201" w:type="dxa"/>
            <w:tcBorders>
              <w:top w:val="nil"/>
              <w:left w:val="nil"/>
              <w:bottom w:val="single" w:sz="4" w:space="0" w:color="auto"/>
              <w:right w:val="nil"/>
            </w:tcBorders>
          </w:tcPr>
          <w:p w14:paraId="6423F019" w14:textId="4E81151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14</w:t>
            </w:r>
          </w:p>
        </w:tc>
      </w:tr>
      <w:tr w:rsidR="00C75F91" w14:paraId="5705FC0F" w14:textId="77777777" w:rsidTr="00457D3E">
        <w:tc>
          <w:tcPr>
            <w:tcW w:w="340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3"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0"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8"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6"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457D3E">
        <w:tc>
          <w:tcPr>
            <w:tcW w:w="340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33"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4" w:type="dxa"/>
            <w:gridSpan w:val="3"/>
            <w:tcBorders>
              <w:left w:val="nil"/>
              <w:bottom w:val="nil"/>
              <w:right w:val="nil"/>
            </w:tcBorders>
          </w:tcPr>
          <w:p w14:paraId="24F76AA0" w14:textId="572F02AA" w:rsidR="00B663FD" w:rsidRDefault="00B663FD" w:rsidP="00B663FD">
            <w:pPr>
              <w:jc w:val="center"/>
              <w:rPr>
                <w:rFonts w:ascii="Times New Roman" w:hAnsi="Times New Roman" w:cs="Times New Roman"/>
              </w:rPr>
            </w:pPr>
            <w:r>
              <w:rPr>
                <w:rFonts w:ascii="Times New Roman" w:hAnsi="Times New Roman" w:cs="Times New Roman"/>
              </w:rPr>
              <w:t>.0</w:t>
            </w:r>
            <w:r w:rsidR="00457D3E">
              <w:rPr>
                <w:rFonts w:ascii="Times New Roman" w:hAnsi="Times New Roman" w:cs="Times New Roman"/>
              </w:rPr>
              <w:t>3</w:t>
            </w:r>
          </w:p>
        </w:tc>
        <w:tc>
          <w:tcPr>
            <w:tcW w:w="2404" w:type="dxa"/>
            <w:gridSpan w:val="3"/>
            <w:tcBorders>
              <w:left w:val="nil"/>
              <w:bottom w:val="nil"/>
              <w:right w:val="nil"/>
            </w:tcBorders>
          </w:tcPr>
          <w:p w14:paraId="30E4FEE2" w14:textId="2DD42F3F" w:rsidR="00B663FD" w:rsidRDefault="00B663FD" w:rsidP="00B663FD">
            <w:pPr>
              <w:jc w:val="center"/>
              <w:rPr>
                <w:rFonts w:ascii="Times New Roman" w:hAnsi="Times New Roman" w:cs="Times New Roman"/>
              </w:rPr>
            </w:pPr>
            <w:r>
              <w:rPr>
                <w:rFonts w:ascii="Times New Roman" w:hAnsi="Times New Roman" w:cs="Times New Roman"/>
              </w:rPr>
              <w:t>.0</w:t>
            </w:r>
            <w:r w:rsidR="002E1A2A">
              <w:rPr>
                <w:rFonts w:ascii="Times New Roman" w:hAnsi="Times New Roman" w:cs="Times New Roman"/>
              </w:rPr>
              <w:t>1</w:t>
            </w:r>
          </w:p>
        </w:tc>
        <w:tc>
          <w:tcPr>
            <w:tcW w:w="2404" w:type="dxa"/>
            <w:gridSpan w:val="3"/>
            <w:tcBorders>
              <w:left w:val="nil"/>
              <w:bottom w:val="nil"/>
              <w:right w:val="nil"/>
            </w:tcBorders>
          </w:tcPr>
          <w:p w14:paraId="5D68D1F5" w14:textId="2C4BD447" w:rsidR="00B663FD" w:rsidRDefault="00B663FD" w:rsidP="00B663FD">
            <w:pPr>
              <w:jc w:val="center"/>
              <w:rPr>
                <w:rFonts w:ascii="Times New Roman" w:hAnsi="Times New Roman" w:cs="Times New Roman"/>
              </w:rPr>
            </w:pPr>
            <w:r>
              <w:rPr>
                <w:rFonts w:ascii="Times New Roman" w:hAnsi="Times New Roman" w:cs="Times New Roman"/>
              </w:rPr>
              <w:t>.0</w:t>
            </w:r>
            <w:r w:rsidR="00A8510C">
              <w:rPr>
                <w:rFonts w:ascii="Times New Roman" w:hAnsi="Times New Roman" w:cs="Times New Roman"/>
              </w:rPr>
              <w:t>3</w:t>
            </w:r>
          </w:p>
        </w:tc>
      </w:tr>
      <w:tr w:rsidR="00C75F91" w14:paraId="5758C1C8" w14:textId="77777777" w:rsidTr="00457D3E">
        <w:tc>
          <w:tcPr>
            <w:tcW w:w="340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33" w:type="dxa"/>
            <w:gridSpan w:val="3"/>
            <w:tcBorders>
              <w:top w:val="nil"/>
              <w:left w:val="nil"/>
              <w:bottom w:val="nil"/>
              <w:right w:val="nil"/>
            </w:tcBorders>
          </w:tcPr>
          <w:p w14:paraId="63777606" w14:textId="29D5FEF1" w:rsidR="00B663FD" w:rsidRDefault="00B663FD" w:rsidP="00B663FD">
            <w:pPr>
              <w:jc w:val="center"/>
              <w:rPr>
                <w:rFonts w:ascii="Times New Roman" w:hAnsi="Times New Roman" w:cs="Times New Roman"/>
              </w:rPr>
            </w:pPr>
            <w:r>
              <w:rPr>
                <w:rFonts w:ascii="Times New Roman" w:hAnsi="Times New Roman" w:cs="Times New Roman"/>
              </w:rPr>
              <w:t>-3,0</w:t>
            </w:r>
            <w:r w:rsidR="00373193">
              <w:rPr>
                <w:rFonts w:ascii="Times New Roman" w:hAnsi="Times New Roman" w:cs="Times New Roman"/>
              </w:rPr>
              <w:t>72</w:t>
            </w:r>
            <w:r>
              <w:rPr>
                <w:rFonts w:ascii="Times New Roman" w:hAnsi="Times New Roman" w:cs="Times New Roman"/>
              </w:rPr>
              <w:t>.</w:t>
            </w:r>
            <w:r w:rsidR="00373193">
              <w:rPr>
                <w:rFonts w:ascii="Times New Roman" w:hAnsi="Times New Roman" w:cs="Times New Roman"/>
              </w:rPr>
              <w:t>13</w:t>
            </w:r>
          </w:p>
        </w:tc>
        <w:tc>
          <w:tcPr>
            <w:tcW w:w="2404" w:type="dxa"/>
            <w:gridSpan w:val="3"/>
            <w:tcBorders>
              <w:top w:val="nil"/>
              <w:left w:val="nil"/>
              <w:bottom w:val="nil"/>
              <w:right w:val="nil"/>
            </w:tcBorders>
          </w:tcPr>
          <w:p w14:paraId="510DF99D" w14:textId="21B532A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57.31</w:t>
            </w:r>
          </w:p>
        </w:tc>
        <w:tc>
          <w:tcPr>
            <w:tcW w:w="2404" w:type="dxa"/>
            <w:gridSpan w:val="3"/>
            <w:tcBorders>
              <w:top w:val="nil"/>
              <w:left w:val="nil"/>
              <w:bottom w:val="nil"/>
              <w:right w:val="nil"/>
            </w:tcBorders>
          </w:tcPr>
          <w:p w14:paraId="1A757869" w14:textId="55DB2228" w:rsidR="00B663FD" w:rsidRDefault="00B663FD" w:rsidP="00B663FD">
            <w:pPr>
              <w:jc w:val="center"/>
              <w:rPr>
                <w:rFonts w:ascii="Times New Roman" w:hAnsi="Times New Roman" w:cs="Times New Roman"/>
              </w:rPr>
            </w:pPr>
            <w:r>
              <w:rPr>
                <w:rFonts w:ascii="Times New Roman" w:hAnsi="Times New Roman" w:cs="Times New Roman"/>
              </w:rPr>
              <w:t>-2,</w:t>
            </w:r>
            <w:r w:rsidR="002E1A2A">
              <w:rPr>
                <w:rFonts w:ascii="Times New Roman" w:hAnsi="Times New Roman" w:cs="Times New Roman"/>
              </w:rPr>
              <w:t>981.82</w:t>
            </w:r>
          </w:p>
        </w:tc>
        <w:tc>
          <w:tcPr>
            <w:tcW w:w="2404" w:type="dxa"/>
            <w:gridSpan w:val="3"/>
            <w:tcBorders>
              <w:top w:val="nil"/>
              <w:left w:val="nil"/>
              <w:bottom w:val="nil"/>
              <w:right w:val="nil"/>
            </w:tcBorders>
          </w:tcPr>
          <w:p w14:paraId="369D9B3A" w14:textId="413276EC"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340.08</w:t>
            </w:r>
          </w:p>
        </w:tc>
      </w:tr>
      <w:tr w:rsidR="00C75F91" w14:paraId="5C20A324" w14:textId="77777777" w:rsidTr="00457D3E">
        <w:tc>
          <w:tcPr>
            <w:tcW w:w="340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33" w:type="dxa"/>
            <w:gridSpan w:val="3"/>
            <w:tcBorders>
              <w:top w:val="nil"/>
              <w:left w:val="nil"/>
              <w:bottom w:val="single" w:sz="4" w:space="0" w:color="auto"/>
              <w:right w:val="nil"/>
            </w:tcBorders>
          </w:tcPr>
          <w:p w14:paraId="3E6E334E" w14:textId="7B1D47AF" w:rsidR="00B663FD" w:rsidRDefault="00B663FD" w:rsidP="00B663FD">
            <w:pPr>
              <w:jc w:val="center"/>
              <w:rPr>
                <w:rFonts w:ascii="Times New Roman" w:hAnsi="Times New Roman" w:cs="Times New Roman"/>
              </w:rPr>
            </w:pPr>
            <w:r>
              <w:rPr>
                <w:rFonts w:ascii="Times New Roman" w:hAnsi="Times New Roman" w:cs="Times New Roman"/>
              </w:rPr>
              <w:t>.2</w:t>
            </w:r>
            <w:r w:rsidR="000D3114">
              <w:rPr>
                <w:rFonts w:ascii="Times New Roman" w:hAnsi="Times New Roman" w:cs="Times New Roman"/>
              </w:rPr>
              <w:t>2</w:t>
            </w:r>
          </w:p>
        </w:tc>
        <w:tc>
          <w:tcPr>
            <w:tcW w:w="2404" w:type="dxa"/>
            <w:gridSpan w:val="3"/>
            <w:tcBorders>
              <w:top w:val="nil"/>
              <w:left w:val="nil"/>
              <w:bottom w:val="single" w:sz="4" w:space="0" w:color="auto"/>
              <w:right w:val="nil"/>
            </w:tcBorders>
          </w:tcPr>
          <w:p w14:paraId="06CBC452" w14:textId="06B1AD0B" w:rsidR="00B663FD" w:rsidRDefault="00B663FD" w:rsidP="00B663FD">
            <w:pPr>
              <w:jc w:val="center"/>
              <w:rPr>
                <w:rFonts w:ascii="Times New Roman" w:hAnsi="Times New Roman" w:cs="Times New Roman"/>
              </w:rPr>
            </w:pPr>
            <w:r>
              <w:rPr>
                <w:rFonts w:ascii="Times New Roman" w:hAnsi="Times New Roman" w:cs="Times New Roman"/>
              </w:rPr>
              <w:t>.1</w:t>
            </w:r>
            <w:r w:rsidR="00457D3E">
              <w:rPr>
                <w:rFonts w:ascii="Times New Roman" w:hAnsi="Times New Roman" w:cs="Times New Roman"/>
              </w:rPr>
              <w:t>0</w:t>
            </w:r>
          </w:p>
        </w:tc>
        <w:tc>
          <w:tcPr>
            <w:tcW w:w="2404" w:type="dxa"/>
            <w:gridSpan w:val="3"/>
            <w:tcBorders>
              <w:top w:val="nil"/>
              <w:left w:val="nil"/>
              <w:bottom w:val="single" w:sz="4" w:space="0" w:color="auto"/>
              <w:right w:val="nil"/>
            </w:tcBorders>
          </w:tcPr>
          <w:p w14:paraId="2D1E9035" w14:textId="55E1ECB3" w:rsidR="00B663FD" w:rsidRDefault="00B663FD" w:rsidP="00B663FD">
            <w:pPr>
              <w:jc w:val="center"/>
              <w:rPr>
                <w:rFonts w:ascii="Times New Roman" w:hAnsi="Times New Roman" w:cs="Times New Roman"/>
              </w:rPr>
            </w:pPr>
            <w:r>
              <w:rPr>
                <w:rFonts w:ascii="Times New Roman" w:hAnsi="Times New Roman" w:cs="Times New Roman"/>
              </w:rPr>
              <w:t>.</w:t>
            </w:r>
            <w:r w:rsidR="002E1A2A">
              <w:rPr>
                <w:rFonts w:ascii="Times New Roman" w:hAnsi="Times New Roman" w:cs="Times New Roman"/>
              </w:rPr>
              <w:t>50</w:t>
            </w:r>
          </w:p>
        </w:tc>
        <w:tc>
          <w:tcPr>
            <w:tcW w:w="2404" w:type="dxa"/>
            <w:gridSpan w:val="3"/>
            <w:tcBorders>
              <w:top w:val="nil"/>
              <w:left w:val="nil"/>
              <w:bottom w:val="single" w:sz="4" w:space="0" w:color="auto"/>
              <w:right w:val="nil"/>
            </w:tcBorders>
          </w:tcPr>
          <w:p w14:paraId="75A1D2CB" w14:textId="6E24EABE" w:rsidR="00B663FD" w:rsidRDefault="00B663FD" w:rsidP="00B663FD">
            <w:pPr>
              <w:jc w:val="center"/>
              <w:rPr>
                <w:rFonts w:ascii="Times New Roman" w:hAnsi="Times New Roman" w:cs="Times New Roman"/>
              </w:rPr>
            </w:pPr>
            <w:r>
              <w:rPr>
                <w:rFonts w:ascii="Times New Roman" w:hAnsi="Times New Roman" w:cs="Times New Roman"/>
              </w:rPr>
              <w:t>.1</w:t>
            </w:r>
            <w:r w:rsidR="004B512B">
              <w:rPr>
                <w:rFonts w:ascii="Times New Roman" w:hAnsi="Times New Roman" w:cs="Times New Roman"/>
              </w:rPr>
              <w:t>0</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A0034CE"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w:t>
            </w:r>
            <w:r w:rsidR="00906EC6">
              <w:rPr>
                <w:rFonts w:ascii="Times New Roman" w:hAnsi="Times New Roman" w:cs="Times New Roman"/>
              </w:rPr>
              <w:t>8</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3A4EC0D3"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906EC6">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F8DAE0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38733D14" w:rsidR="004B11FA" w:rsidRDefault="00906EC6" w:rsidP="00D72260">
            <w:pPr>
              <w:tabs>
                <w:tab w:val="decimal" w:pos="526"/>
              </w:tabs>
              <w:rPr>
                <w:rFonts w:ascii="Times New Roman" w:hAnsi="Times New Roman" w:cs="Times New Roman"/>
              </w:rPr>
            </w:pPr>
            <w:r>
              <w:rPr>
                <w:rFonts w:ascii="Times New Roman" w:hAnsi="Times New Roman" w:cs="Times New Roman"/>
              </w:rPr>
              <w:t>-</w:t>
            </w:r>
            <w:r w:rsidR="004B11FA">
              <w:rPr>
                <w:rFonts w:ascii="Times New Roman" w:hAnsi="Times New Roman" w:cs="Times New Roman"/>
              </w:rPr>
              <w:t>0.1</w:t>
            </w:r>
            <w:r>
              <w:rPr>
                <w:rFonts w:ascii="Times New Roman" w:hAnsi="Times New Roman" w:cs="Times New Roman"/>
              </w:rPr>
              <w:t>2</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64BA0256"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w:t>
            </w:r>
            <w:r w:rsidR="00606B7F">
              <w:rPr>
                <w:rFonts w:ascii="Times New Roman" w:hAnsi="Times New Roman" w:cs="Times New Roman"/>
              </w:rPr>
              <w:t>1</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3458AE4D"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w:t>
            </w:r>
            <w:r w:rsidR="00906EC6">
              <w:rPr>
                <w:rFonts w:ascii="Times New Roman" w:hAnsi="Times New Roman" w:cs="Times New Roman"/>
              </w:rPr>
              <w:t>8</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75938367"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22A411B3"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6</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5C92616F"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0A28373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w:t>
            </w:r>
            <w:r w:rsidR="00606B7F">
              <w:rPr>
                <w:rFonts w:ascii="Times New Roman" w:hAnsi="Times New Roman" w:cs="Times New Roman"/>
              </w:rPr>
              <w:t>30</w:t>
            </w:r>
            <w:r w:rsidR="00675359">
              <w:rPr>
                <w:rFonts w:ascii="Times New Roman" w:hAnsi="Times New Roman" w:cs="Times New Roman"/>
              </w:rPr>
              <w:t>*</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4BF5A2EB"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9563FE">
              <w:rPr>
                <w:rFonts w:ascii="Times New Roman" w:hAnsi="Times New Roman" w:cs="Times New Roman"/>
              </w:rPr>
              <w:t>69</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82A11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769E9E45"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2C3552F0"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06B7F">
              <w:rPr>
                <w:rFonts w:ascii="Times New Roman" w:hAnsi="Times New Roman" w:cs="Times New Roman"/>
              </w:rPr>
              <w:t>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0A1BC14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w:t>
            </w:r>
            <w:r w:rsidR="009563FE">
              <w:rPr>
                <w:rFonts w:ascii="Times New Roman" w:hAnsi="Times New Roman" w:cs="Times New Roman"/>
              </w:rPr>
              <w:t>6</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1A7CF6E5" w:rsidR="004B11FA" w:rsidRDefault="005F48D5" w:rsidP="00D72260">
            <w:pPr>
              <w:tabs>
                <w:tab w:val="decimal" w:pos="526"/>
              </w:tabs>
              <w:rPr>
                <w:rFonts w:ascii="Times New Roman" w:hAnsi="Times New Roman" w:cs="Times New Roman"/>
              </w:rPr>
            </w:pPr>
            <w:r>
              <w:rPr>
                <w:rFonts w:ascii="Times New Roman" w:hAnsi="Times New Roman" w:cs="Times New Roman"/>
              </w:rPr>
              <w:t>0.</w:t>
            </w:r>
            <w:r w:rsidR="00EB44AA">
              <w:rPr>
                <w:rFonts w:ascii="Times New Roman" w:hAnsi="Times New Roman" w:cs="Times New Roman"/>
              </w:rPr>
              <w:t>72</w:t>
            </w:r>
            <w:r>
              <w:rPr>
                <w:rFonts w:ascii="Times New Roman" w:hAnsi="Times New Roman" w:cs="Times New Roman"/>
              </w:rPr>
              <w:t>*</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46E8E7DD"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31</w:t>
            </w:r>
          </w:p>
        </w:tc>
        <w:tc>
          <w:tcPr>
            <w:tcW w:w="1440" w:type="dxa"/>
            <w:gridSpan w:val="2"/>
            <w:tcBorders>
              <w:left w:val="nil"/>
              <w:bottom w:val="nil"/>
              <w:right w:val="nil"/>
            </w:tcBorders>
          </w:tcPr>
          <w:p w14:paraId="41B572EC" w14:textId="4561DB48" w:rsidR="004B11FA" w:rsidRDefault="00A15DF1" w:rsidP="00A15DF1">
            <w:pPr>
              <w:tabs>
                <w:tab w:val="decimal" w:pos="526"/>
              </w:tabs>
              <w:rPr>
                <w:rFonts w:ascii="Times New Roman" w:hAnsi="Times New Roman" w:cs="Times New Roman"/>
              </w:rPr>
            </w:pPr>
            <w:r>
              <w:rPr>
                <w:rFonts w:ascii="Times New Roman" w:hAnsi="Times New Roman" w:cs="Times New Roman"/>
              </w:rPr>
              <w:t>0.2</w:t>
            </w:r>
            <w:r w:rsidR="00606B7F">
              <w:rPr>
                <w:rFonts w:ascii="Times New Roman" w:hAnsi="Times New Roman" w:cs="Times New Roman"/>
              </w:rPr>
              <w:t>3</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3A3F556F" w:rsidR="004B11FA" w:rsidRDefault="005F48D5"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0</w:t>
            </w:r>
          </w:p>
        </w:tc>
        <w:tc>
          <w:tcPr>
            <w:tcW w:w="1440" w:type="dxa"/>
            <w:tcBorders>
              <w:top w:val="nil"/>
              <w:left w:val="nil"/>
              <w:bottom w:val="single" w:sz="4" w:space="0" w:color="auto"/>
              <w:right w:val="nil"/>
            </w:tcBorders>
          </w:tcPr>
          <w:p w14:paraId="4F69C2C1" w14:textId="15094027"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1</w:t>
            </w:r>
          </w:p>
        </w:tc>
        <w:tc>
          <w:tcPr>
            <w:tcW w:w="1440" w:type="dxa"/>
            <w:gridSpan w:val="3"/>
            <w:tcBorders>
              <w:top w:val="nil"/>
              <w:left w:val="nil"/>
              <w:bottom w:val="single" w:sz="4" w:space="0" w:color="auto"/>
              <w:right w:val="nil"/>
            </w:tcBorders>
          </w:tcPr>
          <w:p w14:paraId="68BE0D52" w14:textId="2F052DE6"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11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033B12A0"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0A0751">
              <w:rPr>
                <w:rFonts w:ascii="Times New Roman" w:hAnsi="Times New Roman" w:cs="Times New Roman"/>
              </w:rPr>
              <w:t>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6E01D91C" w:rsidR="00630308" w:rsidRDefault="00167CA4" w:rsidP="00486F91">
            <w:pPr>
              <w:jc w:val="center"/>
              <w:rPr>
                <w:rFonts w:ascii="Times New Roman" w:hAnsi="Times New Roman" w:cs="Times New Roman"/>
              </w:rPr>
            </w:pPr>
            <w:r>
              <w:rPr>
                <w:rFonts w:ascii="Times New Roman" w:hAnsi="Times New Roman" w:cs="Times New Roman"/>
              </w:rPr>
              <w:t>1.6</w:t>
            </w:r>
            <w:r w:rsidR="00EE792A">
              <w:rPr>
                <w:rFonts w:ascii="Times New Roman" w:hAnsi="Times New Roman" w:cs="Times New Roman"/>
              </w:rPr>
              <w:t>3</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21103BF"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052897">
              <w:rPr>
                <w:rFonts w:ascii="Times New Roman" w:hAnsi="Times New Roman" w:cs="Times New Roman"/>
              </w:rPr>
              <w:t>33</w:t>
            </w:r>
          </w:p>
        </w:tc>
        <w:tc>
          <w:tcPr>
            <w:tcW w:w="2880" w:type="dxa"/>
            <w:gridSpan w:val="5"/>
            <w:tcBorders>
              <w:top w:val="nil"/>
              <w:left w:val="nil"/>
              <w:bottom w:val="nil"/>
              <w:right w:val="nil"/>
            </w:tcBorders>
          </w:tcPr>
          <w:p w14:paraId="2DDC84A3" w14:textId="25DB197B" w:rsidR="00261333" w:rsidRDefault="00261333" w:rsidP="00630308">
            <w:pPr>
              <w:jc w:val="center"/>
              <w:rPr>
                <w:rFonts w:ascii="Times New Roman" w:hAnsi="Times New Roman" w:cs="Times New Roman"/>
              </w:rPr>
            </w:pPr>
            <w:r w:rsidRPr="004B11FA">
              <w:rPr>
                <w:rFonts w:ascii="Times New Roman" w:hAnsi="Times New Roman" w:cs="Times New Roman"/>
              </w:rPr>
              <w:t>-1</w:t>
            </w:r>
            <w:r w:rsidR="000A0751">
              <w:rPr>
                <w:rFonts w:ascii="Times New Roman" w:hAnsi="Times New Roman" w:cs="Times New Roman"/>
              </w:rPr>
              <w:t>,</w:t>
            </w:r>
            <w:r w:rsidRPr="004B11FA">
              <w:rPr>
                <w:rFonts w:ascii="Times New Roman" w:hAnsi="Times New Roman" w:cs="Times New Roman"/>
              </w:rPr>
              <w:t>28</w:t>
            </w:r>
            <w:r w:rsidR="000A0751">
              <w:rPr>
                <w:rFonts w:ascii="Times New Roman" w:hAnsi="Times New Roman" w:cs="Times New Roman"/>
              </w:rPr>
              <w:t>5</w:t>
            </w:r>
            <w:r w:rsidRPr="004B11FA">
              <w:rPr>
                <w:rFonts w:ascii="Times New Roman" w:hAnsi="Times New Roman" w:cs="Times New Roman"/>
              </w:rPr>
              <w:t>.</w:t>
            </w:r>
            <w:r w:rsidR="000A0751">
              <w:rPr>
                <w:rFonts w:ascii="Times New Roman" w:hAnsi="Times New Roman" w:cs="Times New Roman"/>
              </w:rPr>
              <w:t>80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53D1E4E2" w:rsidR="00500F58" w:rsidRDefault="00500F58" w:rsidP="008E7B98">
      <w:pPr>
        <w:rPr>
          <w:rFonts w:ascii="Times New Roman" w:hAnsi="Times New Roman" w:cs="Times New Roman"/>
        </w:rPr>
      </w:pPr>
      <w:r>
        <w:rPr>
          <w:rFonts w:ascii="Times New Roman" w:hAnsi="Times New Roman" w:cs="Times New Roman"/>
        </w:rPr>
        <w:t>Figure 1</w:t>
      </w:r>
      <w:r w:rsidR="00BE6CFF">
        <w:rPr>
          <w:rFonts w:ascii="Times New Roman" w:hAnsi="Times New Roman" w:cs="Times New Roman"/>
        </w:rPr>
        <w:t>s</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291166B0" w:rsidR="00500F58" w:rsidRPr="00500F58" w:rsidRDefault="00963E97" w:rsidP="00963E97">
      <w:pPr>
        <w:jc w:val="center"/>
        <w:rPr>
          <w:rFonts w:ascii="Times New Roman" w:hAnsi="Times New Roman" w:cs="Times New Roman"/>
        </w:rPr>
      </w:pPr>
      <w:r w:rsidRPr="00963E97">
        <w:rPr>
          <w:rFonts w:ascii="Times New Roman" w:hAnsi="Times New Roman" w:cs="Times New Roman"/>
        </w:rPr>
        <w:drawing>
          <wp:inline distT="0" distB="0" distL="0" distR="0" wp14:anchorId="1B9D3FB0" wp14:editId="2C24FD2F">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265C7992" w14:textId="77777777" w:rsidR="00BD32BE" w:rsidRDefault="00322D11" w:rsidP="00BD32BE">
      <w:pPr>
        <w:rPr>
          <w:rFonts w:ascii="Times New Roman" w:hAnsi="Times New Roman" w:cs="Times New Roman"/>
          <w:noProof/>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r w:rsidR="00A458C1">
        <w:rPr>
          <w:rFonts w:ascii="Times New Roman" w:hAnsi="Times New Roman" w:cs="Times New Roman"/>
          <w:i/>
          <w:iCs/>
        </w:rPr>
        <w:t>.</w:t>
      </w:r>
      <w:r w:rsidR="00BD32BE" w:rsidRPr="00BD32BE">
        <w:rPr>
          <w:rFonts w:ascii="Times New Roman" w:hAnsi="Times New Roman" w:cs="Times New Roman"/>
          <w:noProof/>
        </w:rPr>
        <w:t xml:space="preserve"> </w:t>
      </w:r>
    </w:p>
    <w:p w14:paraId="51C34C8D" w14:textId="11A5F2B3" w:rsidR="00322D11" w:rsidRPr="00BD32BE" w:rsidRDefault="00BD32BE" w:rsidP="00BD32BE">
      <w:pPr>
        <w:jc w:val="center"/>
        <w:rPr>
          <w:rFonts w:ascii="Times New Roman" w:hAnsi="Times New Roman" w:cs="Times New Roman"/>
          <w:i/>
          <w:iCs/>
        </w:rPr>
      </w:pPr>
      <w:r>
        <w:rPr>
          <w:rFonts w:ascii="Times New Roman" w:hAnsi="Times New Roman" w:cs="Times New Roman"/>
          <w:noProof/>
        </w:rPr>
        <w:drawing>
          <wp:inline distT="0" distB="0" distL="0" distR="0" wp14:anchorId="55997EB9" wp14:editId="1C234F4D">
            <wp:extent cx="4449704" cy="4004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53148" cy="4007833"/>
                    </a:xfrm>
                    <a:prstGeom prst="rect">
                      <a:avLst/>
                    </a:prstGeom>
                  </pic:spPr>
                </pic:pic>
              </a:graphicData>
            </a:graphic>
          </wp:inline>
        </w:drawing>
      </w:r>
      <w:r w:rsidR="00322D11">
        <w:rPr>
          <w:rFonts w:ascii="Times New Roman" w:hAnsi="Times New Roman" w:cs="Times New Roman"/>
        </w:rPr>
        <w:br w:type="page"/>
      </w:r>
    </w:p>
    <w:p w14:paraId="0C265B64" w14:textId="685D48BA"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23DC94F9"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r w:rsidRPr="00945AED">
        <w:rPr>
          <w:rFonts w:ascii="Times New Roman" w:hAnsi="Times New Roman" w:cs="Times New Roman"/>
          <w:i/>
          <w:iCs/>
        </w:rPr>
        <w:t>.</w:t>
      </w:r>
    </w:p>
    <w:p w14:paraId="58908085" w14:textId="77777777" w:rsidR="00945AED" w:rsidRDefault="00945AED" w:rsidP="008E7B98">
      <w:pPr>
        <w:rPr>
          <w:rFonts w:ascii="Times New Roman" w:hAnsi="Times New Roman" w:cs="Times New Roman"/>
          <w:i/>
          <w:iCs/>
        </w:rPr>
      </w:pPr>
    </w:p>
    <w:p w14:paraId="5BE23267" w14:textId="6385D8FE" w:rsidR="007F185C" w:rsidRDefault="00B318B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0E276DF" wp14:editId="12108A0D">
            <wp:extent cx="4919134" cy="4919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4921363" cy="4921363"/>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77777777" w:rsidR="00156A25" w:rsidRDefault="00156A25"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13EB9137"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156A25">
        <w:rPr>
          <w:rFonts w:ascii="Times New Roman" w:hAnsi="Times New Roman" w:cs="Times New Roman"/>
          <w:i/>
          <w:iCs/>
        </w:rPr>
        <w:t>Between</w:t>
      </w:r>
      <w:r>
        <w:rPr>
          <w:rFonts w:ascii="Times New Roman" w:hAnsi="Times New Roman" w:cs="Times New Roman"/>
          <w:i/>
          <w:iCs/>
        </w:rPr>
        <w:t xml:space="preserve"> </w:t>
      </w:r>
      <w:r w:rsidR="00156A25">
        <w:rPr>
          <w:rFonts w:ascii="Times New Roman" w:hAnsi="Times New Roman" w:cs="Times New Roman"/>
          <w:i/>
          <w:iCs/>
        </w:rPr>
        <w:t>I</w:t>
      </w:r>
      <w:r>
        <w:rPr>
          <w:rFonts w:ascii="Times New Roman" w:hAnsi="Times New Roman" w:cs="Times New Roman"/>
          <w:i/>
          <w:iCs/>
        </w:rPr>
        <w:t xml:space="preserve">ncidentally and </w:t>
      </w:r>
      <w:r w:rsidR="00156A25">
        <w:rPr>
          <w:rFonts w:ascii="Times New Roman" w:hAnsi="Times New Roman" w:cs="Times New Roman"/>
          <w:i/>
          <w:iCs/>
        </w:rPr>
        <w:t>P</w:t>
      </w:r>
      <w:r>
        <w:rPr>
          <w:rFonts w:ascii="Times New Roman" w:hAnsi="Times New Roman" w:cs="Times New Roman"/>
          <w:i/>
          <w:iCs/>
        </w:rPr>
        <w:t xml:space="preserve">urposefully </w:t>
      </w:r>
      <w:r w:rsidR="00156A25">
        <w:rPr>
          <w:rFonts w:ascii="Times New Roman" w:hAnsi="Times New Roman" w:cs="Times New Roman"/>
          <w:i/>
          <w:iCs/>
        </w:rPr>
        <w:t>E</w:t>
      </w:r>
      <w:r>
        <w:rPr>
          <w:rFonts w:ascii="Times New Roman" w:hAnsi="Times New Roman" w:cs="Times New Roman"/>
          <w:i/>
          <w:iCs/>
        </w:rPr>
        <w:t xml:space="preserve">xposed in </w:t>
      </w:r>
      <w:r w:rsidR="00156A25">
        <w:rPr>
          <w:rFonts w:ascii="Times New Roman" w:hAnsi="Times New Roman" w:cs="Times New Roman"/>
          <w:i/>
          <w:iCs/>
        </w:rPr>
        <w:t>N</w:t>
      </w:r>
      <w:r>
        <w:rPr>
          <w:rFonts w:ascii="Times New Roman" w:hAnsi="Times New Roman" w:cs="Times New Roman"/>
          <w:i/>
          <w:iCs/>
        </w:rPr>
        <w:t xml:space="preserve">ews </w:t>
      </w:r>
      <w:r w:rsidR="00156A25">
        <w:rPr>
          <w:rFonts w:ascii="Times New Roman" w:hAnsi="Times New Roman" w:cs="Times New Roman"/>
          <w:i/>
          <w:iCs/>
        </w:rPr>
        <w:t>E</w:t>
      </w:r>
      <w:r>
        <w:rPr>
          <w:rFonts w:ascii="Times New Roman" w:hAnsi="Times New Roman" w:cs="Times New Roman"/>
          <w:i/>
          <w:iCs/>
        </w:rPr>
        <w:t xml:space="preserve">ngagement by </w:t>
      </w:r>
      <w:r w:rsidR="00156A25">
        <w:rPr>
          <w:rFonts w:ascii="Times New Roman" w:hAnsi="Times New Roman" w:cs="Times New Roman"/>
          <w:i/>
          <w:iCs/>
        </w:rPr>
        <w:t>L</w:t>
      </w:r>
      <w:r>
        <w:rPr>
          <w:rFonts w:ascii="Times New Roman" w:hAnsi="Times New Roman" w:cs="Times New Roman"/>
          <w:i/>
          <w:iCs/>
        </w:rPr>
        <w:t xml:space="preserve">evel of </w:t>
      </w:r>
      <w:r w:rsidR="00156A25">
        <w:rPr>
          <w:rFonts w:ascii="Times New Roman" w:hAnsi="Times New Roman" w:cs="Times New Roman"/>
          <w:i/>
          <w:iCs/>
        </w:rPr>
        <w:t>Attraction</w:t>
      </w:r>
      <w:r>
        <w:rPr>
          <w:rFonts w:ascii="Times New Roman" w:hAnsi="Times New Roman" w:cs="Times New Roman"/>
          <w:i/>
          <w:iCs/>
        </w:rPr>
        <w:t>.</w:t>
      </w:r>
    </w:p>
    <w:p w14:paraId="154E95A1" w14:textId="02CEEBD4" w:rsidR="007F185C" w:rsidRDefault="007F185C" w:rsidP="008E7B98">
      <w:pPr>
        <w:rPr>
          <w:rFonts w:ascii="Times New Roman" w:hAnsi="Times New Roman" w:cs="Times New Roman"/>
          <w:i/>
          <w:iCs/>
        </w:rPr>
      </w:pPr>
    </w:p>
    <w:p w14:paraId="5739C92E" w14:textId="159BB9BC" w:rsidR="007F185C" w:rsidRPr="007F185C" w:rsidRDefault="007F185C" w:rsidP="00E24791">
      <w:pPr>
        <w:jc w:val="center"/>
        <w:rPr>
          <w:rFonts w:ascii="Times New Roman" w:hAnsi="Times New Roman" w:cs="Times New Roman"/>
        </w:rPr>
      </w:pPr>
    </w:p>
    <w:p w14:paraId="7ACCF4CE" w14:textId="7A744413" w:rsidR="007F185C"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59647474" wp14:editId="314E9D72">
            <wp:extent cx="4851400" cy="2985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72656" cy="2998557"/>
                    </a:xfrm>
                    <a:prstGeom prst="rect">
                      <a:avLst/>
                    </a:prstGeom>
                  </pic:spPr>
                </pic:pic>
              </a:graphicData>
            </a:graphic>
          </wp:inline>
        </w:drawing>
      </w: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2A6C5C55" w14:textId="0D5054C2"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w:t>
      </w:r>
      <w:r w:rsidR="00362646">
        <w:rPr>
          <w:rFonts w:ascii="Times New Roman" w:hAnsi="Times New Roman" w:cs="Times New Roman"/>
          <w:i/>
          <w:iCs/>
        </w:rPr>
        <w:t>B</w:t>
      </w:r>
      <w:r w:rsidRPr="00725945">
        <w:rPr>
          <w:rFonts w:ascii="Times New Roman" w:hAnsi="Times New Roman" w:cs="Times New Roman"/>
          <w:i/>
          <w:iCs/>
        </w:rPr>
        <w:t>etween</w:t>
      </w:r>
      <w:r w:rsidR="00362646">
        <w:rPr>
          <w:rFonts w:ascii="Times New Roman" w:hAnsi="Times New Roman" w:cs="Times New Roman"/>
          <w:i/>
          <w:iCs/>
        </w:rPr>
        <w:t xml:space="preserve"> I</w:t>
      </w:r>
      <w:r w:rsidRPr="00725945">
        <w:rPr>
          <w:rFonts w:ascii="Times New Roman" w:hAnsi="Times New Roman" w:cs="Times New Roman"/>
          <w:i/>
          <w:iCs/>
        </w:rPr>
        <w:t xml:space="preserve">ncidentally and </w:t>
      </w:r>
      <w:r w:rsidR="00362646">
        <w:rPr>
          <w:rFonts w:ascii="Times New Roman" w:hAnsi="Times New Roman" w:cs="Times New Roman"/>
          <w:i/>
          <w:iCs/>
        </w:rPr>
        <w:t>P</w:t>
      </w:r>
      <w:r w:rsidRPr="00725945">
        <w:rPr>
          <w:rFonts w:ascii="Times New Roman" w:hAnsi="Times New Roman" w:cs="Times New Roman"/>
          <w:i/>
          <w:iCs/>
        </w:rPr>
        <w:t xml:space="preserve">urposefully </w:t>
      </w:r>
      <w:r w:rsidR="00362646">
        <w:rPr>
          <w:rFonts w:ascii="Times New Roman" w:hAnsi="Times New Roman" w:cs="Times New Roman"/>
          <w:i/>
          <w:iCs/>
        </w:rPr>
        <w:t>E</w:t>
      </w:r>
      <w:r w:rsidRPr="00725945">
        <w:rPr>
          <w:rFonts w:ascii="Times New Roman" w:hAnsi="Times New Roman" w:cs="Times New Roman"/>
          <w:i/>
          <w:iCs/>
        </w:rPr>
        <w:t xml:space="preserve">xposed in </w:t>
      </w:r>
      <w:r w:rsidR="00362646">
        <w:rPr>
          <w:rFonts w:ascii="Times New Roman" w:hAnsi="Times New Roman" w:cs="Times New Roman"/>
          <w:i/>
          <w:iCs/>
        </w:rPr>
        <w:t>H</w:t>
      </w:r>
      <w:r w:rsidR="00B47729" w:rsidRPr="00725945">
        <w:rPr>
          <w:rFonts w:ascii="Times New Roman" w:hAnsi="Times New Roman" w:cs="Times New Roman"/>
          <w:i/>
          <w:iCs/>
        </w:rPr>
        <w:t>igh-</w:t>
      </w:r>
      <w:r w:rsidR="00362646">
        <w:rPr>
          <w:rFonts w:ascii="Times New Roman" w:hAnsi="Times New Roman" w:cs="Times New Roman"/>
          <w:i/>
          <w:iCs/>
        </w:rPr>
        <w:t>E</w:t>
      </w:r>
      <w:r w:rsidR="00B47729" w:rsidRPr="00725945">
        <w:rPr>
          <w:rFonts w:ascii="Times New Roman" w:hAnsi="Times New Roman" w:cs="Times New Roman"/>
          <w:i/>
          <w:iCs/>
        </w:rPr>
        <w:t>ffort</w:t>
      </w:r>
      <w:r w:rsidR="00362646">
        <w:rPr>
          <w:rFonts w:ascii="Times New Roman" w:hAnsi="Times New Roman" w:cs="Times New Roman"/>
          <w:i/>
          <w:iCs/>
        </w:rPr>
        <w:t xml:space="preserve"> N</w:t>
      </w:r>
      <w:r w:rsidRPr="00725945">
        <w:rPr>
          <w:rFonts w:ascii="Times New Roman" w:hAnsi="Times New Roman" w:cs="Times New Roman"/>
          <w:i/>
          <w:iCs/>
        </w:rPr>
        <w:t xml:space="preserve">ews </w:t>
      </w:r>
      <w:r w:rsidR="00362646">
        <w:rPr>
          <w:rFonts w:ascii="Times New Roman" w:hAnsi="Times New Roman" w:cs="Times New Roman"/>
          <w:i/>
          <w:iCs/>
        </w:rPr>
        <w:t>E</w:t>
      </w:r>
      <w:r w:rsidRPr="00725945">
        <w:rPr>
          <w:rFonts w:ascii="Times New Roman" w:hAnsi="Times New Roman" w:cs="Times New Roman"/>
          <w:i/>
          <w:iCs/>
        </w:rPr>
        <w:t xml:space="preserve">ngagement by </w:t>
      </w:r>
      <w:r w:rsidR="00362646">
        <w:rPr>
          <w:rFonts w:ascii="Times New Roman" w:hAnsi="Times New Roman" w:cs="Times New Roman"/>
          <w:i/>
          <w:iCs/>
        </w:rPr>
        <w:t>L</w:t>
      </w:r>
      <w:r w:rsidRPr="00725945">
        <w:rPr>
          <w:rFonts w:ascii="Times New Roman" w:hAnsi="Times New Roman" w:cs="Times New Roman"/>
          <w:i/>
          <w:iCs/>
        </w:rPr>
        <w:t xml:space="preserve">evel of </w:t>
      </w:r>
      <w:r w:rsidR="00362646">
        <w:rPr>
          <w:rFonts w:ascii="Times New Roman" w:hAnsi="Times New Roman" w:cs="Times New Roman"/>
          <w:i/>
          <w:iCs/>
        </w:rPr>
        <w:t>Attraction</w:t>
      </w:r>
      <w:r w:rsidRPr="00725945">
        <w:rPr>
          <w:rFonts w:ascii="Times New Roman" w:hAnsi="Times New Roman" w:cs="Times New Roman"/>
          <w:i/>
          <w:iCs/>
        </w:rPr>
        <w:t>.</w:t>
      </w:r>
    </w:p>
    <w:p w14:paraId="6EB07260" w14:textId="724CC1BE" w:rsidR="007F185C" w:rsidRDefault="007F185C" w:rsidP="00725945">
      <w:pPr>
        <w:jc w:val="cente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5CE05296" w:rsidR="00E24791"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24CD33FD" wp14:editId="66A38804">
            <wp:extent cx="5420782" cy="3335866"/>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27094" cy="3339751"/>
                    </a:xfrm>
                    <a:prstGeom prst="rect">
                      <a:avLst/>
                    </a:prstGeom>
                  </pic:spPr>
                </pic:pic>
              </a:graphicData>
            </a:graphic>
          </wp:inline>
        </w:drawing>
      </w: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55F86574" w:rsidR="007F185C" w:rsidRDefault="007F185C" w:rsidP="00246D83">
            <w:pPr>
              <w:jc w:val="center"/>
              <w:rPr>
                <w:rFonts w:ascii="Times New Roman" w:hAnsi="Times New Roman" w:cs="Times New Roman"/>
              </w:rPr>
            </w:pPr>
            <w:r>
              <w:rPr>
                <w:rFonts w:ascii="Times New Roman" w:hAnsi="Times New Roman" w:cs="Times New Roman"/>
              </w:rPr>
              <w:t>.</w:t>
            </w:r>
            <w:r w:rsidR="00D964DA">
              <w:rPr>
                <w:rFonts w:ascii="Times New Roman" w:hAnsi="Times New Roman" w:cs="Times New Roman"/>
              </w:rPr>
              <w:t>35</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E192D5"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041.86</w:t>
            </w:r>
          </w:p>
        </w:tc>
        <w:tc>
          <w:tcPr>
            <w:tcW w:w="1870" w:type="dxa"/>
            <w:tcBorders>
              <w:left w:val="nil"/>
              <w:bottom w:val="nil"/>
              <w:right w:val="nil"/>
            </w:tcBorders>
          </w:tcPr>
          <w:p w14:paraId="0FF0F02F" w14:textId="23CAFD61"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159.56</w:t>
            </w:r>
          </w:p>
        </w:tc>
        <w:tc>
          <w:tcPr>
            <w:tcW w:w="1870" w:type="dxa"/>
            <w:tcBorders>
              <w:left w:val="nil"/>
              <w:bottom w:val="nil"/>
              <w:right w:val="nil"/>
            </w:tcBorders>
          </w:tcPr>
          <w:p w14:paraId="293AED94" w14:textId="4AEC2404" w:rsidR="007F185C" w:rsidRDefault="00CB32A6" w:rsidP="00246D83">
            <w:pPr>
              <w:jc w:val="center"/>
              <w:rPr>
                <w:rFonts w:ascii="Times New Roman" w:hAnsi="Times New Roman" w:cs="Times New Roman"/>
              </w:rPr>
            </w:pPr>
            <w:r w:rsidRPr="00CB32A6">
              <w:rPr>
                <w:rFonts w:ascii="Times New Roman" w:hAnsi="Times New Roman" w:cs="Times New Roman"/>
              </w:rPr>
              <w:t>395.93</w:t>
            </w:r>
          </w:p>
        </w:tc>
        <w:tc>
          <w:tcPr>
            <w:tcW w:w="1870" w:type="dxa"/>
            <w:tcBorders>
              <w:left w:val="nil"/>
              <w:bottom w:val="nil"/>
              <w:right w:val="nil"/>
            </w:tcBorders>
          </w:tcPr>
          <w:p w14:paraId="54B90A93" w14:textId="024DA5E2" w:rsidR="007F185C" w:rsidRDefault="00CB32A6" w:rsidP="00246D83">
            <w:pPr>
              <w:jc w:val="center"/>
              <w:rPr>
                <w:rFonts w:ascii="Times New Roman" w:hAnsi="Times New Roman" w:cs="Times New Roman"/>
              </w:rPr>
            </w:pPr>
            <w:r w:rsidRPr="00CB32A6">
              <w:rPr>
                <w:rFonts w:ascii="Times New Roman" w:hAnsi="Times New Roman" w:cs="Times New Roman"/>
              </w:rPr>
              <w:t>403.5</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039D369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815.45</w:t>
            </w:r>
          </w:p>
        </w:tc>
        <w:tc>
          <w:tcPr>
            <w:tcW w:w="1870" w:type="dxa"/>
            <w:tcBorders>
              <w:top w:val="nil"/>
              <w:left w:val="nil"/>
              <w:bottom w:val="nil"/>
              <w:right w:val="nil"/>
            </w:tcBorders>
          </w:tcPr>
          <w:p w14:paraId="13BEF3C2" w14:textId="41436BD6"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994.81</w:t>
            </w:r>
          </w:p>
        </w:tc>
        <w:tc>
          <w:tcPr>
            <w:tcW w:w="1870" w:type="dxa"/>
            <w:tcBorders>
              <w:top w:val="nil"/>
              <w:left w:val="nil"/>
              <w:bottom w:val="nil"/>
              <w:right w:val="nil"/>
            </w:tcBorders>
          </w:tcPr>
          <w:p w14:paraId="1F9A2216" w14:textId="22D48AD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147.52</w:t>
            </w:r>
          </w:p>
        </w:tc>
        <w:tc>
          <w:tcPr>
            <w:tcW w:w="1870" w:type="dxa"/>
            <w:tcBorders>
              <w:top w:val="nil"/>
              <w:left w:val="nil"/>
              <w:bottom w:val="nil"/>
              <w:right w:val="nil"/>
            </w:tcBorders>
          </w:tcPr>
          <w:p w14:paraId="771A59D7" w14:textId="217FF725"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146.6</w:t>
            </w:r>
            <w:r w:rsidR="00F06336">
              <w:rPr>
                <w:rFonts w:ascii="Times New Roman" w:hAnsi="Times New Roman" w:cs="Times New Roman"/>
                <w:b/>
                <w:bCs/>
              </w:rPr>
              <w:t>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3AADC963" w:rsidR="007F185C" w:rsidRDefault="005A1E41" w:rsidP="00246D83">
            <w:pPr>
              <w:jc w:val="center"/>
              <w:rPr>
                <w:rFonts w:ascii="Times New Roman" w:hAnsi="Times New Roman" w:cs="Times New Roman"/>
              </w:rPr>
            </w:pPr>
            <w:r w:rsidRPr="005A1E41">
              <w:rPr>
                <w:rFonts w:ascii="Times New Roman" w:hAnsi="Times New Roman" w:cs="Times New Roman"/>
              </w:rPr>
              <w:t>15</w:t>
            </w:r>
            <w:r>
              <w:rPr>
                <w:rFonts w:ascii="Times New Roman" w:hAnsi="Times New Roman" w:cs="Times New Roman"/>
              </w:rPr>
              <w:t>,</w:t>
            </w:r>
            <w:r w:rsidRPr="005A1E41">
              <w:rPr>
                <w:rFonts w:ascii="Times New Roman" w:hAnsi="Times New Roman" w:cs="Times New Roman"/>
              </w:rPr>
              <w:t>764.07</w:t>
            </w:r>
          </w:p>
        </w:tc>
        <w:tc>
          <w:tcPr>
            <w:tcW w:w="1870" w:type="dxa"/>
            <w:tcBorders>
              <w:top w:val="nil"/>
              <w:left w:val="nil"/>
              <w:bottom w:val="nil"/>
              <w:right w:val="nil"/>
            </w:tcBorders>
          </w:tcPr>
          <w:p w14:paraId="31414067" w14:textId="3813BC73" w:rsidR="007F185C" w:rsidRDefault="005A1E41" w:rsidP="00246D83">
            <w:pPr>
              <w:jc w:val="center"/>
              <w:rPr>
                <w:rFonts w:ascii="Times New Roman" w:hAnsi="Times New Roman" w:cs="Times New Roman"/>
              </w:rPr>
            </w:pPr>
            <w:r w:rsidRPr="005A1E41">
              <w:rPr>
                <w:rFonts w:ascii="Times New Roman" w:hAnsi="Times New Roman" w:cs="Times New Roman"/>
              </w:rPr>
              <w:t>16</w:t>
            </w:r>
            <w:r>
              <w:rPr>
                <w:rFonts w:ascii="Times New Roman" w:hAnsi="Times New Roman" w:cs="Times New Roman"/>
              </w:rPr>
              <w:t>,</w:t>
            </w:r>
            <w:r w:rsidRPr="005A1E41">
              <w:rPr>
                <w:rFonts w:ascii="Times New Roman" w:hAnsi="Times New Roman" w:cs="Times New Roman"/>
              </w:rPr>
              <w:t>005.08</w:t>
            </w:r>
          </w:p>
        </w:tc>
        <w:tc>
          <w:tcPr>
            <w:tcW w:w="1870" w:type="dxa"/>
            <w:tcBorders>
              <w:top w:val="nil"/>
              <w:left w:val="nil"/>
              <w:bottom w:val="nil"/>
              <w:right w:val="nil"/>
            </w:tcBorders>
          </w:tcPr>
          <w:p w14:paraId="2F5087D6" w14:textId="66296995" w:rsidR="007F185C" w:rsidRDefault="005A1E41" w:rsidP="00246D83">
            <w:pPr>
              <w:jc w:val="center"/>
              <w:rPr>
                <w:rFonts w:ascii="Times New Roman" w:hAnsi="Times New Roman" w:cs="Times New Roman"/>
              </w:rPr>
            </w:pPr>
            <w:r w:rsidRPr="005A1E41">
              <w:rPr>
                <w:rFonts w:ascii="Times New Roman" w:hAnsi="Times New Roman" w:cs="Times New Roman"/>
              </w:rPr>
              <w:t>74.14</w:t>
            </w:r>
          </w:p>
        </w:tc>
        <w:tc>
          <w:tcPr>
            <w:tcW w:w="1870" w:type="dxa"/>
            <w:tcBorders>
              <w:top w:val="nil"/>
              <w:left w:val="nil"/>
              <w:bottom w:val="nil"/>
              <w:right w:val="nil"/>
            </w:tcBorders>
          </w:tcPr>
          <w:p w14:paraId="3F77DD1B" w14:textId="7A44C105" w:rsidR="007F185C" w:rsidRDefault="005A1E41" w:rsidP="00246D83">
            <w:pPr>
              <w:jc w:val="center"/>
              <w:rPr>
                <w:rFonts w:ascii="Times New Roman" w:hAnsi="Times New Roman" w:cs="Times New Roman"/>
              </w:rPr>
            </w:pPr>
            <w:r w:rsidRPr="005A1E41">
              <w:rPr>
                <w:rFonts w:ascii="Times New Roman" w:hAnsi="Times New Roman" w:cs="Times New Roman"/>
              </w:rPr>
              <w:t>79.1</w:t>
            </w:r>
            <w:r>
              <w:rPr>
                <w:rFonts w:ascii="Times New Roman" w:hAnsi="Times New Roman" w:cs="Times New Roman"/>
              </w:rPr>
              <w:t>8</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50863E30" w:rsidR="007F185C" w:rsidRPr="0010778F" w:rsidRDefault="00ED3D69" w:rsidP="00246D83">
            <w:pPr>
              <w:jc w:val="center"/>
              <w:rPr>
                <w:rFonts w:ascii="Times New Roman" w:hAnsi="Times New Roman" w:cs="Times New Roman"/>
              </w:rPr>
            </w:pPr>
            <w:r w:rsidRPr="00ED3D69">
              <w:rPr>
                <w:rFonts w:ascii="Times New Roman" w:hAnsi="Times New Roman" w:cs="Times New Roman"/>
              </w:rPr>
              <w:t>15</w:t>
            </w:r>
            <w:r>
              <w:rPr>
                <w:rFonts w:ascii="Times New Roman" w:hAnsi="Times New Roman" w:cs="Times New Roman"/>
              </w:rPr>
              <w:t>,</w:t>
            </w:r>
            <w:r w:rsidRPr="00ED3D69">
              <w:rPr>
                <w:rFonts w:ascii="Times New Roman" w:hAnsi="Times New Roman" w:cs="Times New Roman"/>
              </w:rPr>
              <w:t>760.49</w:t>
            </w:r>
          </w:p>
        </w:tc>
        <w:tc>
          <w:tcPr>
            <w:tcW w:w="1870" w:type="dxa"/>
            <w:tcBorders>
              <w:top w:val="nil"/>
              <w:left w:val="nil"/>
              <w:bottom w:val="single" w:sz="4" w:space="0" w:color="auto"/>
              <w:right w:val="nil"/>
            </w:tcBorders>
          </w:tcPr>
          <w:p w14:paraId="7CFF67C0" w14:textId="31AE3DBF" w:rsidR="007F185C" w:rsidRDefault="00ED3D69" w:rsidP="00246D83">
            <w:pPr>
              <w:jc w:val="center"/>
              <w:rPr>
                <w:rFonts w:ascii="Times New Roman" w:hAnsi="Times New Roman" w:cs="Times New Roman"/>
              </w:rPr>
            </w:pPr>
            <w:r w:rsidRPr="00ED3D69">
              <w:rPr>
                <w:rFonts w:ascii="Times New Roman" w:hAnsi="Times New Roman" w:cs="Times New Roman"/>
              </w:rPr>
              <w:t>16</w:t>
            </w:r>
            <w:r>
              <w:rPr>
                <w:rFonts w:ascii="Times New Roman" w:hAnsi="Times New Roman" w:cs="Times New Roman"/>
              </w:rPr>
              <w:t>,</w:t>
            </w:r>
            <w:r w:rsidRPr="00ED3D69">
              <w:rPr>
                <w:rFonts w:ascii="Times New Roman" w:hAnsi="Times New Roman" w:cs="Times New Roman"/>
              </w:rPr>
              <w:t>063.15</w:t>
            </w:r>
          </w:p>
        </w:tc>
        <w:tc>
          <w:tcPr>
            <w:tcW w:w="1870" w:type="dxa"/>
            <w:tcBorders>
              <w:top w:val="nil"/>
              <w:left w:val="nil"/>
              <w:bottom w:val="single" w:sz="4" w:space="0" w:color="auto"/>
              <w:right w:val="nil"/>
            </w:tcBorders>
          </w:tcPr>
          <w:p w14:paraId="6D3C36A5" w14:textId="014DDFFF" w:rsidR="007F185C" w:rsidRPr="0010778F" w:rsidRDefault="00ED3D69" w:rsidP="00246D83">
            <w:pPr>
              <w:jc w:val="center"/>
              <w:rPr>
                <w:rFonts w:ascii="Times New Roman" w:hAnsi="Times New Roman" w:cs="Times New Roman"/>
              </w:rPr>
            </w:pPr>
            <w:r w:rsidRPr="00ED3D69">
              <w:rPr>
                <w:rFonts w:ascii="Times New Roman" w:hAnsi="Times New Roman" w:cs="Times New Roman"/>
              </w:rPr>
              <w:t>48.5</w:t>
            </w:r>
            <w:r>
              <w:rPr>
                <w:rFonts w:ascii="Times New Roman" w:hAnsi="Times New Roman" w:cs="Times New Roman"/>
              </w:rPr>
              <w:t>6</w:t>
            </w:r>
          </w:p>
        </w:tc>
        <w:tc>
          <w:tcPr>
            <w:tcW w:w="1870" w:type="dxa"/>
            <w:tcBorders>
              <w:top w:val="nil"/>
              <w:left w:val="nil"/>
              <w:bottom w:val="single" w:sz="4" w:space="0" w:color="auto"/>
              <w:right w:val="nil"/>
            </w:tcBorders>
          </w:tcPr>
          <w:p w14:paraId="3A09488F" w14:textId="2D32B14D" w:rsidR="007F185C" w:rsidRDefault="00ED3D69" w:rsidP="00246D83">
            <w:pPr>
              <w:jc w:val="center"/>
              <w:rPr>
                <w:rFonts w:ascii="Times New Roman" w:hAnsi="Times New Roman" w:cs="Times New Roman"/>
              </w:rPr>
            </w:pPr>
            <w:r w:rsidRPr="00ED3D69">
              <w:rPr>
                <w:rFonts w:ascii="Times New Roman" w:hAnsi="Times New Roman" w:cs="Times New Roman"/>
              </w:rPr>
              <w:t>45.7</w:t>
            </w:r>
            <w:r>
              <w:rPr>
                <w:rFonts w:ascii="Times New Roman" w:hAnsi="Times New Roman" w:cs="Times New Roman"/>
              </w:rPr>
              <w:t>8</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046484E5"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9</w:t>
            </w:r>
            <w:r w:rsidR="008C15EF">
              <w:rPr>
                <w:rFonts w:ascii="Times New Roman" w:hAnsi="Times New Roman" w:cs="Times New Roman"/>
              </w:rPr>
              <w:t>71</w:t>
            </w:r>
            <w:r>
              <w:rPr>
                <w:rFonts w:ascii="Times New Roman" w:hAnsi="Times New Roman" w:cs="Times New Roman"/>
              </w:rPr>
              <w:t>)</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196952D9"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78</w:t>
            </w:r>
            <w:r w:rsidR="008C15EF">
              <w:rPr>
                <w:rFonts w:ascii="Times New Roman" w:hAnsi="Times New Roman" w:cs="Times New Roman"/>
              </w:rPr>
              <w:t>6</w:t>
            </w:r>
            <w:r>
              <w:rPr>
                <w:rFonts w:ascii="Times New Roman" w:hAnsi="Times New Roman" w:cs="Times New Roman"/>
              </w:rPr>
              <w:t>)</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37A76023" w:rsidR="007F185C" w:rsidRDefault="007F185C" w:rsidP="00246D83">
            <w:pPr>
              <w:jc w:val="center"/>
              <w:rPr>
                <w:rFonts w:ascii="Times New Roman" w:hAnsi="Times New Roman" w:cs="Times New Roman"/>
              </w:rPr>
            </w:pPr>
            <w:r>
              <w:rPr>
                <w:rFonts w:ascii="Times New Roman" w:hAnsi="Times New Roman" w:cs="Times New Roman"/>
              </w:rPr>
              <w:t>.3</w:t>
            </w:r>
            <w:r w:rsidR="00401CD1">
              <w:rPr>
                <w:rFonts w:ascii="Times New Roman" w:hAnsi="Times New Roman" w:cs="Times New Roman"/>
              </w:rPr>
              <w:t>7</w:t>
            </w:r>
          </w:p>
        </w:tc>
      </w:tr>
      <w:tr w:rsidR="007F185C" w14:paraId="6398D792" w14:textId="77777777" w:rsidTr="00246D83">
        <w:tc>
          <w:tcPr>
            <w:tcW w:w="3510" w:type="dxa"/>
            <w:tcBorders>
              <w:top w:val="nil"/>
              <w:left w:val="nil"/>
              <w:bottom w:val="single" w:sz="4" w:space="0" w:color="auto"/>
              <w:right w:val="nil"/>
            </w:tcBorders>
          </w:tcPr>
          <w:p w14:paraId="044F0611" w14:textId="16FCC0C0" w:rsidR="007F185C" w:rsidRDefault="007F185C" w:rsidP="00246D83">
            <w:pPr>
              <w:rPr>
                <w:rFonts w:ascii="Times New Roman" w:hAnsi="Times New Roman" w:cs="Times New Roman"/>
              </w:rPr>
            </w:pPr>
            <w:r>
              <w:rPr>
                <w:rFonts w:ascii="Times New Roman" w:hAnsi="Times New Roman" w:cs="Times New Roman"/>
              </w:rPr>
              <w:t xml:space="preserve">3: High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25</w:t>
            </w:r>
            <w:r w:rsidR="008C15EF">
              <w:rPr>
                <w:rFonts w:ascii="Times New Roman" w:hAnsi="Times New Roman" w:cs="Times New Roman"/>
              </w:rPr>
              <w:t>1</w:t>
            </w:r>
            <w:r>
              <w:rPr>
                <w:rFonts w:ascii="Times New Roman" w:hAnsi="Times New Roman" w:cs="Times New Roman"/>
              </w:rPr>
              <w:t>)</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053BA981" w:rsidR="007F185C" w:rsidRDefault="007F185C" w:rsidP="00246D83">
            <w:pPr>
              <w:jc w:val="center"/>
              <w:rPr>
                <w:rFonts w:ascii="Times New Roman" w:hAnsi="Times New Roman" w:cs="Times New Roman"/>
              </w:rPr>
            </w:pPr>
            <w:r>
              <w:rPr>
                <w:rFonts w:ascii="Times New Roman" w:hAnsi="Times New Roman" w:cs="Times New Roman"/>
              </w:rPr>
              <w:t>.1</w:t>
            </w:r>
            <w:r w:rsidR="00401CD1">
              <w:rPr>
                <w:rFonts w:ascii="Times New Roman" w:hAnsi="Times New Roman" w:cs="Times New Roman"/>
              </w:rPr>
              <w:t>4</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62B4903E" w:rsidR="004B3C0F" w:rsidRPr="001C0322" w:rsidRDefault="00E13AF8" w:rsidP="00E13AF8">
      <w:pPr>
        <w:jc w:val="center"/>
        <w:rPr>
          <w:rFonts w:ascii="Times New Roman" w:hAnsi="Times New Roman" w:cs="Times New Roman"/>
        </w:rPr>
      </w:pPr>
      <w:r>
        <w:rPr>
          <w:rFonts w:ascii="Times New Roman" w:hAnsi="Times New Roman" w:cs="Times New Roman"/>
          <w:noProof/>
        </w:rPr>
        <w:drawing>
          <wp:inline distT="0" distB="0" distL="0" distR="0" wp14:anchorId="440E8944" wp14:editId="469DE195">
            <wp:extent cx="5088468" cy="508846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8468" cy="5088468"/>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522D7"/>
    <w:rsid w:val="00052897"/>
    <w:rsid w:val="00077752"/>
    <w:rsid w:val="000819B1"/>
    <w:rsid w:val="000A0751"/>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513B"/>
    <w:rsid w:val="00127F5B"/>
    <w:rsid w:val="0013461D"/>
    <w:rsid w:val="0015314E"/>
    <w:rsid w:val="00156A25"/>
    <w:rsid w:val="00160494"/>
    <w:rsid w:val="00165241"/>
    <w:rsid w:val="00167CA4"/>
    <w:rsid w:val="0017449D"/>
    <w:rsid w:val="00174FE3"/>
    <w:rsid w:val="00190C1D"/>
    <w:rsid w:val="001A14FA"/>
    <w:rsid w:val="001A649D"/>
    <w:rsid w:val="001C0322"/>
    <w:rsid w:val="001C12CB"/>
    <w:rsid w:val="001D21A3"/>
    <w:rsid w:val="001E2272"/>
    <w:rsid w:val="001E2991"/>
    <w:rsid w:val="001F0128"/>
    <w:rsid w:val="001F5806"/>
    <w:rsid w:val="00207229"/>
    <w:rsid w:val="00212973"/>
    <w:rsid w:val="00212B4E"/>
    <w:rsid w:val="00224D88"/>
    <w:rsid w:val="0024287C"/>
    <w:rsid w:val="0024490F"/>
    <w:rsid w:val="002461D5"/>
    <w:rsid w:val="00247C37"/>
    <w:rsid w:val="002514B0"/>
    <w:rsid w:val="00260D06"/>
    <w:rsid w:val="00261333"/>
    <w:rsid w:val="00274592"/>
    <w:rsid w:val="00280C75"/>
    <w:rsid w:val="00293B51"/>
    <w:rsid w:val="00295049"/>
    <w:rsid w:val="002A0CE5"/>
    <w:rsid w:val="002A288E"/>
    <w:rsid w:val="002B009E"/>
    <w:rsid w:val="002B4EE9"/>
    <w:rsid w:val="002C1706"/>
    <w:rsid w:val="002C1710"/>
    <w:rsid w:val="002C22AD"/>
    <w:rsid w:val="002C37DF"/>
    <w:rsid w:val="002D007E"/>
    <w:rsid w:val="002D78E9"/>
    <w:rsid w:val="002E1A2A"/>
    <w:rsid w:val="002E6E42"/>
    <w:rsid w:val="003144CF"/>
    <w:rsid w:val="00322D11"/>
    <w:rsid w:val="00332108"/>
    <w:rsid w:val="003450D3"/>
    <w:rsid w:val="003462DB"/>
    <w:rsid w:val="00350D05"/>
    <w:rsid w:val="00362646"/>
    <w:rsid w:val="003641C9"/>
    <w:rsid w:val="00365566"/>
    <w:rsid w:val="003716B9"/>
    <w:rsid w:val="00373193"/>
    <w:rsid w:val="0037577D"/>
    <w:rsid w:val="0038455E"/>
    <w:rsid w:val="003849F3"/>
    <w:rsid w:val="00397D43"/>
    <w:rsid w:val="003B0A1E"/>
    <w:rsid w:val="003C40C1"/>
    <w:rsid w:val="003C46CC"/>
    <w:rsid w:val="003D305E"/>
    <w:rsid w:val="003F04E4"/>
    <w:rsid w:val="00401CD1"/>
    <w:rsid w:val="00415C99"/>
    <w:rsid w:val="00415D12"/>
    <w:rsid w:val="004444DE"/>
    <w:rsid w:val="004447C5"/>
    <w:rsid w:val="00455192"/>
    <w:rsid w:val="00457D3E"/>
    <w:rsid w:val="00470CAB"/>
    <w:rsid w:val="0047451C"/>
    <w:rsid w:val="00481E2E"/>
    <w:rsid w:val="00486F91"/>
    <w:rsid w:val="00490D24"/>
    <w:rsid w:val="00491756"/>
    <w:rsid w:val="00497884"/>
    <w:rsid w:val="004A47CD"/>
    <w:rsid w:val="004A77D0"/>
    <w:rsid w:val="004B11FA"/>
    <w:rsid w:val="004B3C0F"/>
    <w:rsid w:val="004B512B"/>
    <w:rsid w:val="004C02EE"/>
    <w:rsid w:val="004D44F6"/>
    <w:rsid w:val="004D5E0A"/>
    <w:rsid w:val="004D7A28"/>
    <w:rsid w:val="004E6304"/>
    <w:rsid w:val="004F0E24"/>
    <w:rsid w:val="00500D0B"/>
    <w:rsid w:val="00500F58"/>
    <w:rsid w:val="00506713"/>
    <w:rsid w:val="00532E45"/>
    <w:rsid w:val="00555D30"/>
    <w:rsid w:val="00560147"/>
    <w:rsid w:val="005640C7"/>
    <w:rsid w:val="00565DEA"/>
    <w:rsid w:val="00577DF3"/>
    <w:rsid w:val="00587B7A"/>
    <w:rsid w:val="00593404"/>
    <w:rsid w:val="00594AF2"/>
    <w:rsid w:val="00595D95"/>
    <w:rsid w:val="00597C98"/>
    <w:rsid w:val="005A1E41"/>
    <w:rsid w:val="005D5D30"/>
    <w:rsid w:val="005F48D5"/>
    <w:rsid w:val="005F6F2D"/>
    <w:rsid w:val="00606B7F"/>
    <w:rsid w:val="00624110"/>
    <w:rsid w:val="00630308"/>
    <w:rsid w:val="006310A4"/>
    <w:rsid w:val="00634C6C"/>
    <w:rsid w:val="00637F6E"/>
    <w:rsid w:val="00653574"/>
    <w:rsid w:val="006567AC"/>
    <w:rsid w:val="00666642"/>
    <w:rsid w:val="0066743E"/>
    <w:rsid w:val="00672FDF"/>
    <w:rsid w:val="00675359"/>
    <w:rsid w:val="00687812"/>
    <w:rsid w:val="00692BB5"/>
    <w:rsid w:val="006B2F87"/>
    <w:rsid w:val="006B727D"/>
    <w:rsid w:val="006D4FDC"/>
    <w:rsid w:val="00725945"/>
    <w:rsid w:val="00740C8F"/>
    <w:rsid w:val="0074516B"/>
    <w:rsid w:val="00746613"/>
    <w:rsid w:val="007541CD"/>
    <w:rsid w:val="0075439C"/>
    <w:rsid w:val="00777DCC"/>
    <w:rsid w:val="0078236D"/>
    <w:rsid w:val="00783C25"/>
    <w:rsid w:val="00790B33"/>
    <w:rsid w:val="007B03FA"/>
    <w:rsid w:val="007C727D"/>
    <w:rsid w:val="007F185C"/>
    <w:rsid w:val="007F2758"/>
    <w:rsid w:val="00803463"/>
    <w:rsid w:val="00805530"/>
    <w:rsid w:val="00817236"/>
    <w:rsid w:val="0082467F"/>
    <w:rsid w:val="00827274"/>
    <w:rsid w:val="008403B5"/>
    <w:rsid w:val="00855B1D"/>
    <w:rsid w:val="008627E5"/>
    <w:rsid w:val="008640AA"/>
    <w:rsid w:val="008654E1"/>
    <w:rsid w:val="00875F96"/>
    <w:rsid w:val="00891146"/>
    <w:rsid w:val="00893D5F"/>
    <w:rsid w:val="00897C00"/>
    <w:rsid w:val="008C15EF"/>
    <w:rsid w:val="008D1B3A"/>
    <w:rsid w:val="008D2B65"/>
    <w:rsid w:val="008D30D7"/>
    <w:rsid w:val="008E406C"/>
    <w:rsid w:val="008E7B98"/>
    <w:rsid w:val="00906665"/>
    <w:rsid w:val="00906EC6"/>
    <w:rsid w:val="009225BA"/>
    <w:rsid w:val="0093123E"/>
    <w:rsid w:val="00942608"/>
    <w:rsid w:val="00943E1C"/>
    <w:rsid w:val="00945AED"/>
    <w:rsid w:val="009563FE"/>
    <w:rsid w:val="00963E97"/>
    <w:rsid w:val="009679A5"/>
    <w:rsid w:val="009739A7"/>
    <w:rsid w:val="0098354B"/>
    <w:rsid w:val="009B4F72"/>
    <w:rsid w:val="009C286D"/>
    <w:rsid w:val="009C5409"/>
    <w:rsid w:val="009D1C9E"/>
    <w:rsid w:val="009D73B4"/>
    <w:rsid w:val="009E0021"/>
    <w:rsid w:val="00A0172F"/>
    <w:rsid w:val="00A15D3C"/>
    <w:rsid w:val="00A15DF1"/>
    <w:rsid w:val="00A272FC"/>
    <w:rsid w:val="00A275CA"/>
    <w:rsid w:val="00A3664D"/>
    <w:rsid w:val="00A42748"/>
    <w:rsid w:val="00A458C1"/>
    <w:rsid w:val="00A546D8"/>
    <w:rsid w:val="00A8510C"/>
    <w:rsid w:val="00A95B0A"/>
    <w:rsid w:val="00A967A7"/>
    <w:rsid w:val="00AA3081"/>
    <w:rsid w:val="00AA381F"/>
    <w:rsid w:val="00AB7A3E"/>
    <w:rsid w:val="00AC0710"/>
    <w:rsid w:val="00AC61C5"/>
    <w:rsid w:val="00AE0475"/>
    <w:rsid w:val="00AE20FF"/>
    <w:rsid w:val="00AF2112"/>
    <w:rsid w:val="00AF7382"/>
    <w:rsid w:val="00AF7711"/>
    <w:rsid w:val="00B171C0"/>
    <w:rsid w:val="00B318BD"/>
    <w:rsid w:val="00B43A66"/>
    <w:rsid w:val="00B47729"/>
    <w:rsid w:val="00B54C49"/>
    <w:rsid w:val="00B6314E"/>
    <w:rsid w:val="00B64BB5"/>
    <w:rsid w:val="00B663FD"/>
    <w:rsid w:val="00B71963"/>
    <w:rsid w:val="00B72B09"/>
    <w:rsid w:val="00B7551F"/>
    <w:rsid w:val="00B765AA"/>
    <w:rsid w:val="00B9713D"/>
    <w:rsid w:val="00BA56A6"/>
    <w:rsid w:val="00BC45C8"/>
    <w:rsid w:val="00BC58AE"/>
    <w:rsid w:val="00BC7821"/>
    <w:rsid w:val="00BD32BE"/>
    <w:rsid w:val="00BE6459"/>
    <w:rsid w:val="00BE6CFF"/>
    <w:rsid w:val="00C059B5"/>
    <w:rsid w:val="00C2077C"/>
    <w:rsid w:val="00C3418C"/>
    <w:rsid w:val="00C34E6D"/>
    <w:rsid w:val="00C370AF"/>
    <w:rsid w:val="00C71975"/>
    <w:rsid w:val="00C71AD2"/>
    <w:rsid w:val="00C75F91"/>
    <w:rsid w:val="00C81DE1"/>
    <w:rsid w:val="00C87B40"/>
    <w:rsid w:val="00C924D1"/>
    <w:rsid w:val="00C96B29"/>
    <w:rsid w:val="00CA0472"/>
    <w:rsid w:val="00CB32A6"/>
    <w:rsid w:val="00CB4543"/>
    <w:rsid w:val="00CC436D"/>
    <w:rsid w:val="00CC68B1"/>
    <w:rsid w:val="00CD7040"/>
    <w:rsid w:val="00D07A0B"/>
    <w:rsid w:val="00D11ADE"/>
    <w:rsid w:val="00D21178"/>
    <w:rsid w:val="00D25453"/>
    <w:rsid w:val="00D36706"/>
    <w:rsid w:val="00D44D01"/>
    <w:rsid w:val="00D5188D"/>
    <w:rsid w:val="00D54DB0"/>
    <w:rsid w:val="00D56653"/>
    <w:rsid w:val="00D661F9"/>
    <w:rsid w:val="00D71182"/>
    <w:rsid w:val="00D72260"/>
    <w:rsid w:val="00D72CB9"/>
    <w:rsid w:val="00D757E2"/>
    <w:rsid w:val="00D7756F"/>
    <w:rsid w:val="00D92724"/>
    <w:rsid w:val="00D93C36"/>
    <w:rsid w:val="00D95D65"/>
    <w:rsid w:val="00D964DA"/>
    <w:rsid w:val="00DA3484"/>
    <w:rsid w:val="00DA37C6"/>
    <w:rsid w:val="00DB0543"/>
    <w:rsid w:val="00DF031E"/>
    <w:rsid w:val="00E114B2"/>
    <w:rsid w:val="00E13AF8"/>
    <w:rsid w:val="00E21D61"/>
    <w:rsid w:val="00E24791"/>
    <w:rsid w:val="00E27A39"/>
    <w:rsid w:val="00E27BBF"/>
    <w:rsid w:val="00E313F4"/>
    <w:rsid w:val="00E528E0"/>
    <w:rsid w:val="00E558B8"/>
    <w:rsid w:val="00E57B8D"/>
    <w:rsid w:val="00E60033"/>
    <w:rsid w:val="00E715BF"/>
    <w:rsid w:val="00E93B5E"/>
    <w:rsid w:val="00EA6746"/>
    <w:rsid w:val="00EA7BEC"/>
    <w:rsid w:val="00EB023E"/>
    <w:rsid w:val="00EB120F"/>
    <w:rsid w:val="00EB44AA"/>
    <w:rsid w:val="00EC37BD"/>
    <w:rsid w:val="00EC6727"/>
    <w:rsid w:val="00ED2369"/>
    <w:rsid w:val="00ED3D69"/>
    <w:rsid w:val="00EE17D9"/>
    <w:rsid w:val="00EE3CC4"/>
    <w:rsid w:val="00EE40DA"/>
    <w:rsid w:val="00EE792A"/>
    <w:rsid w:val="00EF53E8"/>
    <w:rsid w:val="00F06336"/>
    <w:rsid w:val="00F324EB"/>
    <w:rsid w:val="00F357C7"/>
    <w:rsid w:val="00F77B9B"/>
    <w:rsid w:val="00F86D5F"/>
    <w:rsid w:val="00FA0CAF"/>
    <w:rsid w:val="00FA2D70"/>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23</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282</cp:revision>
  <dcterms:created xsi:type="dcterms:W3CDTF">2022-02-25T21:32:00Z</dcterms:created>
  <dcterms:modified xsi:type="dcterms:W3CDTF">2022-03-16T05:16:00Z</dcterms:modified>
</cp:coreProperties>
</file>