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593B1F2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Developing the ‘News Niche’ as a Conceptual Tool for Examining Audience Influence on News Selection</w:t>
      </w:r>
    </w:p>
    <w:p w14:paraId="50A65792" w14:textId="1F7DE800"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declining institutional trust (Suiter &amp; Fletcher, 2020),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187A4EEA" w14:textId="77777777" w:rsidR="003C4BB7" w:rsidRDefault="003C4BB7" w:rsidP="003C4BB7">
      <w:pPr>
        <w:spacing w:line="480" w:lineRule="auto"/>
        <w:ind w:firstLine="720"/>
      </w:pPr>
      <w:r>
        <w:t xml:space="preserve">Yet, despite these recent advances in the study of audience fragmentation, the literature has largely overlooked the role of audience-level attributes in shaping news exposure at the individual-level (Barnidge et al., 2021). </w:t>
      </w:r>
      <w:r w:rsidRPr="003D3E1F">
        <w:t>This omission represents a significant oversight, as the algorithms that filter content in online spaces increasingly rely on the activity of others within a news niche.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r w:rsidRPr="003D3E1F">
        <w:t xml:space="preserve">Certainly, the concept of a </w:t>
      </w:r>
      <w:r>
        <w:t xml:space="preserve">news </w:t>
      </w:r>
      <w:r w:rsidRPr="003D3E1F">
        <w:t xml:space="preserve">niche isn’t novel—to </w:t>
      </w:r>
      <w:r w:rsidRPr="003D3E1F">
        <w:lastRenderedPageBreak/>
        <w:t xml:space="preserve">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which looks at the shared audience for a given news organization.</w:t>
      </w:r>
      <w:r>
        <w:t xml:space="preserve"> </w:t>
      </w:r>
      <w:r w:rsidRPr="003D3E1F">
        <w:t xml:space="preserve">This conceptualization of the news niche has several advantages. </w:t>
      </w:r>
      <w:r>
        <w:t>It promises to not only improve our understanding of audience segmentation, but it also</w:t>
      </w:r>
      <w:r w:rsidRPr="003D3E1F">
        <w:t xml:space="preserve"> affords the ability to assess the influence of the distributed, ‘imagined’ audience (Anderson, 2006) on people’s news exposure. </w:t>
      </w:r>
      <w:r>
        <w:t>Thus, r</w:t>
      </w:r>
      <w:r w:rsidRPr="003D3E1F">
        <w:t xml:space="preserve">esearchers can better parse individual-level, audience-level, and organizational-level factors that shape people’s exposure to ideological news. </w:t>
      </w:r>
    </w:p>
    <w:p w14:paraId="27321670" w14:textId="77777777"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that parses the influence of (a) individual ideology, (b) organizational ideology,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77777777" w:rsidR="009A45D6" w:rsidRDefault="00467190" w:rsidP="009A45D6">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6927043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which are facilitated by a combination of shared connections and shared interests and are characterized by the mediatization of personal and public life (Livingstone, 2005). In particular, social and geographic boundaries may not limit individuals’ shared experiences with a common set of media organizations because they are facilitated by the algorithmic curation of content (</w:t>
      </w:r>
      <w:r w:rsidRPr="002D2DAA">
        <w:t>Thorson &amp; Wells, 201</w:t>
      </w:r>
      <w:r w:rsidR="008A2367" w:rsidRPr="002D2DAA">
        <w:t>6</w:t>
      </w:r>
      <w:r w:rsidRPr="009A45D6">
        <w:t xml:space="preserve">), which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109A1B13"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individuals’ positionality within a media system. But we also build on past uses of the concept by incorporating a sociotechnical dimension: News niches are constituted by social and algorithmic processes of content curation in online spaces. Thus, news niches arise not only from the relations between organizations and individuals, but also from the technological infrastructure of major news platforms, including search engines, aggregators, news apps, and social media sites, which create shared experience through the algorithmic curation of content. </w:t>
      </w:r>
    </w:p>
    <w:p w14:paraId="67FD72BE" w14:textId="030D6D37" w:rsidR="00467190" w:rsidRPr="009A45D6" w:rsidRDefault="009A45D6" w:rsidP="009A45D6">
      <w:pPr>
        <w:spacing w:line="480" w:lineRule="auto"/>
        <w:ind w:firstLine="720"/>
      </w:pPr>
      <w:r w:rsidRPr="009A45D6">
        <w:t xml:space="preserve">This conceptualization of the news niche also allows for an audience that is at once unified by a broadly shared experience and also fragmented by relatively high levels of attention to specific sets of news organizations with a high degree of audience overlap. That is, while audiences may not be entirely fragmented along ideological lines (Fletcher &amp; Nielsen, 2017; Webster &amp; </w:t>
      </w:r>
      <w:proofErr w:type="spellStart"/>
      <w:r w:rsidRPr="009A45D6">
        <w:t>Ksiazek</w:t>
      </w:r>
      <w:proofErr w:type="spellEnd"/>
      <w:r w:rsidRPr="009A45D6">
        <w:t>, 2012), we should be able to identify segments within the overall attention network in which particular individuals and organizations interact (via shared attention) more frequently, and, through those interactions create media experiences primarily shared by them and less by other individuals or organizations outside of the niche. Thus, the current study takes as its starting point the question or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309AEE72" w:rsidR="00467190" w:rsidRPr="00871F91" w:rsidRDefault="005E4F82" w:rsidP="009A45D6">
      <w:pPr>
        <w:spacing w:line="480" w:lineRule="auto"/>
        <w:ind w:firstLine="720"/>
      </w:pPr>
      <w:r>
        <w:t>Two factors affect whether individuals occupy a particular news niche: their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an individual’s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 and reinforce those routines 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5F30DD7E" w:rsidR="00F770E4" w:rsidRDefault="002A18C4" w:rsidP="00467190">
      <w:pPr>
        <w:spacing w:line="480" w:lineRule="auto"/>
        <w:ind w:firstLine="720"/>
      </w:pPr>
      <w:r>
        <w:t xml:space="preserve">Scholars have </w:t>
      </w:r>
      <w:r w:rsidR="00BF4FB4">
        <w:t>developed the concept of</w:t>
      </w:r>
      <w:r>
        <w:t xml:space="preserve"> </w:t>
      </w:r>
      <w:r>
        <w:rPr>
          <w:i/>
          <w:iCs/>
        </w:rPr>
        <w:t xml:space="preserve">media repertoires </w:t>
      </w:r>
      <w:r>
        <w:t>(</w:t>
      </w:r>
      <w:r w:rsidRPr="00133BE8">
        <w:t>Edgerly et al., 2018</w:t>
      </w:r>
      <w:r>
        <w:t xml:space="preserve">; </w:t>
      </w:r>
      <w:r w:rsidRPr="00133BE8">
        <w:t>Taneja et al, 2012</w:t>
      </w:r>
      <w:r>
        <w:t>)</w:t>
      </w:r>
      <w:r w:rsidR="00BF4FB4">
        <w:t xml:space="preserve"> in order to understand these environmental factors and how individual media users navigate them</w:t>
      </w:r>
      <w:r>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6D966E8D"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less attention has been paid to the role of other people’s behavior in informing selection criteria. However, more recently research has shown that a person’s social connections are one of, if not the top criteria for Facebook’s selection algorithm (DeVito, 2017</w:t>
      </w:r>
      <w:r w:rsidR="00AC3E64">
        <w:t xml:space="preserve">; </w:t>
      </w:r>
      <w:r w:rsidR="00AC3E64">
        <w:t>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0"/>
      <w:r w:rsidRPr="00882D10">
        <w:rPr>
          <w:b/>
          <w:bCs/>
        </w:rPr>
        <w:t xml:space="preserve">Niche and </w:t>
      </w:r>
      <w:r>
        <w:rPr>
          <w:b/>
          <w:bCs/>
        </w:rPr>
        <w:t>O</w:t>
      </w:r>
      <w:r w:rsidRPr="00882D10">
        <w:rPr>
          <w:b/>
          <w:bCs/>
        </w:rPr>
        <w:t>rganizations</w:t>
      </w:r>
      <w:r>
        <w:rPr>
          <w:b/>
          <w:bCs/>
        </w:rPr>
        <w:t>: Markets and Symbiosis</w:t>
      </w:r>
      <w:commentRangeEnd w:id="0"/>
      <w:r w:rsidR="0030438D">
        <w:rPr>
          <w:rStyle w:val="CommentReference"/>
        </w:rPr>
        <w:commentReference w:id="0"/>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D667DB4"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rsidR="001219DC">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3306FCA9" w14:textId="40DC312E" w:rsidR="00FB17F3" w:rsidRPr="00390F8F" w:rsidRDefault="00FB17F3" w:rsidP="004C1A08">
      <w:pPr>
        <w:spacing w:after="160" w:line="480" w:lineRule="auto"/>
        <w:ind w:firstLine="720"/>
      </w:pPr>
      <w:r w:rsidRPr="00971A4D">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971A4D">
        <w:t xml:space="preserve">Barnidge et al., 2021; </w:t>
      </w:r>
      <w:r w:rsidR="00FB014E" w:rsidRPr="00971A4D">
        <w:rPr>
          <w:color w:val="000000" w:themeColor="text1"/>
        </w:rPr>
        <w:t>Weeks et al., 2016</w:t>
      </w:r>
      <w:r w:rsidRPr="00971A4D">
        <w:t xml:space="preserve">), we provide a methodology for situating </w:t>
      </w:r>
      <w:r w:rsidR="00902C5E" w:rsidRPr="00971A4D">
        <w:t>people</w:t>
      </w:r>
      <w:r w:rsidRPr="00971A4D">
        <w:t xml:space="preserve"> within discrete but overlapping clusters, </w:t>
      </w:r>
      <w:r w:rsidR="00C17205" w:rsidRPr="00971A4D">
        <w:t>arranged</w:t>
      </w:r>
      <w:r w:rsidRPr="00971A4D">
        <w:t xml:space="preserve"> by shared preferences for news and public affairs information. </w:t>
      </w:r>
      <w:r w:rsidR="00902C5E" w:rsidRPr="00971A4D">
        <w:t xml:space="preserve">We can briefly summarize the </w:t>
      </w:r>
      <w:r w:rsidR="00B07354" w:rsidRPr="00971A4D">
        <w:t xml:space="preserve">results </w:t>
      </w:r>
      <w:r w:rsidR="00902C5E" w:rsidRPr="00971A4D">
        <w:t xml:space="preserve">as follows: a) </w:t>
      </w:r>
      <w:r w:rsidR="0003043C" w:rsidRPr="00971A4D">
        <w:t xml:space="preserve">clustering techniques reveal three stable niches within the broad attention network for </w:t>
      </w:r>
      <w:r w:rsidR="0003043C" w:rsidRPr="00971A4D">
        <w:rPr>
          <w:i/>
          <w:iCs/>
        </w:rPr>
        <w:t>cable</w:t>
      </w:r>
      <w:r w:rsidR="00B07354" w:rsidRPr="00971A4D">
        <w:rPr>
          <w:i/>
          <w:iCs/>
        </w:rPr>
        <w:t xml:space="preserve"> television</w:t>
      </w:r>
      <w:r w:rsidR="0003043C" w:rsidRPr="00971A4D">
        <w:t xml:space="preserve">, </w:t>
      </w:r>
      <w:r w:rsidR="0003043C" w:rsidRPr="00971A4D">
        <w:rPr>
          <w:i/>
          <w:iCs/>
        </w:rPr>
        <w:t xml:space="preserve">elite </w:t>
      </w:r>
      <w:r w:rsidR="00B07354" w:rsidRPr="00971A4D">
        <w:rPr>
          <w:i/>
          <w:iCs/>
        </w:rPr>
        <w:t>prestige press</w:t>
      </w:r>
      <w:r w:rsidR="00B07354" w:rsidRPr="00971A4D">
        <w:t xml:space="preserve">, </w:t>
      </w:r>
      <w:r w:rsidR="0003043C" w:rsidRPr="00971A4D">
        <w:t xml:space="preserve">and </w:t>
      </w:r>
      <w:r w:rsidR="0003043C" w:rsidRPr="00971A4D">
        <w:rPr>
          <w:i/>
          <w:iCs/>
        </w:rPr>
        <w:t>local/aggregators</w:t>
      </w:r>
      <w:r w:rsidR="0003043C" w:rsidRPr="00971A4D">
        <w:t xml:space="preserve"> b) there is far greater variance between </w:t>
      </w:r>
      <w:r w:rsidR="00B07354" w:rsidRPr="00971A4D">
        <w:t xml:space="preserve">niches </w:t>
      </w:r>
      <w:r w:rsidR="0003043C" w:rsidRPr="00971A4D">
        <w:t>than within, both at the organizational and individual level</w:t>
      </w:r>
      <w:r w:rsidR="00EC0DD1" w:rsidRPr="00971A4D">
        <w:t>,</w:t>
      </w:r>
      <w:r w:rsidR="00B07354" w:rsidRPr="00971A4D">
        <w:t xml:space="preserve"> and the elite prestige press is decidedly more liberal than the other two niches</w:t>
      </w:r>
      <w:r w:rsidR="0003043C" w:rsidRPr="00971A4D">
        <w:t xml:space="preserve">, c) </w:t>
      </w:r>
      <w:r w:rsidR="00EC0DD1" w:rsidRPr="00971A4D">
        <w:t xml:space="preserve">in the </w:t>
      </w:r>
      <w:r w:rsidR="00675A55" w:rsidRPr="00971A4D">
        <w:t>hierarchical</w:t>
      </w:r>
      <w:r w:rsidR="00EC0DD1" w:rsidRPr="00971A4D">
        <w:t xml:space="preserve"> models, the average ideology of the audience within a niche is a </w:t>
      </w:r>
      <w:r w:rsidR="0003043C" w:rsidRPr="00971A4D">
        <w:t xml:space="preserve">strong predictor of exposure to ideological news, </w:t>
      </w:r>
      <w:r w:rsidR="00EC0DD1" w:rsidRPr="00971A4D">
        <w:t>behind organizational slant, which unsurprisingly is the strongest predictor</w:t>
      </w:r>
      <w:r w:rsidR="00B07354" w:rsidRPr="00971A4D">
        <w:t>, d)</w:t>
      </w:r>
      <w:r w:rsidR="0003043C" w:rsidRPr="00971A4D">
        <w:t xml:space="preserve"> individual partisan preference has the smallest effect on </w:t>
      </w:r>
      <w:r w:rsidR="00B07354" w:rsidRPr="00971A4D">
        <w:t xml:space="preserve">ideological exposure, and e) there </w:t>
      </w:r>
      <w:r w:rsidR="00C17205" w:rsidRPr="00971A4D">
        <w:t>is a</w:t>
      </w:r>
      <w:r w:rsidR="00B07354" w:rsidRPr="00971A4D">
        <w:t xml:space="preserve"> </w:t>
      </w:r>
      <w:r w:rsidR="00EC0DD1" w:rsidRPr="00971A4D">
        <w:t>statistically significant interaction</w:t>
      </w:r>
      <w:r w:rsidR="00B07354" w:rsidRPr="00971A4D">
        <w:t xml:space="preserve"> effect between individual </w:t>
      </w:r>
      <w:r w:rsidR="00FB014E" w:rsidRPr="00971A4D">
        <w:t>partisan leaning</w:t>
      </w:r>
      <w:r w:rsidR="00B07354" w:rsidRPr="00971A4D">
        <w:t xml:space="preserve"> and </w:t>
      </w:r>
      <w:r w:rsidR="00675A55" w:rsidRPr="00971A4D">
        <w:t xml:space="preserve">editorial slant at the </w:t>
      </w:r>
      <w:r w:rsidR="00FB014E" w:rsidRPr="00971A4D">
        <w:t xml:space="preserve">organizational level, suggesting that </w:t>
      </w:r>
      <w:r w:rsidR="00675A55" w:rsidRPr="00971A4D">
        <w:t>the supply for news is met with increasing demand from strong partisans</w:t>
      </w:r>
      <w:r w:rsidR="00FB014E" w:rsidRPr="00971A4D">
        <w:t>.</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77777777"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DACBFEC"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highlight w:val="yellow"/>
        </w:rPr>
        <w:t>Arguedes</w:t>
      </w:r>
      <w:proofErr w:type="spellEnd"/>
      <w:r w:rsidRPr="006462FC">
        <w:rPr>
          <w:highlight w:val="yellow"/>
        </w:rPr>
        <w:t xml:space="preserve"> et al., 2022</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highlight w:val="yellow"/>
        </w:rPr>
        <w:t xml:space="preserve">Berry, J. M., &amp; </w:t>
      </w:r>
      <w:proofErr w:type="spellStart"/>
      <w:r w:rsidRPr="006462FC">
        <w:rPr>
          <w:color w:val="000000" w:themeColor="text1"/>
          <w:highlight w:val="yellow"/>
        </w:rPr>
        <w:t>Sobieraj</w:t>
      </w:r>
      <w:proofErr w:type="spellEnd"/>
      <w:r w:rsidRPr="006462FC">
        <w:rPr>
          <w:color w:val="000000" w:themeColor="text1"/>
          <w:highlight w:val="yellow"/>
        </w:rPr>
        <w:t xml:space="preserve">, S. (2013). </w:t>
      </w:r>
      <w:r w:rsidRPr="006462FC">
        <w:rPr>
          <w:i/>
          <w:iCs/>
          <w:color w:val="000000" w:themeColor="text1"/>
          <w:highlight w:val="yellow"/>
        </w:rPr>
        <w:t>The Outrage Industry: Political Opinion Media and the New Incivility</w:t>
      </w:r>
      <w:r w:rsidRPr="006462FC">
        <w:rPr>
          <w:color w:val="000000" w:themeColor="text1"/>
          <w:highlight w:val="yellow"/>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110FCB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2244883A" w14:textId="77777777" w:rsidR="00C376B3" w:rsidRPr="006462FC" w:rsidRDefault="00C376B3" w:rsidP="00C376B3">
      <w:pPr>
        <w:widowControl w:val="0"/>
        <w:spacing w:line="480" w:lineRule="auto"/>
        <w:ind w:left="720" w:hanging="720"/>
        <w:rPr>
          <w:color w:val="000000" w:themeColor="text1"/>
        </w:rPr>
      </w:pPr>
      <w:r w:rsidRPr="006462FC">
        <w:rPr>
          <w:highlight w:val="yellow"/>
        </w:rPr>
        <w:t>McChesney, 2008</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B5B39FB" w14:textId="77777777" w:rsidR="00C376B3" w:rsidRPr="006462FC" w:rsidRDefault="00C376B3" w:rsidP="00C376B3">
      <w:pPr>
        <w:spacing w:line="480" w:lineRule="auto"/>
        <w:ind w:left="720" w:hanging="720"/>
        <w:rPr>
          <w:color w:val="222222"/>
          <w:shd w:val="clear" w:color="auto" w:fill="FFFFFF"/>
        </w:rPr>
      </w:pPr>
      <w:r w:rsidRPr="006462FC">
        <w:rPr>
          <w:highlight w:val="yellow"/>
        </w:rPr>
        <w:t>Pickard, 2014</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927CFDA" w14:textId="77777777" w:rsidR="00C376B3" w:rsidRPr="006462FC" w:rsidRDefault="00C376B3" w:rsidP="00C376B3">
      <w:pPr>
        <w:spacing w:line="480" w:lineRule="auto"/>
        <w:ind w:left="720" w:hanging="720"/>
      </w:pPr>
      <w:r w:rsidRPr="006462FC">
        <w:rPr>
          <w:highlight w:val="yellow"/>
        </w:rPr>
        <w:t>Starr, 2004</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F815521" w14:textId="77777777" w:rsidR="00C376B3" w:rsidRPr="006462FC" w:rsidRDefault="00C376B3" w:rsidP="00C376B3">
      <w:pPr>
        <w:spacing w:line="480" w:lineRule="auto"/>
        <w:ind w:left="720" w:hanging="720"/>
      </w:pPr>
      <w:r w:rsidRPr="006462FC">
        <w:rPr>
          <w:highlight w:val="yellow"/>
        </w:rPr>
        <w:t>Toth et al., 2020</w:t>
      </w:r>
    </w:p>
    <w:p w14:paraId="5FABA39C" w14:textId="77777777"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4C8EE2C6" w14:textId="77777777" w:rsidR="00C376B3" w:rsidRPr="006462FC" w:rsidRDefault="00C376B3" w:rsidP="00C376B3">
      <w:pPr>
        <w:spacing w:line="480" w:lineRule="auto"/>
        <w:ind w:left="720" w:hanging="720"/>
      </w:pPr>
      <w:proofErr w:type="spellStart"/>
      <w:r w:rsidRPr="006462FC">
        <w:rPr>
          <w:highlight w:val="yellow"/>
        </w:rPr>
        <w:t>Waldmen</w:t>
      </w:r>
      <w:proofErr w:type="spellEnd"/>
      <w:r w:rsidRPr="006462FC">
        <w:rPr>
          <w:highlight w:val="yellow"/>
        </w:rPr>
        <w:t>, 2011</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B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91E" w16cex:dateUtc="2022-02-04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BEEDB" w16cid:durableId="25A6F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2D166" w14:textId="77777777" w:rsidR="00BC015A" w:rsidRDefault="00BC015A" w:rsidP="00F54B9D">
      <w:r>
        <w:separator/>
      </w:r>
    </w:p>
  </w:endnote>
  <w:endnote w:type="continuationSeparator" w:id="0">
    <w:p w14:paraId="6CC11C96" w14:textId="77777777" w:rsidR="00BC015A" w:rsidRDefault="00BC015A"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8F6A" w14:textId="77777777" w:rsidR="00BC015A" w:rsidRDefault="00BC015A" w:rsidP="00F54B9D">
      <w:r>
        <w:separator/>
      </w:r>
    </w:p>
  </w:footnote>
  <w:footnote w:type="continuationSeparator" w:id="0">
    <w:p w14:paraId="5F13D5E8" w14:textId="77777777" w:rsidR="00BC015A" w:rsidRDefault="00BC015A"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38</Pages>
  <Words>8851</Words>
  <Characters>50457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166</cp:revision>
  <dcterms:created xsi:type="dcterms:W3CDTF">2022-01-29T04:31:00Z</dcterms:created>
  <dcterms:modified xsi:type="dcterms:W3CDTF">2022-02-14T05:57:00Z</dcterms:modified>
</cp:coreProperties>
</file>