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338435CA"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xml:space="preserve">; </w:t>
      </w:r>
      <w:r w:rsidR="0054094A">
        <w:t>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lastRenderedPageBreak/>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lastRenderedPageBreak/>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w:t>
      </w:r>
      <w:r>
        <w:rPr>
          <w:color w:val="000000" w:themeColor="text1"/>
        </w:rPr>
        <w:lastRenderedPageBreak/>
        <w:t xml:space="preserve">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w:t>
      </w:r>
      <w:r>
        <w:lastRenderedPageBreak/>
        <w:t xml:space="preserve">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670990F"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2D5564E6" w:rsidR="009A45D6" w:rsidRPr="009A45D6" w:rsidRDefault="009A45D6" w:rsidP="009A45D6">
      <w:pPr>
        <w:spacing w:line="480" w:lineRule="auto"/>
        <w:ind w:firstLine="720"/>
      </w:pPr>
      <w:r w:rsidRPr="009A45D6">
        <w:lastRenderedPageBreak/>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2030F295"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w:t>
      </w:r>
      <w:r w:rsidRPr="009A45D6">
        <w:lastRenderedPageBreak/>
        <w:t>the current study takes as its starting point the question o</w:t>
      </w:r>
      <w:r w:rsidR="00820B5A">
        <w:t>f</w:t>
      </w:r>
      <w:r w:rsidRPr="009A45D6">
        <w:t xml:space="preserve">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675B1C16"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w:t>
      </w:r>
      <w:r w:rsidR="00820B5A">
        <w:t>,</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t>
      </w:r>
      <w:r w:rsidR="008D4066">
        <w:lastRenderedPageBreak/>
        <w:t xml:space="preserve">well. </w:t>
      </w:r>
      <w:r w:rsidR="00BF4FB4">
        <w:t>Thus</w:t>
      </w:r>
      <w:r w:rsidR="008D4066">
        <w:t>, both selection and non-avoidance owe much to environmental factors in additional to individual-level motivations.</w:t>
      </w:r>
    </w:p>
    <w:p w14:paraId="256976C8" w14:textId="77777777" w:rsidR="00905052"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w:t>
      </w:r>
    </w:p>
    <w:p w14:paraId="0E2C9FBA" w14:textId="2D515CFF" w:rsidR="00F770E4" w:rsidRDefault="00467190" w:rsidP="00467190">
      <w:pPr>
        <w:spacing w:line="480" w:lineRule="auto"/>
        <w:ind w:firstLine="720"/>
      </w:pPr>
      <w:r w:rsidRPr="00133BE8">
        <w:t xml:space="preserve">Evidence of user-defined </w:t>
      </w:r>
      <w:r w:rsidR="00D973C0">
        <w:t>news repertoires</w:t>
      </w:r>
      <w:r w:rsidRPr="00133BE8">
        <w:t xml:space="preserve"> challenge traditional thinking about how the system-level structures of channel offerings dictate audience behaviors (Webster, 2011). Given more </w:t>
      </w:r>
      <w:r w:rsidR="00AA087F">
        <w:t>choices when it comes at</w:t>
      </w:r>
      <w:r w:rsidRPr="00133BE8">
        <w:t xml:space="preserve"> their information diets, people’s preferences tend to reflect personal needs and gratifications</w:t>
      </w:r>
      <w:r w:rsidR="00876044">
        <w:t xml:space="preserve"> (Edgerly et al., 2018</w:t>
      </w:r>
      <w:r w:rsidR="004E54FE">
        <w:t>)</w:t>
      </w:r>
      <w:r>
        <w:t>, and</w:t>
      </w:r>
      <w:r w:rsidR="00876044">
        <w:t>, thus, they do have a good deal of agency when it comes to determining their own positionality within the media landscape. Still, systemic factors do shape the ‘menu’ of available options, leading to clear patterns in aggregate-level media use.</w:t>
      </w:r>
      <w:r>
        <w:t xml:space="preserve"> </w:t>
      </w:r>
      <w:r w:rsidR="00876044">
        <w:t xml:space="preserve">Thus, </w:t>
      </w:r>
      <w:r w:rsidR="00AA087F">
        <w:t>when two or more people develop similar repertoires</w:t>
      </w:r>
      <w:r>
        <w:t xml:space="preserve">, </w:t>
      </w:r>
      <w:r w:rsidR="00AA087F">
        <w:t>they will have relatively</w:t>
      </w:r>
      <w:r>
        <w:t xml:space="preserve"> similar experiences</w:t>
      </w:r>
      <w:r w:rsidR="00AA087F">
        <w:t xml:space="preserve"> with news</w:t>
      </w:r>
      <w:r>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t>.</w:t>
      </w:r>
    </w:p>
    <w:p w14:paraId="185DFCBB" w14:textId="4489B309" w:rsidR="000E29A3" w:rsidRDefault="00F770E4" w:rsidP="00467190">
      <w:pPr>
        <w:spacing w:line="480" w:lineRule="auto"/>
        <w:ind w:firstLine="720"/>
      </w:pPr>
      <w:r>
        <w:lastRenderedPageBreak/>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D16D5DA"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lastRenderedPageBreak/>
        <w:t>Thus</w:t>
      </w:r>
      <w:r w:rsidR="00ED395B">
        <w:t xml:space="preserve">, the selections of other individuals shape the ideological valence of </w:t>
      </w:r>
      <w:r w:rsidR="002857D9">
        <w:t xml:space="preserve">potential </w:t>
      </w:r>
      <w:r w:rsidR="00ED395B">
        <w:t>selections</w:t>
      </w:r>
      <w:r w:rsidR="002857D9">
        <w:t xml:space="preserve"> for others with similar news interests</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32C04A37" w:rsidR="0054094A" w:rsidRDefault="0054094A" w:rsidP="0054094A">
      <w:pPr>
        <w:spacing w:line="480" w:lineRule="auto"/>
        <w:ind w:firstLine="720"/>
      </w:pPr>
      <w:r>
        <w:t>Motivations and technology use creates the initial conditions for a news niche to form, but we argue that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 thereafter (Starr, 2004)</w:t>
      </w:r>
      <w:r>
        <w:t xml:space="preserve">. </w:t>
      </w:r>
      <w:r w:rsidRPr="0050468A">
        <w:t xml:space="preserve">Generally, this system encourages journalism that prioritizes profit-seeking over civics-oriented journalism (McChesney, 2008; Pickard, 2014).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2F5F26B9" w14:textId="4407E84F" w:rsidR="0054094A" w:rsidRDefault="0054094A" w:rsidP="0054094A">
      <w:pPr>
        <w:spacing w:line="480" w:lineRule="auto"/>
        <w:ind w:firstLine="720"/>
      </w:pPr>
      <w:r>
        <w:t xml:space="preserve">Given that ideological news is one strategy to capture audiences, it is not surprising that popular news outlets are now either objectively partisan or circulate narratives from the fringes </w:t>
      </w:r>
      <w:r>
        <w:lastRenderedPageBreak/>
        <w:t>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 homogenous as initially believed. That is, contrary to popular narratives, shared ideology is not the only defining feature of a news niche. </w:t>
      </w:r>
    </w:p>
    <w:p w14:paraId="705D4A1E" w14:textId="20479DB7" w:rsidR="0054094A" w:rsidRDefault="0054094A" w:rsidP="0054094A">
      <w:pPr>
        <w:spacing w:line="480" w:lineRule="auto"/>
        <w:ind w:firstLine="720"/>
      </w:pPr>
      <w:r>
        <w:t xml:space="preserve">Rather, we argue that the within niche patterns of news selection reflect a relationship of </w:t>
      </w:r>
      <w:r w:rsidRPr="00A94407">
        <w:rPr>
          <w:i/>
          <w:iCs/>
        </w:rPr>
        <w:t>competition and symbiosis</w:t>
      </w:r>
      <w:r>
        <w:t xml:space="preserve"> among organizations, where segments are not bifurcated according to left and right leanings, but 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t>characteristics. 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New York Times, </w:t>
      </w:r>
      <w:r w:rsidR="00206BA7">
        <w:t>usually</w:t>
      </w:r>
      <w:r>
        <w:t xml:space="preserve"> also read the Washington Post. In another example, Breitbart does not take viewers away from the larger right-leaning players like Fox, but they piggyback or siphon audiences to and from the radical-right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xml:space="preserve">). </w:t>
      </w:r>
      <w:r w:rsidR="00206BA7">
        <w:t xml:space="preserve">Thus, a sort of balance is achieved, where organizations cater to a range of factors, including platform preferences, socio-economic standing, and geographic connections. </w:t>
      </w:r>
      <w:r>
        <w:t xml:space="preserve">So, while market forces have incentivized partisan news, the interactions between audiences and organizations are better characterized </w:t>
      </w:r>
      <w:r w:rsidR="009E0EE1">
        <w:t xml:space="preserve">as a </w:t>
      </w:r>
      <w:r>
        <w:t xml:space="preserve">niche, </w:t>
      </w:r>
      <w:r w:rsidR="00206BA7">
        <w:t xml:space="preserve">which is comprised of audiences linked by a range of individual and system-level factors.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lastRenderedPageBreak/>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lastRenderedPageBreak/>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lastRenderedPageBreak/>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w:t>
      </w:r>
      <w:r w:rsidRPr="00971A4D">
        <w:rPr>
          <w:color w:val="000000" w:themeColor="text1"/>
        </w:rPr>
        <w:lastRenderedPageBreak/>
        <w:t xml:space="preserve">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w:t>
      </w:r>
      <w:r w:rsidRPr="00971A4D">
        <w:lastRenderedPageBreak/>
        <w:t xml:space="preserve">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w:t>
      </w:r>
      <w:r w:rsidRPr="00971A4D">
        <w:lastRenderedPageBreak/>
        <w:t>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xml:space="preserve">). Thus, the three niches are substantially different from one another: The elite niche is solidly liberal with both individuals and organizations ranging from left-leaning to </w:t>
      </w:r>
      <w:r w:rsidRPr="00971A4D">
        <w:lastRenderedPageBreak/>
        <w:t>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lastRenderedPageBreak/>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t>
      </w:r>
      <w:r w:rsidRPr="00971A4D">
        <w:lastRenderedPageBreak/>
        <w:t>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77777777"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t xml:space="preserve">, and these niches are empirical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above and beyond the influence of their own individual ideology or the average organizational ideology within each niche. Moreover, we find that audience ideology may interact with individual ideology, although the statistical significance of this interaction was marginal (</w:t>
      </w:r>
      <w:r>
        <w:rPr>
          <w:i/>
          <w:iCs/>
        </w:rPr>
        <w:t>p</w:t>
      </w:r>
      <w:r>
        <w:t xml:space="preserve"> &lt; .10).  These findings point to three broad conclusions: (1) identifiable niches can be detected and distinguished from one another; (2) the ideology of the audience within each niche is related to the news selections of individuals within that niche; and (3) individuals’ news selections are related to predictors at multiple levels of analysis, and these may interact with one another. We will now elaborate about each of these conclusions.</w:t>
      </w:r>
    </w:p>
    <w:p w14:paraId="10385F18" w14:textId="77777777" w:rsidR="00B16C0E" w:rsidRDefault="00B16C0E" w:rsidP="00B16C0E">
      <w:pPr>
        <w:spacing w:line="480" w:lineRule="auto"/>
      </w:pPr>
      <w:r>
        <w:lastRenderedPageBreak/>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between </w:t>
      </w:r>
      <w:r>
        <w:t xml:space="preserve">the </w:t>
      </w:r>
      <w:r w:rsidRPr="00390F8F">
        <w:t>niches</w:t>
      </w:r>
      <w:r>
        <w:t xml:space="preserve">. Furthermore, </w:t>
      </w:r>
      <w:r w:rsidRPr="00390F8F">
        <w:t xml:space="preserve">and in contrast to </w:t>
      </w:r>
      <w:proofErr w:type="gramStart"/>
      <w:r>
        <w:t>the majority of</w:t>
      </w:r>
      <w:proofErr w:type="gramEnd"/>
      <w:r>
        <w:t xml:space="preserve"> 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cleanly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 xml:space="preserve">niche is at once the most extreme—especially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w:t>
      </w:r>
      <w:proofErr w:type="gramStart"/>
      <w:r>
        <w:t>it is clear that cable</w:t>
      </w:r>
      <w:proofErr w:type="gramEnd"/>
      <w:r>
        <w:t xml:space="preserve"> television news channels operate in the same audience space, and this may be one reason why prominent shows on major </w:t>
      </w:r>
      <w:r>
        <w:lastRenderedPageBreak/>
        <w:t>cable channels frequently (and critically) reference one another on air (Barnidge et al., 2020). Regardless of these post-hoc speculations, which could be formalized and tested in future research, it is clear from our study that it is possible to detect distinct niches that are defined not only by the ideologies of organizations and individuals but also by audience repertoires and organizational competition/symbiosis.</w:t>
      </w:r>
    </w:p>
    <w:p w14:paraId="5DA4CE25" w14:textId="77777777" w:rsidR="00B16C0E" w:rsidRPr="00AF3EF3" w:rsidRDefault="00B16C0E" w:rsidP="00B16C0E">
      <w:pPr>
        <w:spacing w:line="480" w:lineRule="auto"/>
      </w:pPr>
      <w:r>
        <w:tab/>
        <w:t xml:space="preserve">Second, our approach yields some novel insights about the role of other audience members in shaping individuals’ news selections. This kind of audience-level influence has been largely overlooked by the literatures on audience fragmentation and selective exposure, and therefore theorizing it required elaboration on two key ideas: (1) news exposure in online environment may take on an ‘actuarial’ quality thanks to news curation algorithms on major platforms including social media (e.g., Facebook), news aggregator and search engines (e.g., Google), and news apps (e.g., Apple News);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w:t>
      </w:r>
      <w:proofErr w:type="gramStart"/>
      <w:r>
        <w:t>in light of</w:t>
      </w:r>
      <w:proofErr w:type="gramEnd"/>
      <w:r>
        <w:t xml:space="preserve"> the relatively small effect sizes commonly observed in the field of communication. Moreover, this effect was estimated </w:t>
      </w:r>
      <w:r>
        <w:rPr>
          <w:i/>
          <w:iCs/>
        </w:rPr>
        <w:t xml:space="preserve">while also accounting for the role of </w:t>
      </w:r>
      <w:r>
        <w:rPr>
          <w:i/>
          <w:iCs/>
        </w:rPr>
        <w:lastRenderedPageBreak/>
        <w:t>individual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as well as on factors related to repertoires and convenience,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77777777" w:rsidR="00B16C0E" w:rsidRDefault="00B16C0E" w:rsidP="00B16C0E">
      <w:pPr>
        <w:spacing w:line="480" w:lineRule="auto"/>
      </w:pPr>
      <w:r>
        <w:tab/>
        <w:t xml:space="preserve">Third, our study advances theory by examining the interactions among influences at the individual, organizational, and audience levels. Prior literature has conceptualized the audience as an ‘interaction’ between news organizations and individuals.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w:t>
      </w:r>
      <w:proofErr w:type="gramStart"/>
      <w:r>
        <w:t>interactions, and</w:t>
      </w:r>
      <w:proofErr w:type="gramEnd"/>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where the news environment does not align </w:t>
      </w:r>
      <w:r>
        <w:lastRenderedPageBreak/>
        <w:t>with it. This study therefore presents a substantial step forward theoretically by offering a framework for contextualizing the role of individual motivations in shaping news selection.</w:t>
      </w:r>
    </w:p>
    <w:p w14:paraId="11A75AAA" w14:textId="77777777"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during a specific </w:t>
      </w:r>
      <w:proofErr w:type="gramStart"/>
      <w:r>
        <w:t>time period</w:t>
      </w:r>
      <w:proofErr w:type="gramEnd"/>
      <w:r>
        <w:t xml:space="preserve">,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w:t>
      </w:r>
      <w:proofErr w:type="spellStart"/>
      <w:r w:rsidRPr="0030659C">
        <w:t>Louvian</w:t>
      </w:r>
      <w:proofErr w:type="spellEnd"/>
      <w:r w:rsidRPr="0030659C">
        <w:t xml:space="preserve"> clustering algorithm is one of the fastest and most </w:t>
      </w:r>
      <w:proofErr w:type="gramStart"/>
      <w:r w:rsidRPr="0030659C">
        <w:t>widely-used</w:t>
      </w:r>
      <w:proofErr w:type="gramEnd"/>
      <w:r w:rsidRPr="0030659C">
        <w:t xml:space="preserve">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w:t>
      </w:r>
      <w:r w:rsidRPr="0030659C">
        <w:lastRenderedPageBreak/>
        <w:t xml:space="preserve">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77777777"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w:t>
      </w:r>
      <w:proofErr w:type="gramStart"/>
      <w:r>
        <w:t>are able to</w:t>
      </w:r>
      <w:proofErr w:type="gramEnd"/>
      <w:r>
        <w:t xml:space="preserve"> gain additional leverage over questions related to news selection and audience fragmentation. While prior research has dispelled claims about coherent ‘filter </w:t>
      </w:r>
      <w:proofErr w:type="gramStart"/>
      <w:r>
        <w:t>bubbles’</w:t>
      </w:r>
      <w:proofErr w:type="gramEnd"/>
      <w:r>
        <w:t xml:space="preserve"> or severe fragmentation in the U.S. news audience, our analysis suggests that, nonetheless, there are identifiable audience segments that are characterized ideological difference at multiple levels of observation, and these segmentation is related to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lastRenderedPageBreak/>
        <w:t>References</w:t>
      </w:r>
    </w:p>
    <w:p w14:paraId="0066AAA2" w14:textId="2D5CB6F3"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7DACBFEC"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highlight w:val="yellow"/>
        </w:rPr>
        <w:t>Arguedes</w:t>
      </w:r>
      <w:proofErr w:type="spellEnd"/>
      <w:r w:rsidRPr="006462FC">
        <w:rPr>
          <w:highlight w:val="yellow"/>
        </w:rPr>
        <w:t xml:space="preserve"> et al., 2022</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p>
    <w:p w14:paraId="7214B135"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highlight w:val="yellow"/>
        </w:rPr>
        <w:t xml:space="preserve">Berry, J. M., &amp; </w:t>
      </w:r>
      <w:proofErr w:type="spellStart"/>
      <w:r w:rsidRPr="006462FC">
        <w:rPr>
          <w:color w:val="000000" w:themeColor="text1"/>
          <w:highlight w:val="yellow"/>
        </w:rPr>
        <w:t>Sobieraj</w:t>
      </w:r>
      <w:proofErr w:type="spellEnd"/>
      <w:r w:rsidRPr="006462FC">
        <w:rPr>
          <w:color w:val="000000" w:themeColor="text1"/>
          <w:highlight w:val="yellow"/>
        </w:rPr>
        <w:t xml:space="preserve">, S. (2013). </w:t>
      </w:r>
      <w:r w:rsidRPr="006462FC">
        <w:rPr>
          <w:i/>
          <w:iCs/>
          <w:color w:val="000000" w:themeColor="text1"/>
          <w:highlight w:val="yellow"/>
        </w:rPr>
        <w:t>The Outrage Industry: Political Opinion Media and the New Incivility</w:t>
      </w:r>
      <w:r w:rsidRPr="006462FC">
        <w:rPr>
          <w:color w:val="000000" w:themeColor="text1"/>
          <w:highlight w:val="yellow"/>
        </w:rPr>
        <w:t>. Oxford University Press.</w:t>
      </w:r>
    </w:p>
    <w:p w14:paraId="1EDF3AB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Network Propaganda: Manipulation, Disinformation, and Radicalization in American Politics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Communication Power</w:t>
      </w:r>
      <w:r w:rsidRPr="006462FC">
        <w:rPr>
          <w:color w:val="000000" w:themeColor="text1"/>
        </w:rPr>
        <w:t>. OUP Oxford.</w:t>
      </w:r>
    </w:p>
    <w:p w14:paraId="19229BA4" w14:textId="77777777" w:rsidR="00C376B3" w:rsidRPr="006462FC" w:rsidRDefault="00C376B3" w:rsidP="00C376B3">
      <w:pPr>
        <w:spacing w:line="480" w:lineRule="auto"/>
        <w:ind w:left="720" w:hanging="720"/>
        <w:rPr>
          <w:color w:val="000000" w:themeColor="text1"/>
        </w:rPr>
      </w:pPr>
      <w:r w:rsidRPr="006462FC">
        <w:t xml:space="preserve">DeVito, M. A. (2017). From Editors to Algorithms.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lastRenderedPageBreak/>
        <w:t xml:space="preserve">Edgerly, S., </w:t>
      </w:r>
      <w:proofErr w:type="spellStart"/>
      <w:r w:rsidRPr="006462FC">
        <w:rPr>
          <w:color w:val="000000" w:themeColor="text1"/>
        </w:rPr>
        <w:t>Vraga</w:t>
      </w:r>
      <w:proofErr w:type="spellEnd"/>
      <w:r w:rsidRPr="006462FC">
        <w:rPr>
          <w:color w:val="000000" w:themeColor="text1"/>
        </w:rPr>
        <w:t>, E. K., Bode, L., Thorson, K., &amp; Thorson, E. (2018). New media, new relationship to participation? A closer look at youth news repertoires and political participation. Journalism &amp; Mass Communication Quarterly, 95(1), 192-212.</w:t>
      </w:r>
    </w:p>
    <w:p w14:paraId="6F14795E"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Science</w:t>
      </w:r>
      <w:r w:rsidRPr="006462FC">
        <w:rPr>
          <w:color w:val="000000" w:themeColor="text1"/>
        </w:rPr>
        <w:t xml:space="preserve">. </w:t>
      </w:r>
    </w:p>
    <w:p w14:paraId="7F80ECD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Bubbles, Echo Chambers, and Online News Consumption.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News Audiences Increasingly Fragmented? A Cross-National Comparative Analysis of Cross-Platform News Audience Fragmentation and Duplication.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Motivated Reinforcement Seeking: Reframing the Selective Exposure Debate.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77777777"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Blind Spots of Measuring Online News </w:t>
      </w:r>
      <w:r w:rsidRPr="006246B6">
        <w:tab/>
        <w:t xml:space="preserve">Exposure: A Comparison of Self-Reported and Observational Data in Nine Countries. </w:t>
      </w:r>
      <w:r w:rsidRPr="006246B6">
        <w:tab/>
        <w:t xml:space="preserve">Preprint available at SSRN, abstract 3522774. </w:t>
      </w:r>
    </w:p>
    <w:p w14:paraId="110FCBE3" w14:textId="1066BE7E"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Effects in Science Communication: How Motivated Reasoning and Identity Cues Amplify Opinion Polarization About Climate Mitigation Policies.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77777777" w:rsidR="00C376B3" w:rsidRPr="006462FC" w:rsidRDefault="00C376B3" w:rsidP="00C376B3">
      <w:pPr>
        <w:spacing w:line="480" w:lineRule="auto"/>
        <w:ind w:left="720" w:hanging="720"/>
        <w:rPr>
          <w:color w:val="000000" w:themeColor="text1"/>
        </w:rPr>
      </w:pPr>
      <w:r w:rsidRPr="006462FC">
        <w:lastRenderedPageBreak/>
        <w:t xml:space="preserve">Joris, G., Grove, F. D., Van Damme, K., &amp; De </w:t>
      </w:r>
      <w:proofErr w:type="spellStart"/>
      <w:r w:rsidRPr="006462FC">
        <w:t>Marez</w:t>
      </w:r>
      <w:proofErr w:type="spellEnd"/>
      <w:r w:rsidRPr="006462FC">
        <w:t xml:space="preserve">, L. (2021). Appreciating News Algorithms: Examining Audiences’ Perceptions to Different News Selection Mechanisms.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T. B., Malthouse, E. C., &amp; Webster, J. G. (2010). News-seekers and avoiders: Exploring patterns of total news consumption across media and the relationship to civic participation. Journal of Broadcasting &amp; Electronic Media, 54(4),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lastRenderedPageBreak/>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Backbone Structure of Audience Networks: A New Approach to Comparing Online News Consumption Across Countries.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2244883A" w14:textId="77777777" w:rsidR="00C376B3" w:rsidRPr="006462FC" w:rsidRDefault="00C376B3" w:rsidP="00C376B3">
      <w:pPr>
        <w:widowControl w:val="0"/>
        <w:spacing w:line="480" w:lineRule="auto"/>
        <w:ind w:left="720" w:hanging="720"/>
        <w:rPr>
          <w:color w:val="000000" w:themeColor="text1"/>
        </w:rPr>
      </w:pPr>
      <w:r w:rsidRPr="006462FC">
        <w:rPr>
          <w:highlight w:val="yellow"/>
        </w:rPr>
        <w:t>McChesney, 2008</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Deliver Us to Segmentation.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Otero, V. (2018). Media bias chart: Version 4.0. https://www.adfontesmedia.com/intro-to-the-media-bias-chart/</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B5B39FB" w14:textId="77777777" w:rsidR="00C376B3" w:rsidRPr="006462FC" w:rsidRDefault="00C376B3" w:rsidP="00C376B3">
      <w:pPr>
        <w:spacing w:line="480" w:lineRule="auto"/>
        <w:ind w:left="720" w:hanging="720"/>
        <w:rPr>
          <w:color w:val="222222"/>
          <w:shd w:val="clear" w:color="auto" w:fill="FFFFFF"/>
        </w:rPr>
      </w:pPr>
      <w:r w:rsidRPr="006462FC">
        <w:rPr>
          <w:highlight w:val="yellow"/>
        </w:rPr>
        <w:t>Pickard, 2014</w:t>
      </w:r>
    </w:p>
    <w:p w14:paraId="75CC5BF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lastRenderedPageBreak/>
        <w:t xml:space="preserve">Prior, M. (2007). </w:t>
      </w:r>
      <w:r w:rsidRPr="006462FC">
        <w:rPr>
          <w:i/>
          <w:iCs/>
          <w:color w:val="222222"/>
          <w:shd w:val="clear" w:color="auto" w:fill="FFFFFF"/>
        </w:rPr>
        <w:t>Post-Broadcast Democracy: How Media Choice Increases Inequality in Political Involvement and Polarizes Elections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77777777" w:rsidR="00C376B3" w:rsidRPr="006462FC" w:rsidRDefault="00C376B3" w:rsidP="00C376B3">
      <w:pPr>
        <w:spacing w:line="480" w:lineRule="auto"/>
        <w:ind w:left="720" w:hanging="720"/>
      </w:pPr>
      <w:r w:rsidRPr="006462FC">
        <w:t xml:space="preserve">Sears, D. O., &amp; Freedman, J. L. (1967). Selective Exposure to Information: A Critical Review. </w:t>
      </w:r>
      <w:r w:rsidRPr="006462FC">
        <w:rPr>
          <w:i/>
          <w:iCs/>
        </w:rPr>
        <w:t>Public Opinion Quarterly</w:t>
      </w:r>
      <w:r w:rsidRPr="006462FC">
        <w:t xml:space="preserve">, </w:t>
      </w:r>
      <w:r w:rsidRPr="006462FC">
        <w:rPr>
          <w:i/>
          <w:iCs/>
        </w:rPr>
        <w:t>31</w:t>
      </w:r>
      <w:r w:rsidRPr="006462FC">
        <w:t xml:space="preserve">(2), 194–213. </w:t>
      </w:r>
    </w:p>
    <w:p w14:paraId="07F4274B" w14:textId="08829D0A" w:rsidR="0054094A" w:rsidRDefault="0054094A" w:rsidP="0054094A">
      <w:pPr>
        <w:spacing w:line="480" w:lineRule="auto"/>
        <w:ind w:left="720" w:hanging="720"/>
      </w:pPr>
      <w:r>
        <w:t>Shafer, J. (</w:t>
      </w:r>
      <w:r>
        <w:t>2022</w:t>
      </w:r>
      <w:r>
        <w:t xml:space="preserve">). </w:t>
      </w:r>
      <w:r>
        <w:rPr>
          <w:i/>
          <w:iCs/>
        </w:rPr>
        <w:t>Democrats With a Dirty Secret—They Watch Fox</w:t>
      </w:r>
      <w:r>
        <w:t xml:space="preserve">. POLITICO. Retrieved February 17, 2022, from </w:t>
      </w:r>
      <w:hyperlink r:id="rId7" w:history="1">
        <w:r>
          <w:rPr>
            <w:rStyle w:val="Hyperlink"/>
          </w:rPr>
          <w:t>https://www.politico.com/news/magazine/2022/02/02/democrats-fox-news-entertainment-conservative-liberal-00004843</w:t>
        </w:r>
      </w:hyperlink>
    </w:p>
    <w:p w14:paraId="77828269" w14:textId="77777777" w:rsidR="0054094A" w:rsidRDefault="0054094A" w:rsidP="00C376B3">
      <w:pPr>
        <w:spacing w:line="480" w:lineRule="auto"/>
        <w:ind w:left="720" w:hanging="720"/>
        <w:rPr>
          <w:highlight w:val="yellow"/>
        </w:rPr>
      </w:pPr>
    </w:p>
    <w:p w14:paraId="0927CFDA" w14:textId="3705E081" w:rsidR="00C376B3" w:rsidRPr="006462FC" w:rsidRDefault="00C376B3" w:rsidP="00C376B3">
      <w:pPr>
        <w:spacing w:line="480" w:lineRule="auto"/>
        <w:ind w:left="720" w:hanging="720"/>
      </w:pPr>
      <w:r w:rsidRPr="006462FC">
        <w:rPr>
          <w:highlight w:val="yellow"/>
        </w:rPr>
        <w:t>Starr, 2004</w:t>
      </w:r>
    </w:p>
    <w:p w14:paraId="575D8A41" w14:textId="77777777" w:rsidR="00C376B3" w:rsidRPr="006462FC" w:rsidRDefault="00C376B3" w:rsidP="00C376B3">
      <w:pPr>
        <w:spacing w:line="480" w:lineRule="auto"/>
        <w:ind w:left="720" w:hanging="720"/>
      </w:pPr>
      <w:r w:rsidRPr="006462FC">
        <w:t xml:space="preserve">Stroud, N. J. (2010). Polarization and Partisan Selective Exposure. </w:t>
      </w:r>
      <w:r w:rsidRPr="006462FC">
        <w:rPr>
          <w:i/>
          <w:iCs/>
        </w:rPr>
        <w:t>Journal of Communication</w:t>
      </w:r>
      <w:r w:rsidRPr="006462FC">
        <w:t xml:space="preserve">, </w:t>
      </w:r>
      <w:r w:rsidRPr="006462FC">
        <w:rPr>
          <w:i/>
          <w:iCs/>
        </w:rPr>
        <w:t>60</w:t>
      </w:r>
      <w:r w:rsidRPr="006462FC">
        <w:t xml:space="preserve">(3), 556–576. </w:t>
      </w:r>
    </w:p>
    <w:p w14:paraId="3A8DB1F6" w14:textId="77777777" w:rsidR="00C376B3" w:rsidRPr="006462FC" w:rsidRDefault="00C376B3" w:rsidP="00C376B3">
      <w:pPr>
        <w:spacing w:line="480" w:lineRule="auto"/>
        <w:ind w:left="720" w:hanging="720"/>
      </w:pPr>
      <w:r w:rsidRPr="006462FC">
        <w:t xml:space="preserve">Stroud, N. J. (2011). </w:t>
      </w:r>
      <w:r w:rsidRPr="006462FC">
        <w:rPr>
          <w:i/>
          <w:iCs/>
        </w:rPr>
        <w:t>Niche News:The Politics of News Choice: The Politics of News Choice</w:t>
      </w:r>
      <w:r w:rsidRPr="006462FC">
        <w:t>. Oxford University Press.</w:t>
      </w:r>
    </w:p>
    <w:p w14:paraId="68F0F5BE" w14:textId="77777777" w:rsidR="00C376B3" w:rsidRPr="006462FC" w:rsidRDefault="00C376B3" w:rsidP="00C376B3">
      <w:pPr>
        <w:spacing w:line="480" w:lineRule="auto"/>
        <w:ind w:left="720" w:hanging="720"/>
      </w:pPr>
      <w:r w:rsidRPr="006462FC">
        <w:t>Suiter, J., &amp; Fletcher, R. (2020). Polarization and partisanship: Key drivers of distrust in media old and new?. European Journal of Communication, 35(5),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77777777" w:rsidR="00C376B3" w:rsidRPr="006462FC" w:rsidRDefault="00C376B3" w:rsidP="00C376B3">
      <w:pPr>
        <w:spacing w:line="480" w:lineRule="auto"/>
        <w:ind w:left="720" w:hanging="720"/>
      </w:pPr>
      <w:r w:rsidRPr="006462FC">
        <w:lastRenderedPageBreak/>
        <w:t xml:space="preserve">Taneja, H., Webster, J. G., Malthouse, E. C., &amp; </w:t>
      </w:r>
      <w:proofErr w:type="spellStart"/>
      <w:r w:rsidRPr="006462FC">
        <w:t>Ksiazek</w:t>
      </w:r>
      <w:proofErr w:type="spellEnd"/>
      <w:r w:rsidRPr="006462FC">
        <w:t>, T. B. (2012). Media consumption across platforms: Identifying user-defined repertoires. New media &amp; society, 14(6),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Thorson, K., &amp; Wells, C. (2016). Curated flows: A framework for mapping media exposure in the digital age. Communication Theory, 26(3), 309-328.</w:t>
      </w:r>
    </w:p>
    <w:p w14:paraId="3F815521" w14:textId="77777777" w:rsidR="00C376B3" w:rsidRPr="006462FC" w:rsidRDefault="00C376B3" w:rsidP="00C376B3">
      <w:pPr>
        <w:spacing w:line="480" w:lineRule="auto"/>
        <w:ind w:left="720" w:hanging="720"/>
      </w:pPr>
      <w:r w:rsidRPr="006462FC">
        <w:rPr>
          <w:highlight w:val="yellow"/>
        </w:rPr>
        <w:t>Toth et al., 2020</w:t>
      </w:r>
    </w:p>
    <w:p w14:paraId="30240EC3" w14:textId="12452978" w:rsidR="006759D5" w:rsidRDefault="006759D5" w:rsidP="006759D5">
      <w:pPr>
        <w:spacing w:line="480" w:lineRule="auto"/>
        <w:rPr>
          <w:color w:val="222222"/>
          <w:shd w:val="clear" w:color="auto" w:fill="FFFFFF"/>
        </w:rPr>
      </w:pPr>
      <w:proofErr w:type="spellStart"/>
      <w:r w:rsidRPr="006246B6">
        <w:t>Traag</w:t>
      </w:r>
      <w:proofErr w:type="spellEnd"/>
      <w:r w:rsidRPr="006246B6">
        <w:t xml:space="preserve">, V. A., Waltman, L., &amp; van Eck, N. J. (2019). From </w:t>
      </w:r>
      <w:proofErr w:type="spellStart"/>
      <w:r w:rsidRPr="006246B6">
        <w:t>Louvian</w:t>
      </w:r>
      <w:proofErr w:type="spellEnd"/>
      <w:r w:rsidRPr="006246B6">
        <w:t xml:space="preserve"> to Leiden: Guaranteeing </w:t>
      </w:r>
      <w:r w:rsidRPr="006246B6">
        <w:tab/>
        <w:t xml:space="preserve">Well-Connected Communities.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77777777"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What Happens to News. </w:t>
      </w:r>
      <w:r w:rsidRPr="006462FC">
        <w:rPr>
          <w:i/>
          <w:iCs/>
        </w:rPr>
        <w:t>Journalism Studies</w:t>
      </w:r>
      <w:r w:rsidRPr="006462FC">
        <w:t xml:space="preserve">, </w:t>
      </w:r>
      <w:r w:rsidRPr="006462FC">
        <w:rPr>
          <w:i/>
          <w:iCs/>
        </w:rPr>
        <w:t>19</w:t>
      </w:r>
      <w:r w:rsidRPr="006462FC">
        <w:t xml:space="preserve">(13), 1866–1878. </w:t>
      </w:r>
    </w:p>
    <w:p w14:paraId="4C8EE2C6" w14:textId="77777777" w:rsidR="00C376B3" w:rsidRPr="006462FC" w:rsidRDefault="00C376B3" w:rsidP="00C376B3">
      <w:pPr>
        <w:spacing w:line="480" w:lineRule="auto"/>
        <w:ind w:left="720" w:hanging="720"/>
      </w:pPr>
      <w:proofErr w:type="spellStart"/>
      <w:r w:rsidRPr="006462FC">
        <w:rPr>
          <w:highlight w:val="yellow"/>
        </w:rPr>
        <w:t>Waldmen</w:t>
      </w:r>
      <w:proofErr w:type="spellEnd"/>
      <w:r w:rsidRPr="006462FC">
        <w:rPr>
          <w:highlight w:val="yellow"/>
        </w:rPr>
        <w:t>, 2011</w:t>
      </w:r>
    </w:p>
    <w:p w14:paraId="209EB2CE" w14:textId="77777777" w:rsidR="00C376B3" w:rsidRPr="006462FC" w:rsidRDefault="00C376B3" w:rsidP="00C376B3">
      <w:pPr>
        <w:spacing w:line="480" w:lineRule="auto"/>
        <w:ind w:left="720" w:hanging="720"/>
      </w:pPr>
      <w:r w:rsidRPr="006462FC">
        <w:t xml:space="preserve">Webster, J. G. (2011). The Duality of Media: A </w:t>
      </w:r>
      <w:proofErr w:type="spellStart"/>
      <w:r w:rsidRPr="006462FC">
        <w:t>Structurational</w:t>
      </w:r>
      <w:proofErr w:type="spellEnd"/>
      <w:r w:rsidRPr="006462FC">
        <w:t xml:space="preserve"> Theory of Public Attention. Communication Theory, 21(1), 43–66. </w:t>
      </w:r>
    </w:p>
    <w:p w14:paraId="033E3965" w14:textId="77777777"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Dynamics of Audience Fragmentation: Public Attention in an Age of Digital Media. </w:t>
      </w:r>
      <w:r w:rsidRPr="006462FC">
        <w:rPr>
          <w:i/>
          <w:iCs/>
        </w:rPr>
        <w:t>Journal of Communication</w:t>
      </w:r>
      <w:r w:rsidRPr="006462FC">
        <w:t xml:space="preserve">, </w:t>
      </w:r>
      <w:r w:rsidRPr="006462FC">
        <w:rPr>
          <w:i/>
          <w:iCs/>
        </w:rPr>
        <w:t>62</w:t>
      </w:r>
      <w:r w:rsidRPr="006462FC">
        <w:t xml:space="preserve">(1), 39–56. </w:t>
      </w:r>
    </w:p>
    <w:p w14:paraId="052C7FC8" w14:textId="77777777"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Enclaves or Shared Media Experiences? A Network Approach to Understanding Citizens’ Political News Environments. Journal of Broadcasting &amp; Electronic Media, 60(2),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lastRenderedPageBreak/>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8"/>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7F1487">
              <w:rPr>
                <w:i/>
                <w:iCs/>
              </w:rPr>
              <w:t>Note</w:t>
            </w:r>
            <w:r w:rsidRPr="007F1487">
              <w:t xml:space="preserve">: </w:t>
            </w:r>
            <w:r w:rsidR="00976D44" w:rsidRPr="007F1487">
              <w:t>Outcome</w:t>
            </w:r>
            <w:r w:rsidRPr="007F1487">
              <w:t xml:space="preserve"> variable has theoretical range of 6 (Min. = -3</w:t>
            </w:r>
            <w:r w:rsidR="00843E88" w:rsidRPr="007F1487">
              <w:t xml:space="preserve"> ‘far left’</w:t>
            </w:r>
            <w:r w:rsidRPr="007F1487">
              <w:t xml:space="preserve"> and Max. = 3</w:t>
            </w:r>
            <w:r w:rsidR="00843E88" w:rsidRPr="007F1487">
              <w:t xml:space="preserve"> ‘far right’</w:t>
            </w:r>
            <w:r w:rsidRPr="007F1487">
              <w:t xml:space="preserve">) and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7FB6A1DD" w:rsidR="006542B7" w:rsidRPr="00357B19" w:rsidRDefault="006542B7" w:rsidP="006542B7">
      <w:r w:rsidRPr="006542B7">
        <w:rPr>
          <w:i/>
          <w:iCs/>
        </w:rPr>
        <w:t xml:space="preserve">Boxplot of </w:t>
      </w:r>
      <w:r w:rsidR="00357B19">
        <w:rPr>
          <w:i/>
          <w:iCs/>
        </w:rPr>
        <w:t xml:space="preserve">Editorial Valence and Selection Valence </w:t>
      </w:r>
      <w:r w:rsidR="00357B19" w:rsidRPr="007F1487">
        <w:rPr>
          <w:highlight w:val="yellow"/>
        </w:rPr>
        <w:t>NEED TO CHANGE LABELS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0"/>
          <w:headerReference w:type="default" r:id="rId11"/>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lastRenderedPageBreak/>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mean ideological </w:t>
            </w:r>
            <w:r w:rsidR="002A4068" w:rsidRPr="007F1487">
              <w:rPr>
                <w:sz w:val="22"/>
                <w:szCs w:val="22"/>
              </w:rPr>
              <w:t>valence</w:t>
            </w:r>
            <w:r w:rsidR="00D02A32" w:rsidRPr="007F1487">
              <w:rPr>
                <w:sz w:val="22"/>
                <w:szCs w:val="22"/>
              </w:rPr>
              <w:t xml:space="preserve"> of outlets </w:t>
            </w:r>
            <w:r w:rsidR="00004285" w:rsidRPr="007F1487">
              <w:rPr>
                <w:sz w:val="22"/>
                <w:szCs w:val="22"/>
              </w:rPr>
              <w:t>an individual</w:t>
            </w:r>
            <w:r w:rsidR="00D02A32" w:rsidRPr="007F1487">
              <w:rPr>
                <w:sz w:val="22"/>
                <w:szCs w:val="22"/>
              </w:rPr>
              <w:t xml:space="preserve"> pays attention to</w:t>
            </w:r>
            <w:r w:rsidR="002A4068" w:rsidRPr="007F1487">
              <w:rPr>
                <w:sz w:val="22"/>
                <w:szCs w:val="22"/>
              </w:rPr>
              <w:t xml:space="preserve"> (+ </w:t>
            </w:r>
            <w:r w:rsidR="00E8637C" w:rsidRPr="007F1487">
              <w:rPr>
                <w:sz w:val="22"/>
                <w:szCs w:val="22"/>
              </w:rPr>
              <w:t xml:space="preserve">: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4C09C48C" w:rsidR="006542B7" w:rsidRPr="00F0233E" w:rsidRDefault="006542B7" w:rsidP="006542B7">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r w:rsidR="00F0233E" w:rsidRPr="007F1487">
        <w:rPr>
          <w:highlight w:val="yellow"/>
        </w:rPr>
        <w:t>NEED TO CHANGE LABELS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075BA418" w:rsidR="006542B7" w:rsidRPr="00F0233E" w:rsidRDefault="006542B7" w:rsidP="006542B7">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r w:rsidR="00F0233E" w:rsidRPr="00F92A43">
        <w:rPr>
          <w:highlight w:val="yellow"/>
        </w:rPr>
        <w:t>NEED TO CHANGE LABELS</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D07A" w14:textId="77777777" w:rsidR="00F207C9" w:rsidRDefault="00F207C9" w:rsidP="00F54B9D">
      <w:r>
        <w:separator/>
      </w:r>
    </w:p>
  </w:endnote>
  <w:endnote w:type="continuationSeparator" w:id="0">
    <w:p w14:paraId="0BB26888" w14:textId="77777777" w:rsidR="00F207C9" w:rsidRDefault="00F207C9"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006D" w14:textId="77777777" w:rsidR="00F207C9" w:rsidRDefault="00F207C9" w:rsidP="00F54B9D">
      <w:r>
        <w:separator/>
      </w:r>
    </w:p>
  </w:footnote>
  <w:footnote w:type="continuationSeparator" w:id="0">
    <w:p w14:paraId="4837D2A9" w14:textId="77777777" w:rsidR="00F207C9" w:rsidRDefault="00F207C9"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95D42"/>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5A92"/>
    <w:rsid w:val="00141666"/>
    <w:rsid w:val="00141B91"/>
    <w:rsid w:val="00143DF5"/>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06BA7"/>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6110"/>
    <w:rsid w:val="005177DD"/>
    <w:rsid w:val="0051783A"/>
    <w:rsid w:val="00523F6B"/>
    <w:rsid w:val="005369FC"/>
    <w:rsid w:val="005370C6"/>
    <w:rsid w:val="0054094A"/>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4400"/>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51E4C"/>
    <w:rsid w:val="0075337A"/>
    <w:rsid w:val="007701C4"/>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1134"/>
    <w:rsid w:val="008142AE"/>
    <w:rsid w:val="008209A7"/>
    <w:rsid w:val="00820B5A"/>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539F1"/>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07C9"/>
    <w:rsid w:val="00F279DC"/>
    <w:rsid w:val="00F31675"/>
    <w:rsid w:val="00F316E0"/>
    <w:rsid w:val="00F319DC"/>
    <w:rsid w:val="00F336E5"/>
    <w:rsid w:val="00F40439"/>
    <w:rsid w:val="00F4231C"/>
    <w:rsid w:val="00F43EC5"/>
    <w:rsid w:val="00F543D1"/>
    <w:rsid w:val="00F54441"/>
    <w:rsid w:val="00F54B9D"/>
    <w:rsid w:val="00F56232"/>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politico.com/news/magazine/2022/02/02/democrats-fox-news-entertainment-conservative-liberal-0000484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43</Pages>
  <Words>10076</Words>
  <Characters>57434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14</cp:revision>
  <dcterms:created xsi:type="dcterms:W3CDTF">2022-02-14T16:30:00Z</dcterms:created>
  <dcterms:modified xsi:type="dcterms:W3CDTF">2022-02-17T20:14:00Z</dcterms:modified>
</cp:coreProperties>
</file>