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xml:space="preserve">; </w:t>
      </w:r>
      <w:r w:rsidR="0054094A">
        <w:t>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lastRenderedPageBreak/>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w:t>
      </w:r>
      <w:r>
        <w:lastRenderedPageBreak/>
        <w:t xml:space="preserve">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lastRenderedPageBreak/>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w:t>
      </w:r>
      <w:r w:rsidRPr="009A45D6">
        <w:lastRenderedPageBreak/>
        <w:t>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t>
      </w:r>
      <w:r w:rsidR="008D4066">
        <w:lastRenderedPageBreak/>
        <w:t xml:space="preserve">well. </w:t>
      </w:r>
      <w:r w:rsidR="00BF4FB4">
        <w:t>Thus</w:t>
      </w:r>
      <w:r w:rsidR="008D4066">
        <w:t>, both selection and non-avoidance owe much to environmental factors in additional to individual-level motivations.</w:t>
      </w:r>
    </w:p>
    <w:p w14:paraId="0E2C9FBA" w14:textId="74634834"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w:t>
      </w:r>
      <w:r>
        <w:lastRenderedPageBreak/>
        <w:t xml:space="preserve">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lastRenderedPageBreak/>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4F4B12AE" w:rsidR="0054094A" w:rsidRDefault="0054094A" w:rsidP="0054094A">
      <w:pPr>
        <w:spacing w:line="480" w:lineRule="auto"/>
        <w:ind w:firstLine="720"/>
      </w:pPr>
      <w:r>
        <w:t>Motivations and technology use creates the initial conditions for a news niche to form, but we argue that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2F5F26B9" w14:textId="1CAC4DDE" w:rsidR="0054094A" w:rsidRDefault="0054094A" w:rsidP="0054094A">
      <w:pPr>
        <w:spacing w:line="480" w:lineRule="auto"/>
        <w:ind w:firstLine="720"/>
      </w:pPr>
      <w:r>
        <w:t>Given that ideological news is one strategy to capture audiences, it is not surprising that popular news outlets are now either objectively partisan or circulate narratives from the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 </w:t>
      </w:r>
      <w:r>
        <w:lastRenderedPageBreak/>
        <w:t>homogenous as initially believed</w:t>
      </w:r>
      <w:r w:rsidR="00910B80">
        <w:t xml:space="preserve"> (</w:t>
      </w:r>
      <w:proofErr w:type="spellStart"/>
      <w:r w:rsidR="00910B80" w:rsidRPr="009A45D6">
        <w:t>Arguedes</w:t>
      </w:r>
      <w:proofErr w:type="spellEnd"/>
      <w:r w:rsidR="00910B80" w:rsidRPr="009A45D6">
        <w:t xml:space="preserve"> et al., 2022</w:t>
      </w:r>
      <w:r w:rsidR="00910B80">
        <w:t>).</w:t>
      </w:r>
      <w:r>
        <w:t xml:space="preserve"> That is, contrary to popular narratives, shared ideology is not the only defining feature of a news niche. </w:t>
      </w:r>
    </w:p>
    <w:p w14:paraId="705D4A1E" w14:textId="59C8C8D5" w:rsidR="0054094A" w:rsidRDefault="0054094A" w:rsidP="0054094A">
      <w:pPr>
        <w:spacing w:line="480" w:lineRule="auto"/>
        <w:ind w:firstLine="720"/>
      </w:pPr>
      <w:r>
        <w:t xml:space="preserve">Rather, we argue that the within niche patterns of news selection reflect a relationship of </w:t>
      </w:r>
      <w:r w:rsidRPr="00A94407">
        <w:rPr>
          <w:i/>
          <w:iCs/>
        </w:rPr>
        <w:t>competition and symbiosis</w:t>
      </w:r>
      <w:r>
        <w:t xml:space="preserve"> among organizations, where segments are not bifurcated according to left and right leanings, but 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t>characteristics. 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New York Times, </w:t>
      </w:r>
      <w:r w:rsidR="00206BA7">
        <w:t>usually</w:t>
      </w:r>
      <w:r>
        <w:t xml:space="preserve"> also read the Washington Post. In another example, Breitbart does not take viewers away from the larger right-leaning players like Fox, but they piggyback or siphon audiences to and from the radical-right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balance is achieved, where organizations cater to a range of factors, including platform preferences, socio-economic standing, and geographic connections. </w:t>
      </w:r>
      <w:r>
        <w:t xml:space="preserve">So, while market forces have incentivized partisan news, the interactions between audiences and organizations are better characterized </w:t>
      </w:r>
      <w:r w:rsidR="009E0EE1">
        <w:t xml:space="preserve">as a </w:t>
      </w:r>
      <w:r>
        <w:t xml:space="preserve">niche, </w:t>
      </w:r>
      <w:r w:rsidR="00206BA7">
        <w:t xml:space="preserve">which is comprised of audiences linked by a range of individual and system-level factors.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w:t>
      </w:r>
      <w:r>
        <w:lastRenderedPageBreak/>
        <w:t xml:space="preserve">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w:t>
      </w:r>
      <w:r w:rsidR="00B970DD">
        <w:lastRenderedPageBreak/>
        <w:t xml:space="preserve">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 xml:space="preserve">recruited by Qualtrics and completed the survey </w:t>
      </w:r>
      <w:r w:rsidR="00497D00" w:rsidRPr="00971A4D">
        <w:lastRenderedPageBreak/>
        <w:t>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lastRenderedPageBreak/>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lastRenderedPageBreak/>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xml:space="preserve">, </w:t>
      </w:r>
      <w:r w:rsidRPr="00971A4D">
        <w:rPr>
          <w:bCs/>
          <w:color w:val="000000" w:themeColor="text1"/>
        </w:rPr>
        <w:lastRenderedPageBreak/>
        <w:t>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lastRenderedPageBreak/>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lastRenderedPageBreak/>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lastRenderedPageBreak/>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C8A0F80" w:rsidR="00B16C0E" w:rsidRPr="00390F8F" w:rsidRDefault="00B16C0E" w:rsidP="00B16C0E">
      <w:pPr>
        <w:spacing w:line="480" w:lineRule="auto"/>
        <w:ind w:firstLine="720"/>
      </w:pPr>
      <w:r w:rsidRPr="00971A4D">
        <w:lastRenderedPageBreak/>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62B2DA40"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 xml:space="preserve">the </w:t>
      </w:r>
      <w:r w:rsidRPr="00390F8F">
        <w:t>niches</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w:t>
      </w:r>
      <w:r>
        <w:lastRenderedPageBreak/>
        <w:t xml:space="preserve">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 xml:space="preserve">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w:t>
      </w:r>
      <w:proofErr w:type="gramStart"/>
      <w:r>
        <w:t>it is clear that cable</w:t>
      </w:r>
      <w:proofErr w:type="gramEnd"/>
      <w:r>
        <w:t xml:space="preserv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3844EF06" w:rsidR="00B16C0E" w:rsidRPr="00AF3EF3" w:rsidRDefault="00B16C0E" w:rsidP="00B16C0E">
      <w:pPr>
        <w:spacing w:line="480" w:lineRule="auto"/>
      </w:pPr>
      <w:r>
        <w:lastRenderedPageBreak/>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 may take on an ‘actuarial’ quality thanks to </w:t>
      </w:r>
      <w:r w:rsidR="00745F72">
        <w:t xml:space="preserve">editorial decisions that target audiences across mediums, including </w:t>
      </w:r>
      <w:r>
        <w:t xml:space="preserve">news curation algorithms on major platforms </w:t>
      </w:r>
      <w:r w:rsidR="00745F72">
        <w:t>like</w:t>
      </w:r>
      <w:r>
        <w:t xml:space="preserve">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w:t>
      </w:r>
      <w:proofErr w:type="gramStart"/>
      <w:r>
        <w:t>in light of</w:t>
      </w:r>
      <w:proofErr w:type="gramEnd"/>
      <w:r>
        <w:t xml:space="preserve">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w:t>
      </w:r>
      <w:r>
        <w:lastRenderedPageBreak/>
        <w:t>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3F6F811C"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11A75AAA" w14:textId="565FFA50"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w:t>
      </w:r>
      <w:r>
        <w:lastRenderedPageBreak/>
        <w:t xml:space="preserve">include multiple responses from each participant in the study. Thus, the design reduces to a ‘cross-section’ of the target population during a specific </w:t>
      </w:r>
      <w:r w:rsidR="00646E8E">
        <w:t>period</w:t>
      </w:r>
      <w:r>
        <w:t xml:space="preserve">,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t>
      </w:r>
      <w:proofErr w:type="gramStart"/>
      <w:r w:rsidRPr="0030659C">
        <w:t>widely-used</w:t>
      </w:r>
      <w:proofErr w:type="gramEnd"/>
      <w:r w:rsidRPr="0030659C">
        <w:t xml:space="preserve">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lastRenderedPageBreak/>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proofErr w:type="gramStart"/>
      <w:r w:rsidR="00646E8E">
        <w:t>bubbles’</w:t>
      </w:r>
      <w:proofErr w:type="gramEnd"/>
      <w:r w:rsidR="00646E8E">
        <w:t xml:space="preserve">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lastRenderedPageBreak/>
        <w:t>References</w:t>
      </w:r>
    </w:p>
    <w:p w14:paraId="0066AAA2" w14:textId="2D5CB6F3"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The Outrage Industry: Political Opinion Media and the New Incivility</w:t>
      </w:r>
      <w:r w:rsidRPr="00605E14">
        <w:rPr>
          <w:color w:val="000000" w:themeColor="text1"/>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lastRenderedPageBreak/>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77777777"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Blind Spots of Measuring Online News </w:t>
      </w:r>
      <w:r w:rsidRPr="006246B6">
        <w:tab/>
        <w:t xml:space="preserve">Exposure: A Comparison of Self-Reported and Observational Data in Nine Countries. </w:t>
      </w:r>
      <w:r w:rsidRPr="006246B6">
        <w:tab/>
        <w:t xml:space="preserve">Preprint available at SSRN, abstract 3522774. </w:t>
      </w:r>
    </w:p>
    <w:p w14:paraId="110FCBE3" w14:textId="1066BE7E"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lastRenderedPageBreak/>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lastRenderedPageBreak/>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lastRenderedPageBreak/>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7F4274B" w14:textId="7E29C516" w:rsidR="0054094A" w:rsidRDefault="0054094A" w:rsidP="0054094A">
      <w:pPr>
        <w:spacing w:line="480" w:lineRule="auto"/>
        <w:ind w:left="720" w:hanging="720"/>
      </w:pPr>
      <w:r>
        <w:t>Shafer, J. (</w:t>
      </w:r>
      <w:r>
        <w:t>2022</w:t>
      </w:r>
      <w:r>
        <w:t xml:space="preserve">). </w:t>
      </w:r>
      <w:r>
        <w:rPr>
          <w:i/>
          <w:iCs/>
        </w:rPr>
        <w:t>Democrats With a Dirty Secret—They Watch Fox</w:t>
      </w:r>
      <w:r>
        <w:t>. POLITICO. Retrieved from</w:t>
      </w:r>
      <w:r w:rsidR="00745F72">
        <w:t xml:space="preserve"> h</w:t>
      </w:r>
      <w:r w:rsidR="00745F72" w:rsidRPr="00745F72">
        <w:t>ttps://www.politico.com/news/magazine/2022/02/02/democrats-fox-news-entertainment-conservative-liberal-00004843</w:t>
      </w:r>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3D142703"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media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0240EC3" w14:textId="12452978" w:rsidR="006759D5" w:rsidRDefault="006759D5" w:rsidP="006759D5">
      <w:pPr>
        <w:spacing w:line="480" w:lineRule="auto"/>
        <w:rPr>
          <w:color w:val="222222"/>
          <w:shd w:val="clear" w:color="auto" w:fill="FFFFFF"/>
        </w:rPr>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t xml:space="preserve">Well-Connected Communities.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lastRenderedPageBreak/>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lastRenderedPageBreak/>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713D97CF" w14:textId="55564E67" w:rsidR="00C3015D" w:rsidRPr="00E871C2" w:rsidRDefault="006542B7" w:rsidP="0023527F">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3B32943C" w14:textId="63860C29" w:rsidR="006542B7" w:rsidRDefault="006542B7" w:rsidP="006542B7">
      <w:r>
        <w:lastRenderedPageBreak/>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FF77" w14:textId="77777777" w:rsidR="004B0340" w:rsidRDefault="004B0340" w:rsidP="00F54B9D">
      <w:r>
        <w:separator/>
      </w:r>
    </w:p>
  </w:endnote>
  <w:endnote w:type="continuationSeparator" w:id="0">
    <w:p w14:paraId="4BBBAFB1" w14:textId="77777777" w:rsidR="004B0340" w:rsidRDefault="004B0340"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2530" w14:textId="77777777" w:rsidR="004B0340" w:rsidRDefault="004B0340" w:rsidP="00F54B9D">
      <w:r>
        <w:separator/>
      </w:r>
    </w:p>
  </w:footnote>
  <w:footnote w:type="continuationSeparator" w:id="0">
    <w:p w14:paraId="38F36CF5" w14:textId="77777777" w:rsidR="004B0340" w:rsidRDefault="004B0340"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05E14"/>
    <w:rsid w:val="00615173"/>
    <w:rsid w:val="0062215D"/>
    <w:rsid w:val="00625503"/>
    <w:rsid w:val="006313BC"/>
    <w:rsid w:val="0063337A"/>
    <w:rsid w:val="00634347"/>
    <w:rsid w:val="0063545D"/>
    <w:rsid w:val="0064492B"/>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45F72"/>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42</Pages>
  <Words>9989</Words>
  <Characters>56941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6</cp:revision>
  <dcterms:created xsi:type="dcterms:W3CDTF">2022-02-17T20:26:00Z</dcterms:created>
  <dcterms:modified xsi:type="dcterms:W3CDTF">2022-02-17T22:04:00Z</dcterms:modified>
</cp:coreProperties>
</file>