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128255CF"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w:t>
      </w:r>
      <w:r w:rsidR="00E90008">
        <w:t xml:space="preserve"> </w:t>
      </w:r>
      <w:r w:rsidRPr="003D3E1F">
        <w:t>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w:t>
      </w:r>
      <w:r w:rsidR="00E90008">
        <w:t xml:space="preserve">latter </w:t>
      </w:r>
      <w:r w:rsidRPr="003D3E1F">
        <w:t xml:space="preserve">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51072081"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w:t>
      </w:r>
      <w:r w:rsidRPr="008330FA">
        <w:rPr>
          <w:color w:val="000000" w:themeColor="text1"/>
        </w:rPr>
        <w:lastRenderedPageBreak/>
        <w:t>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xml:space="preserve">; </w:t>
      </w:r>
      <w:r w:rsidR="006154A3">
        <w:t>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1BE410A9"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w:t>
      </w:r>
      <w:r w:rsidRPr="009A45D6">
        <w:lastRenderedPageBreak/>
        <w:t xml:space="preserve">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5368641F"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 but also from the technological infrastructure of major news platforms, including search engines, aggregators, news apps, and social media sites. </w:t>
      </w:r>
    </w:p>
    <w:p w14:paraId="67FD72BE" w14:textId="6E64ADE0" w:rsidR="00467190" w:rsidRPr="009A45D6" w:rsidRDefault="009A45D6" w:rsidP="009A45D6">
      <w:pPr>
        <w:spacing w:line="480" w:lineRule="auto"/>
        <w:ind w:firstLine="720"/>
      </w:pPr>
      <w:r w:rsidRPr="009A45D6">
        <w:lastRenderedPageBreak/>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w:t>
      </w:r>
      <w:r w:rsidR="008D4066">
        <w:lastRenderedPageBreak/>
        <w:t xml:space="preserve">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t>
      </w:r>
      <w:r w:rsidR="00CF7165">
        <w:t xml:space="preserve">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lastRenderedPageBreak/>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w:t>
      </w:r>
      <w:r w:rsidR="00FE54CA">
        <w:lastRenderedPageBreak/>
        <w:t xml:space="preserve">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06E74316" w:rsidR="00467190" w:rsidRDefault="00467190" w:rsidP="00467190">
      <w:pPr>
        <w:spacing w:line="480" w:lineRule="auto"/>
      </w:pPr>
      <w:r>
        <w:lastRenderedPageBreak/>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35FBFF6"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lastRenderedPageBreak/>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lastRenderedPageBreak/>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lastRenderedPageBreak/>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lastRenderedPageBreak/>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1CD1999E"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network projection is constituted by individual respondents who are connected via shared attention to news organizations, which occurs when two or more respondents name the same news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lastRenderedPageBreak/>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w:t>
      </w:r>
      <w:r w:rsidR="005A51E3" w:rsidRPr="00971A4D">
        <w:lastRenderedPageBreak/>
        <w:t xml:space="preserve">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 xml:space="preserve">17 frames x 3 niches = </w:t>
      </w:r>
      <w:r w:rsidR="00DA576A" w:rsidRPr="00971A4D">
        <w:lastRenderedPageBreak/>
        <w:t>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t>
      </w:r>
      <w:r w:rsidRPr="00971A4D">
        <w:lastRenderedPageBreak/>
        <w:t xml:space="preserve">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w:t>
      </w:r>
      <w:r>
        <w:lastRenderedPageBreak/>
        <w:t xml:space="preserve">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w:t>
      </w:r>
      <w:r>
        <w:lastRenderedPageBreak/>
        <w:t>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w:t>
      </w:r>
      <w:r>
        <w:lastRenderedPageBreak/>
        <w:t xml:space="preserve">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w:t>
      </w:r>
      <w:r>
        <w:lastRenderedPageBreak/>
        <w:t xml:space="preserve">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 xml:space="preserve">n clustering algorithm is one of </w:t>
      </w:r>
      <w:r w:rsidRPr="0030659C">
        <w:lastRenderedPageBreak/>
        <w:t>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2D98C43F"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w:t>
      </w:r>
      <w:r w:rsidR="00BD294A">
        <w:t xml:space="preserve">In </w:t>
      </w:r>
      <w:r>
        <w:t xml:space="preserve">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lastRenderedPageBreak/>
        <w:t xml:space="preserve">The authors declare no conflicts of interest. </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lastRenderedPageBreak/>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lastRenderedPageBreak/>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0612" w14:textId="77777777" w:rsidR="002416C1" w:rsidRDefault="002416C1" w:rsidP="00F54B9D">
      <w:r>
        <w:separator/>
      </w:r>
    </w:p>
  </w:endnote>
  <w:endnote w:type="continuationSeparator" w:id="0">
    <w:p w14:paraId="3CDFDF67" w14:textId="77777777" w:rsidR="002416C1" w:rsidRDefault="002416C1"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6DD8" w14:textId="77777777" w:rsidR="002416C1" w:rsidRDefault="002416C1" w:rsidP="00F54B9D">
      <w:r>
        <w:separator/>
      </w:r>
    </w:p>
  </w:footnote>
  <w:footnote w:type="continuationSeparator" w:id="0">
    <w:p w14:paraId="4C54022D" w14:textId="77777777" w:rsidR="002416C1" w:rsidRDefault="002416C1"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556"/>
    <w:rsid w:val="002D7ABE"/>
    <w:rsid w:val="002E05B5"/>
    <w:rsid w:val="002E3B0C"/>
    <w:rsid w:val="002E3E23"/>
    <w:rsid w:val="002E441B"/>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6C28"/>
    <w:rsid w:val="00C16C59"/>
    <w:rsid w:val="00C16D1E"/>
    <w:rsid w:val="00C17205"/>
    <w:rsid w:val="00C2121E"/>
    <w:rsid w:val="00C23F40"/>
    <w:rsid w:val="00C247A9"/>
    <w:rsid w:val="00C25EF9"/>
    <w:rsid w:val="00C26C86"/>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86C01"/>
    <w:rsid w:val="00E90008"/>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8554</Words>
  <Characters>48762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111</cp:revision>
  <dcterms:created xsi:type="dcterms:W3CDTF">2022-02-17T20:26:00Z</dcterms:created>
  <dcterms:modified xsi:type="dcterms:W3CDTF">2022-02-21T17:59:00Z</dcterms:modified>
</cp:coreProperties>
</file>