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EAA53E" w14:textId="77777777" w:rsidR="008A4E21" w:rsidRDefault="008A4E21" w:rsidP="00455A37">
      <w:pPr>
        <w:rPr>
          <w:b/>
          <w:bCs/>
          <w:sz w:val="28"/>
          <w:szCs w:val="28"/>
        </w:rPr>
      </w:pPr>
    </w:p>
    <w:p w14:paraId="18411D02" w14:textId="19B4DF63" w:rsidR="00455A37" w:rsidRPr="00455A37" w:rsidRDefault="00455A37" w:rsidP="00455A37">
      <w:pPr>
        <w:rPr>
          <w:b/>
          <w:bCs/>
          <w:sz w:val="28"/>
          <w:szCs w:val="28"/>
        </w:rPr>
      </w:pPr>
      <w:r w:rsidRPr="00455A37">
        <w:rPr>
          <w:b/>
          <w:bCs/>
          <w:sz w:val="28"/>
          <w:szCs w:val="28"/>
        </w:rPr>
        <w:t>Question 1: What did you learn?</w:t>
      </w:r>
    </w:p>
    <w:p w14:paraId="150286BC" w14:textId="77777777" w:rsidR="00455A37" w:rsidRPr="00455A37" w:rsidRDefault="00455A37" w:rsidP="00455A37">
      <w:pPr>
        <w:rPr>
          <w:sz w:val="28"/>
          <w:szCs w:val="28"/>
        </w:rPr>
      </w:pPr>
      <w:r w:rsidRPr="00455A37">
        <w:rPr>
          <w:sz w:val="28"/>
          <w:szCs w:val="28"/>
        </w:rPr>
        <w:t xml:space="preserve">Honestly, I didn’t feel like I learned a lot of brand-new information from this course. That’s not to say the material wasn’t important—it </w:t>
      </w:r>
      <w:proofErr w:type="gramStart"/>
      <w:r w:rsidRPr="00455A37">
        <w:rPr>
          <w:sz w:val="28"/>
          <w:szCs w:val="28"/>
        </w:rPr>
        <w:t>definitely was</w:t>
      </w:r>
      <w:proofErr w:type="gramEnd"/>
      <w:r w:rsidRPr="00455A37">
        <w:rPr>
          <w:sz w:val="28"/>
          <w:szCs w:val="28"/>
        </w:rPr>
        <w:t>—but I realized a lot of it was something I’d already been exposed to through past onboarding or other training sessions. For example, topics like reconciliation and the impacts of colonialism are things I’ve come across multiple times in my work, especially given that I’m part of the millennial generation in Canada. We’ve been hearing and talking about these issues for a while now.</w:t>
      </w:r>
    </w:p>
    <w:p w14:paraId="1CF785D5" w14:textId="10310618" w:rsidR="00455A37" w:rsidRDefault="00455A37" w:rsidP="00455A37">
      <w:pPr>
        <w:rPr>
          <w:sz w:val="28"/>
          <w:szCs w:val="28"/>
        </w:rPr>
      </w:pPr>
      <w:r w:rsidRPr="00455A37">
        <w:rPr>
          <w:sz w:val="28"/>
          <w:szCs w:val="28"/>
        </w:rPr>
        <w:t>But I don’t think that’s a bad thing at all. If anything, it’s a sign that the message is spreading and taking root. It feels more like a check-in on</w:t>
      </w:r>
      <w:r w:rsidR="008A4E21">
        <w:rPr>
          <w:sz w:val="28"/>
          <w:szCs w:val="28"/>
        </w:rPr>
        <w:t xml:space="preserve"> or a refresher</w:t>
      </w:r>
      <w:r w:rsidRPr="00455A37">
        <w:rPr>
          <w:sz w:val="28"/>
          <w:szCs w:val="28"/>
        </w:rPr>
        <w:t xml:space="preserve">. I don’t think we always appreciate the fact that for a lot of people, this information is no longer “new,” but that’s a good thing—it means progress is being made. For me, the course was more about reflection and reinforcing what I already know, and that’s </w:t>
      </w:r>
      <w:proofErr w:type="gramStart"/>
      <w:r w:rsidRPr="00455A37">
        <w:rPr>
          <w:sz w:val="28"/>
          <w:szCs w:val="28"/>
        </w:rPr>
        <w:t>valuable in itself</w:t>
      </w:r>
      <w:proofErr w:type="gramEnd"/>
      <w:r w:rsidRPr="00455A37">
        <w:rPr>
          <w:sz w:val="28"/>
          <w:szCs w:val="28"/>
        </w:rPr>
        <w:t>.</w:t>
      </w:r>
    </w:p>
    <w:p w14:paraId="3C8DC8F7" w14:textId="4E80D962" w:rsidR="008A4E21" w:rsidRPr="008A4E21" w:rsidRDefault="008A4E21" w:rsidP="008A4E21">
      <w:pPr>
        <w:rPr>
          <w:sz w:val="28"/>
          <w:szCs w:val="28"/>
        </w:rPr>
      </w:pPr>
      <w:r>
        <w:rPr>
          <w:sz w:val="28"/>
          <w:szCs w:val="28"/>
        </w:rPr>
        <w:t>However, while writing this refection I realized that o</w:t>
      </w:r>
      <w:r w:rsidRPr="008A4E21">
        <w:rPr>
          <w:sz w:val="28"/>
          <w:szCs w:val="28"/>
        </w:rPr>
        <w:t xml:space="preserve">ne of the things I’ve come to appreciate is the similarities between Indigenous teaching methods and some of my own natural approaches to education. For example, I love to tell stories when I teach. I often tell stories about famous scientists like Michael Faraday or Richard Feynman—not just about their discoveries but about their personal journeys, the challenges they faced, and the perseverance that led to their breakthroughs. I find that this helps my students relate to these individuals and remember not just the facts, but the deeper </w:t>
      </w:r>
      <w:r w:rsidR="004B4FB6">
        <w:rPr>
          <w:sz w:val="28"/>
          <w:szCs w:val="28"/>
        </w:rPr>
        <w:t>connection the</w:t>
      </w:r>
      <w:r w:rsidRPr="008A4E21">
        <w:rPr>
          <w:sz w:val="28"/>
          <w:szCs w:val="28"/>
        </w:rPr>
        <w:t xml:space="preserve"> concepts.</w:t>
      </w:r>
    </w:p>
    <w:p w14:paraId="26638EB6" w14:textId="77777777" w:rsidR="008A4E21" w:rsidRPr="008A4E21" w:rsidRDefault="008A4E21" w:rsidP="008A4E21">
      <w:pPr>
        <w:rPr>
          <w:sz w:val="28"/>
          <w:szCs w:val="28"/>
        </w:rPr>
      </w:pPr>
      <w:r w:rsidRPr="008A4E21">
        <w:rPr>
          <w:sz w:val="28"/>
          <w:szCs w:val="28"/>
        </w:rPr>
        <w:t>What I’ve realized is that this storytelling approach, which comes naturally to me, aligns closely with Indigenous ways of teaching. In many Indigenous cultures, knowledge is passed down through stories, which provide not just information but context, lessons, and values. Storytelling connects learners to the knowledge in a way that’s personal and engaging, and it reinforces the idea that learning is a shared experience.</w:t>
      </w:r>
    </w:p>
    <w:p w14:paraId="5466B3EF" w14:textId="77777777" w:rsidR="008A4E21" w:rsidRPr="008A4E21" w:rsidRDefault="008A4E21" w:rsidP="008A4E21">
      <w:pPr>
        <w:rPr>
          <w:sz w:val="28"/>
          <w:szCs w:val="28"/>
        </w:rPr>
      </w:pPr>
      <w:r w:rsidRPr="008A4E21">
        <w:rPr>
          <w:sz w:val="28"/>
          <w:szCs w:val="28"/>
        </w:rPr>
        <w:lastRenderedPageBreak/>
        <w:t>Reflecting on this, I think it’s important to recognize and celebrate these similarities. Sometimes we overlook the ways our teaching methods already align with Indigenous ways of knowing. By acknowledging this, we can build stronger connections with our students and better integrate Indigenous perspectives into our curriculum in a way that feels authentic and meaningful. It’s not just about adding new methods, but about recognizing and deepening the ones we already use that align with Indigenous approaches.</w:t>
      </w:r>
    </w:p>
    <w:p w14:paraId="24EB1517" w14:textId="77777777" w:rsidR="008A4E21" w:rsidRPr="00455A37" w:rsidRDefault="008A4E21" w:rsidP="00455A37">
      <w:pPr>
        <w:rPr>
          <w:sz w:val="28"/>
          <w:szCs w:val="28"/>
        </w:rPr>
      </w:pPr>
    </w:p>
    <w:p w14:paraId="12C9178D" w14:textId="0E56A7EA" w:rsidR="00455A37" w:rsidRPr="00455A37" w:rsidRDefault="00455A37" w:rsidP="00455A37">
      <w:pPr>
        <w:rPr>
          <w:b/>
          <w:bCs/>
          <w:sz w:val="28"/>
          <w:szCs w:val="28"/>
        </w:rPr>
      </w:pPr>
      <w:r w:rsidRPr="00455A37">
        <w:rPr>
          <w:b/>
          <w:bCs/>
          <w:sz w:val="28"/>
          <w:szCs w:val="28"/>
        </w:rPr>
        <w:t>Question 2: What do I still need to learn?</w:t>
      </w:r>
    </w:p>
    <w:p w14:paraId="4799394A" w14:textId="4E4FC113" w:rsidR="00455A37" w:rsidRPr="00455A37" w:rsidRDefault="007D3507" w:rsidP="00455A37">
      <w:pPr>
        <w:rPr>
          <w:sz w:val="28"/>
          <w:szCs w:val="28"/>
        </w:rPr>
      </w:pPr>
      <w:r w:rsidRPr="008A4E21">
        <w:rPr>
          <w:sz w:val="28"/>
          <w:szCs w:val="28"/>
        </w:rPr>
        <w:t xml:space="preserve">Moving forward, I believe </w:t>
      </w:r>
      <w:r w:rsidR="00455A37" w:rsidRPr="00455A37">
        <w:rPr>
          <w:sz w:val="28"/>
          <w:szCs w:val="28"/>
        </w:rPr>
        <w:t xml:space="preserve">it’s not just about learning more facts but about staying connected and engaged with </w:t>
      </w:r>
      <w:r w:rsidRPr="008A4E21">
        <w:rPr>
          <w:sz w:val="28"/>
          <w:szCs w:val="28"/>
        </w:rPr>
        <w:t xml:space="preserve">members of the </w:t>
      </w:r>
      <w:r w:rsidR="00455A37" w:rsidRPr="00455A37">
        <w:rPr>
          <w:sz w:val="28"/>
          <w:szCs w:val="28"/>
        </w:rPr>
        <w:t>Indigenous communities. I think this is critical because it ensures that we aren’t just passive recipients of information—we are part of the process, maintaining an ongoing relationship that evolves as the needs of peoples evolve.</w:t>
      </w:r>
    </w:p>
    <w:p w14:paraId="5C37A725" w14:textId="1C924E3C" w:rsidR="00455A37" w:rsidRPr="00455A37" w:rsidRDefault="00455A37" w:rsidP="00455A37">
      <w:pPr>
        <w:rPr>
          <w:sz w:val="28"/>
          <w:szCs w:val="28"/>
        </w:rPr>
      </w:pPr>
      <w:r w:rsidRPr="00455A37">
        <w:rPr>
          <w:sz w:val="28"/>
          <w:szCs w:val="28"/>
        </w:rPr>
        <w:t xml:space="preserve">By staying connected, we remain accountable. It’s easy for reconciliation efforts to stagnate if they become abstract or disconnected from real people and communities. When we engage with Indigenous communities regularly, it becomes clearer whether our responses are relevant and </w:t>
      </w:r>
      <w:proofErr w:type="gramStart"/>
      <w:r w:rsidRPr="00455A37">
        <w:rPr>
          <w:sz w:val="28"/>
          <w:szCs w:val="28"/>
        </w:rPr>
        <w:t>actually having</w:t>
      </w:r>
      <w:proofErr w:type="gramEnd"/>
      <w:r w:rsidRPr="00455A37">
        <w:rPr>
          <w:sz w:val="28"/>
          <w:szCs w:val="28"/>
        </w:rPr>
        <w:t xml:space="preserve"> an impact. This isn’t a one-size-fits-all process; what worked in the past might not work in the future. </w:t>
      </w:r>
    </w:p>
    <w:p w14:paraId="5E14196C" w14:textId="77777777" w:rsidR="00455A37" w:rsidRPr="00455A37" w:rsidRDefault="00455A37" w:rsidP="00455A37">
      <w:pPr>
        <w:rPr>
          <w:sz w:val="28"/>
          <w:szCs w:val="28"/>
        </w:rPr>
      </w:pPr>
      <w:r w:rsidRPr="00455A37">
        <w:rPr>
          <w:sz w:val="28"/>
          <w:szCs w:val="28"/>
        </w:rPr>
        <w:t>Making sure our responses are relevant and effective also means actively listening to Indigenous voices, letting them lead the conversation about their needs. It’s not enough to assume that what we’re doing is right just because we’ve “learned” the history or issues; we need to constantly check in and ensure that our actions are making a tangible difference, whether it’s in policy changes, community support, or educational approaches. This is how we can ensure we’re not just doing reconciliation performatively but truly contributing to the long-term wellbeing and sovereignty of Indigenous peoples.</w:t>
      </w:r>
    </w:p>
    <w:p w14:paraId="44201C0D" w14:textId="77777777" w:rsidR="00455A37" w:rsidRPr="00455A37" w:rsidRDefault="00455A37" w:rsidP="00455A37">
      <w:pPr>
        <w:rPr>
          <w:sz w:val="28"/>
          <w:szCs w:val="28"/>
        </w:rPr>
      </w:pPr>
      <w:r w:rsidRPr="00455A37">
        <w:rPr>
          <w:sz w:val="28"/>
          <w:szCs w:val="28"/>
        </w:rPr>
        <w:t>In essence, it’s about a dynamic, evolving partnership, rather than a static understanding of history.</w:t>
      </w:r>
    </w:p>
    <w:p w14:paraId="1D1C91F4" w14:textId="77777777" w:rsidR="00455A37" w:rsidRPr="008A4E21" w:rsidRDefault="00455A37">
      <w:pPr>
        <w:rPr>
          <w:sz w:val="28"/>
          <w:szCs w:val="28"/>
        </w:rPr>
      </w:pPr>
    </w:p>
    <w:p w14:paraId="1CED35F9" w14:textId="77777777" w:rsidR="008A4E21" w:rsidRPr="008A4E21" w:rsidRDefault="008A4E21" w:rsidP="008A4E21">
      <w:pPr>
        <w:rPr>
          <w:b/>
          <w:bCs/>
          <w:sz w:val="28"/>
          <w:szCs w:val="28"/>
        </w:rPr>
      </w:pPr>
      <w:r w:rsidRPr="008A4E21">
        <w:rPr>
          <w:b/>
          <w:bCs/>
          <w:sz w:val="28"/>
          <w:szCs w:val="28"/>
        </w:rPr>
        <w:t>Question 3: How will you apply your learning?</w:t>
      </w:r>
    </w:p>
    <w:p w14:paraId="533C63BA" w14:textId="77777777" w:rsidR="008A4E21" w:rsidRPr="008A4E21" w:rsidRDefault="008A4E21" w:rsidP="008A4E21">
      <w:pPr>
        <w:rPr>
          <w:sz w:val="28"/>
          <w:szCs w:val="28"/>
        </w:rPr>
      </w:pPr>
      <w:r w:rsidRPr="008A4E21">
        <w:rPr>
          <w:sz w:val="28"/>
          <w:szCs w:val="28"/>
        </w:rPr>
        <w:t xml:space="preserve">I’m </w:t>
      </w:r>
      <w:proofErr w:type="gramStart"/>
      <w:r w:rsidRPr="008A4E21">
        <w:rPr>
          <w:sz w:val="28"/>
          <w:szCs w:val="28"/>
        </w:rPr>
        <w:t>really proud</w:t>
      </w:r>
      <w:proofErr w:type="gramEnd"/>
      <w:r w:rsidRPr="008A4E21">
        <w:rPr>
          <w:sz w:val="28"/>
          <w:szCs w:val="28"/>
        </w:rPr>
        <w:t xml:space="preserve"> of the direction our program is heading when it comes to incorporating Indigenous perspectives into our curriculum. When we upgraded the CAST program from a certificate to a diploma level, one of the first things we did was add an Indigenous studies course. I’m especially proud of that because we were one of the first programs to take this step, and it shows our commitment to creating a more inclusive and informed learning environment.</w:t>
      </w:r>
    </w:p>
    <w:p w14:paraId="4ECAC158" w14:textId="2EA4E72A" w:rsidR="008A4E21" w:rsidRPr="008A4E21" w:rsidRDefault="008A4E21" w:rsidP="008A4E21">
      <w:pPr>
        <w:rPr>
          <w:sz w:val="28"/>
          <w:szCs w:val="28"/>
        </w:rPr>
      </w:pPr>
      <w:r w:rsidRPr="008A4E21">
        <w:rPr>
          <w:sz w:val="28"/>
          <w:szCs w:val="28"/>
        </w:rPr>
        <w:t xml:space="preserve">Beyond the classroom, we’ve been actively trying to engage the Indigenous community in some of our projects. For example, we’ve </w:t>
      </w:r>
      <w:r w:rsidR="004B4FB6">
        <w:rPr>
          <w:sz w:val="28"/>
          <w:szCs w:val="28"/>
        </w:rPr>
        <w:t>meet</w:t>
      </w:r>
      <w:r w:rsidRPr="008A4E21">
        <w:rPr>
          <w:sz w:val="28"/>
          <w:szCs w:val="28"/>
        </w:rPr>
        <w:t xml:space="preserve"> with groups focused on </w:t>
      </w:r>
      <w:r w:rsidRPr="008A4E21">
        <w:rPr>
          <w:b/>
          <w:bCs/>
          <w:sz w:val="28"/>
          <w:szCs w:val="28"/>
        </w:rPr>
        <w:t>food sustainability in northern Saskatchewan</w:t>
      </w:r>
      <w:r w:rsidRPr="008A4E21">
        <w:rPr>
          <w:sz w:val="28"/>
          <w:szCs w:val="28"/>
        </w:rPr>
        <w:t>. These collaborations allow our students and faculty to connect what we’re learning academically with real-world applications that can have a positive impact on Indigenous communities. It’s a two-way learning experience—our students gain valuable insights, and we’re helping to support initiatives that matter to the people in those communities.</w:t>
      </w:r>
    </w:p>
    <w:p w14:paraId="53682096" w14:textId="77777777" w:rsidR="008A4E21" w:rsidRPr="008A4E21" w:rsidRDefault="008A4E21" w:rsidP="008A4E21">
      <w:pPr>
        <w:rPr>
          <w:sz w:val="28"/>
          <w:szCs w:val="28"/>
        </w:rPr>
      </w:pPr>
      <w:r w:rsidRPr="008A4E21">
        <w:rPr>
          <w:sz w:val="28"/>
          <w:szCs w:val="28"/>
        </w:rPr>
        <w:t>Right now, I feel like we’ve planted a lot of seeds in terms of Indigenization within the program. The foundations are there, and now we need to give these efforts time to grow and see how they take effect. It’s important to let these ideas and collaborations develop organically, and I’m optimistic that we’ll soon start to see the results of the work we’ve put in. I genuinely believe we’re on the right track, and I look forward to seeing how our program can continue to support reconciliation and foster lasting, meaningful partnerships with Indigenous communities.</w:t>
      </w:r>
    </w:p>
    <w:p w14:paraId="3D9DEBD9" w14:textId="77777777" w:rsidR="008A4E21" w:rsidRDefault="008A4E21"/>
    <w:sectPr w:rsidR="008A4E2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A37"/>
    <w:rsid w:val="00107DDE"/>
    <w:rsid w:val="00455A37"/>
    <w:rsid w:val="004B4FB6"/>
    <w:rsid w:val="007D3507"/>
    <w:rsid w:val="008A4E21"/>
    <w:rsid w:val="00F3632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854D8"/>
  <w15:chartTrackingRefBased/>
  <w15:docId w15:val="{607D5473-2285-492E-B374-34CB5B7B5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A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5A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5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5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A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5A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5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5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A37"/>
    <w:rPr>
      <w:rFonts w:eastAsiaTheme="majorEastAsia" w:cstheme="majorBidi"/>
      <w:color w:val="272727" w:themeColor="text1" w:themeTint="D8"/>
    </w:rPr>
  </w:style>
  <w:style w:type="paragraph" w:styleId="Title">
    <w:name w:val="Title"/>
    <w:basedOn w:val="Normal"/>
    <w:next w:val="Normal"/>
    <w:link w:val="TitleChar"/>
    <w:uiPriority w:val="10"/>
    <w:qFormat/>
    <w:rsid w:val="00455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A37"/>
    <w:pPr>
      <w:spacing w:before="160"/>
      <w:jc w:val="center"/>
    </w:pPr>
    <w:rPr>
      <w:i/>
      <w:iCs/>
      <w:color w:val="404040" w:themeColor="text1" w:themeTint="BF"/>
    </w:rPr>
  </w:style>
  <w:style w:type="character" w:customStyle="1" w:styleId="QuoteChar">
    <w:name w:val="Quote Char"/>
    <w:basedOn w:val="DefaultParagraphFont"/>
    <w:link w:val="Quote"/>
    <w:uiPriority w:val="29"/>
    <w:rsid w:val="00455A37"/>
    <w:rPr>
      <w:i/>
      <w:iCs/>
      <w:color w:val="404040" w:themeColor="text1" w:themeTint="BF"/>
    </w:rPr>
  </w:style>
  <w:style w:type="paragraph" w:styleId="ListParagraph">
    <w:name w:val="List Paragraph"/>
    <w:basedOn w:val="Normal"/>
    <w:uiPriority w:val="34"/>
    <w:qFormat/>
    <w:rsid w:val="00455A37"/>
    <w:pPr>
      <w:ind w:left="720"/>
      <w:contextualSpacing/>
    </w:pPr>
  </w:style>
  <w:style w:type="character" w:styleId="IntenseEmphasis">
    <w:name w:val="Intense Emphasis"/>
    <w:basedOn w:val="DefaultParagraphFont"/>
    <w:uiPriority w:val="21"/>
    <w:qFormat/>
    <w:rsid w:val="00455A37"/>
    <w:rPr>
      <w:i/>
      <w:iCs/>
      <w:color w:val="0F4761" w:themeColor="accent1" w:themeShade="BF"/>
    </w:rPr>
  </w:style>
  <w:style w:type="paragraph" w:styleId="IntenseQuote">
    <w:name w:val="Intense Quote"/>
    <w:basedOn w:val="Normal"/>
    <w:next w:val="Normal"/>
    <w:link w:val="IntenseQuoteChar"/>
    <w:uiPriority w:val="30"/>
    <w:qFormat/>
    <w:rsid w:val="00455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A37"/>
    <w:rPr>
      <w:i/>
      <w:iCs/>
      <w:color w:val="0F4761" w:themeColor="accent1" w:themeShade="BF"/>
    </w:rPr>
  </w:style>
  <w:style w:type="character" w:styleId="IntenseReference">
    <w:name w:val="Intense Reference"/>
    <w:basedOn w:val="DefaultParagraphFont"/>
    <w:uiPriority w:val="32"/>
    <w:qFormat/>
    <w:rsid w:val="00455A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7064712">
      <w:bodyDiv w:val="1"/>
      <w:marLeft w:val="0"/>
      <w:marRight w:val="0"/>
      <w:marTop w:val="0"/>
      <w:marBottom w:val="0"/>
      <w:divBdr>
        <w:top w:val="none" w:sz="0" w:space="0" w:color="auto"/>
        <w:left w:val="none" w:sz="0" w:space="0" w:color="auto"/>
        <w:bottom w:val="none" w:sz="0" w:space="0" w:color="auto"/>
        <w:right w:val="none" w:sz="0" w:space="0" w:color="auto"/>
      </w:divBdr>
    </w:div>
    <w:div w:id="870874350">
      <w:bodyDiv w:val="1"/>
      <w:marLeft w:val="0"/>
      <w:marRight w:val="0"/>
      <w:marTop w:val="0"/>
      <w:marBottom w:val="0"/>
      <w:divBdr>
        <w:top w:val="none" w:sz="0" w:space="0" w:color="auto"/>
        <w:left w:val="none" w:sz="0" w:space="0" w:color="auto"/>
        <w:bottom w:val="none" w:sz="0" w:space="0" w:color="auto"/>
        <w:right w:val="none" w:sz="0" w:space="0" w:color="auto"/>
      </w:divBdr>
    </w:div>
    <w:div w:id="1237088830">
      <w:bodyDiv w:val="1"/>
      <w:marLeft w:val="0"/>
      <w:marRight w:val="0"/>
      <w:marTop w:val="0"/>
      <w:marBottom w:val="0"/>
      <w:divBdr>
        <w:top w:val="none" w:sz="0" w:space="0" w:color="auto"/>
        <w:left w:val="none" w:sz="0" w:space="0" w:color="auto"/>
        <w:bottom w:val="none" w:sz="0" w:space="0" w:color="auto"/>
        <w:right w:val="none" w:sz="0" w:space="0" w:color="auto"/>
      </w:divBdr>
    </w:div>
    <w:div w:id="1248921298">
      <w:bodyDiv w:val="1"/>
      <w:marLeft w:val="0"/>
      <w:marRight w:val="0"/>
      <w:marTop w:val="0"/>
      <w:marBottom w:val="0"/>
      <w:divBdr>
        <w:top w:val="none" w:sz="0" w:space="0" w:color="auto"/>
        <w:left w:val="none" w:sz="0" w:space="0" w:color="auto"/>
        <w:bottom w:val="none" w:sz="0" w:space="0" w:color="auto"/>
        <w:right w:val="none" w:sz="0" w:space="0" w:color="auto"/>
      </w:divBdr>
    </w:div>
    <w:div w:id="1292595165">
      <w:bodyDiv w:val="1"/>
      <w:marLeft w:val="0"/>
      <w:marRight w:val="0"/>
      <w:marTop w:val="0"/>
      <w:marBottom w:val="0"/>
      <w:divBdr>
        <w:top w:val="none" w:sz="0" w:space="0" w:color="auto"/>
        <w:left w:val="none" w:sz="0" w:space="0" w:color="auto"/>
        <w:bottom w:val="none" w:sz="0" w:space="0" w:color="auto"/>
        <w:right w:val="none" w:sz="0" w:space="0" w:color="auto"/>
      </w:divBdr>
    </w:div>
    <w:div w:id="1468279086">
      <w:bodyDiv w:val="1"/>
      <w:marLeft w:val="0"/>
      <w:marRight w:val="0"/>
      <w:marTop w:val="0"/>
      <w:marBottom w:val="0"/>
      <w:divBdr>
        <w:top w:val="none" w:sz="0" w:space="0" w:color="auto"/>
        <w:left w:val="none" w:sz="0" w:space="0" w:color="auto"/>
        <w:bottom w:val="none" w:sz="0" w:space="0" w:color="auto"/>
        <w:right w:val="none" w:sz="0" w:space="0" w:color="auto"/>
      </w:divBdr>
    </w:div>
    <w:div w:id="1764572637">
      <w:bodyDiv w:val="1"/>
      <w:marLeft w:val="0"/>
      <w:marRight w:val="0"/>
      <w:marTop w:val="0"/>
      <w:marBottom w:val="0"/>
      <w:divBdr>
        <w:top w:val="none" w:sz="0" w:space="0" w:color="auto"/>
        <w:left w:val="none" w:sz="0" w:space="0" w:color="auto"/>
        <w:bottom w:val="none" w:sz="0" w:space="0" w:color="auto"/>
        <w:right w:val="none" w:sz="0" w:space="0" w:color="auto"/>
      </w:divBdr>
    </w:div>
    <w:div w:id="1852068624">
      <w:bodyDiv w:val="1"/>
      <w:marLeft w:val="0"/>
      <w:marRight w:val="0"/>
      <w:marTop w:val="0"/>
      <w:marBottom w:val="0"/>
      <w:divBdr>
        <w:top w:val="none" w:sz="0" w:space="0" w:color="auto"/>
        <w:left w:val="none" w:sz="0" w:space="0" w:color="auto"/>
        <w:bottom w:val="none" w:sz="0" w:space="0" w:color="auto"/>
        <w:right w:val="none" w:sz="0" w:space="0" w:color="auto"/>
      </w:divBdr>
    </w:div>
    <w:div w:id="1890071124">
      <w:bodyDiv w:val="1"/>
      <w:marLeft w:val="0"/>
      <w:marRight w:val="0"/>
      <w:marTop w:val="0"/>
      <w:marBottom w:val="0"/>
      <w:divBdr>
        <w:top w:val="none" w:sz="0" w:space="0" w:color="auto"/>
        <w:left w:val="none" w:sz="0" w:space="0" w:color="auto"/>
        <w:bottom w:val="none" w:sz="0" w:space="0" w:color="auto"/>
        <w:right w:val="none" w:sz="0" w:space="0" w:color="auto"/>
      </w:divBdr>
    </w:div>
    <w:div w:id="1937782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C9B66FA9BCF6041A27DC3353EC45F88" ma:contentTypeVersion="18" ma:contentTypeDescription="Create a new document." ma:contentTypeScope="" ma:versionID="24d639fcc992eafa60e826c89b233ade">
  <xsd:schema xmlns:xsd="http://www.w3.org/2001/XMLSchema" xmlns:xs="http://www.w3.org/2001/XMLSchema" xmlns:p="http://schemas.microsoft.com/office/2006/metadata/properties" xmlns:ns3="280a56b0-9d82-42fc-a444-05ca7b54f83c" xmlns:ns4="59548ae3-a94d-4d10-84ed-d2b4da52c47b" targetNamespace="http://schemas.microsoft.com/office/2006/metadata/properties" ma:root="true" ma:fieldsID="b684a43deb75c499944086ce7f030494" ns3:_="" ns4:_="">
    <xsd:import namespace="280a56b0-9d82-42fc-a444-05ca7b54f83c"/>
    <xsd:import namespace="59548ae3-a94d-4d10-84ed-d2b4da52c47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AutoKeyPoints" minOccurs="0"/>
                <xsd:element ref="ns3:MediaServiceKeyPoints"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LengthInSeconds" minOccurs="0"/>
                <xsd:element ref="ns3:_activity" minOccurs="0"/>
                <xsd:element ref="ns3:MediaServiceSearchProperties" minOccurs="0"/>
                <xsd:element ref="ns3:MediaServiceObjectDetectorVersions" minOccurs="0"/>
                <xsd:element ref="ns3:MediaServiceSystemTag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a56b0-9d82-42fc-a444-05ca7b54f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Location" ma:index="25"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548ae3-a94d-4d10-84ed-d2b4da52c47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80a56b0-9d82-42fc-a444-05ca7b54f83c" xsi:nil="true"/>
  </documentManagement>
</p:properties>
</file>

<file path=customXml/itemProps1.xml><?xml version="1.0" encoding="utf-8"?>
<ds:datastoreItem xmlns:ds="http://schemas.openxmlformats.org/officeDocument/2006/customXml" ds:itemID="{898AA69C-E1CA-4A91-B503-305FCB701D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a56b0-9d82-42fc-a444-05ca7b54f83c"/>
    <ds:schemaRef ds:uri="59548ae3-a94d-4d10-84ed-d2b4da52c4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ECD90E9-3FC9-4648-B67A-84A83314F29A}">
  <ds:schemaRefs>
    <ds:schemaRef ds:uri="http://schemas.microsoft.com/sharepoint/v3/contenttype/forms"/>
  </ds:schemaRefs>
</ds:datastoreItem>
</file>

<file path=customXml/itemProps3.xml><?xml version="1.0" encoding="utf-8"?>
<ds:datastoreItem xmlns:ds="http://schemas.openxmlformats.org/officeDocument/2006/customXml" ds:itemID="{760C73C0-FA5E-4A1A-87CA-7BD5B41ABFEB}">
  <ds:schemaRefs>
    <ds:schemaRef ds:uri="http://schemas.microsoft.com/office/2006/metadata/properties"/>
    <ds:schemaRef ds:uri="http://www.w3.org/XML/1998/namespace"/>
    <ds:schemaRef ds:uri="http://purl.org/dc/elements/1.1/"/>
    <ds:schemaRef ds:uri="http://schemas.microsoft.com/office/2006/documentManagement/types"/>
    <ds:schemaRef ds:uri="http://schemas.openxmlformats.org/package/2006/metadata/core-properties"/>
    <ds:schemaRef ds:uri="http://purl.org/dc/terms/"/>
    <ds:schemaRef ds:uri="http://schemas.microsoft.com/office/infopath/2007/PartnerControls"/>
    <ds:schemaRef ds:uri="http://purl.org/dc/dcmitype/"/>
    <ds:schemaRef ds:uri="280a56b0-9d82-42fc-a444-05ca7b54f83c"/>
    <ds:schemaRef ds:uri="59548ae3-a94d-4d10-84ed-d2b4da52c47b"/>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852</Words>
  <Characters>4859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Bespalko</dc:creator>
  <cp:keywords/>
  <dc:description/>
  <cp:lastModifiedBy>Matthew Bespalko</cp:lastModifiedBy>
  <cp:revision>2</cp:revision>
  <dcterms:created xsi:type="dcterms:W3CDTF">2024-09-24T03:43:00Z</dcterms:created>
  <dcterms:modified xsi:type="dcterms:W3CDTF">2024-09-24T03:43:00Z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0x010100EC9B66FA9BCF6041A27DC3353EC45F88</vt:lpwstr>
  </property>
</Properties>
</file>