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AB219" w14:textId="19166D64" w:rsidR="00FF4AA3" w:rsidRDefault="00526F55">
      <w:pPr>
        <w:rPr>
          <w:b/>
          <w:bCs/>
        </w:rPr>
      </w:pPr>
      <w:r w:rsidRPr="00526F55">
        <w:rPr>
          <w:b/>
          <w:bCs/>
        </w:rPr>
        <w:t>Corruption Data (Outcome Variable)</w:t>
      </w:r>
    </w:p>
    <w:p w14:paraId="14D523C6" w14:textId="350159F2" w:rsidR="00854D79" w:rsidRPr="001C21DB" w:rsidRDefault="00854D79" w:rsidP="00854D79">
      <w:pPr>
        <w:pStyle w:val="ListParagraph"/>
        <w:numPr>
          <w:ilvl w:val="0"/>
          <w:numId w:val="5"/>
        </w:numPr>
        <w:rPr>
          <w:b/>
          <w:bCs/>
        </w:rPr>
      </w:pPr>
      <w:r>
        <w:t xml:space="preserve">Tender </w:t>
      </w:r>
      <w:r w:rsidR="001C21DB">
        <w:t>Electronics Daily data</w:t>
      </w:r>
    </w:p>
    <w:p w14:paraId="4783C545" w14:textId="0393BD91" w:rsidR="001C21DB" w:rsidRPr="001C21DB" w:rsidRDefault="001C21DB" w:rsidP="00854D79">
      <w:pPr>
        <w:pStyle w:val="ListParagraph"/>
        <w:numPr>
          <w:ilvl w:val="0"/>
          <w:numId w:val="5"/>
        </w:numPr>
        <w:rPr>
          <w:b/>
          <w:bCs/>
        </w:rPr>
      </w:pPr>
      <w:r>
        <w:t>200</w:t>
      </w:r>
      <w:r w:rsidR="00E258D1">
        <w:t>4</w:t>
      </w:r>
      <w:r>
        <w:t>-2020</w:t>
      </w:r>
    </w:p>
    <w:p w14:paraId="0964AFD2" w14:textId="18E5C32D" w:rsidR="001C21DB" w:rsidRPr="00D0745E" w:rsidRDefault="001C21DB" w:rsidP="00854D79">
      <w:pPr>
        <w:pStyle w:val="ListParagraph"/>
        <w:numPr>
          <w:ilvl w:val="0"/>
          <w:numId w:val="5"/>
        </w:numPr>
        <w:rPr>
          <w:b/>
          <w:bCs/>
        </w:rPr>
      </w:pPr>
      <w:r>
        <w:t xml:space="preserve">Filter to: </w:t>
      </w:r>
      <w:r w:rsidR="00FD7BA3">
        <w:t>YEAR</w:t>
      </w:r>
      <w:r>
        <w:t xml:space="preserve">, </w:t>
      </w:r>
      <w:r w:rsidRPr="001C21DB">
        <w:t>TAL_LOCATION_NUTS</w:t>
      </w:r>
      <w:r>
        <w:t xml:space="preserve">, </w:t>
      </w:r>
      <w:r w:rsidRPr="001C21DB">
        <w:t>CPV</w:t>
      </w:r>
      <w:r>
        <w:t xml:space="preserve">, </w:t>
      </w:r>
      <w:r w:rsidRPr="001C21DB">
        <w:t>VALUE_EURO_FIN_2</w:t>
      </w:r>
      <w:r>
        <w:t xml:space="preserve">, </w:t>
      </w:r>
      <w:r w:rsidRPr="001C21DB">
        <w:t>B_EU_FUNDS</w:t>
      </w:r>
      <w:r>
        <w:t xml:space="preserve">, </w:t>
      </w:r>
      <w:r w:rsidRPr="001C21DB">
        <w:t>WIN_NAME</w:t>
      </w:r>
      <w:r>
        <w:t xml:space="preserve">, </w:t>
      </w:r>
      <w:r w:rsidRPr="001C21DB">
        <w:t>NUMBER_OFFERS</w:t>
      </w:r>
    </w:p>
    <w:p w14:paraId="76BF4078" w14:textId="7CCE6E1C" w:rsidR="00D0745E" w:rsidRPr="00FD7BA3" w:rsidRDefault="00D0745E" w:rsidP="00854D79">
      <w:pPr>
        <w:pStyle w:val="ListParagraph"/>
        <w:numPr>
          <w:ilvl w:val="0"/>
          <w:numId w:val="5"/>
        </w:numPr>
        <w:rPr>
          <w:b/>
          <w:bCs/>
        </w:rPr>
      </w:pPr>
      <w:r>
        <w:t>Limitation: data was mixed with NUTS0, NUTS2, NUTS3 with no way to specify only NUTS2</w:t>
      </w:r>
    </w:p>
    <w:p w14:paraId="526317AF" w14:textId="6BCA84A0" w:rsidR="00FD7BA3" w:rsidRPr="00854D79" w:rsidRDefault="00FD7BA3" w:rsidP="00854D79">
      <w:pPr>
        <w:pStyle w:val="ListParagraph"/>
        <w:numPr>
          <w:ilvl w:val="0"/>
          <w:numId w:val="5"/>
        </w:numPr>
        <w:rPr>
          <w:b/>
          <w:bCs/>
        </w:rPr>
      </w:pPr>
      <w:r>
        <w:t>Manual input of missing nuts2 region code for region names</w:t>
      </w:r>
    </w:p>
    <w:p w14:paraId="2E86870A" w14:textId="32A5851D" w:rsidR="007A7493" w:rsidRPr="007A7493" w:rsidRDefault="00526F55" w:rsidP="007A7493">
      <w:pPr>
        <w:rPr>
          <w:b/>
          <w:bCs/>
        </w:rPr>
      </w:pPr>
      <w:r w:rsidRPr="00526F55">
        <w:rPr>
          <w:b/>
          <w:bCs/>
        </w:rPr>
        <w:t>GDP per capita (PPP) for all NUTS2</w:t>
      </w:r>
      <w:r>
        <w:rPr>
          <w:b/>
          <w:bCs/>
        </w:rPr>
        <w:t xml:space="preserve"> (</w:t>
      </w:r>
      <w:r w:rsidRPr="00526F55">
        <w:rPr>
          <w:b/>
          <w:bCs/>
        </w:rPr>
        <w:t>Forcing Variable Data</w:t>
      </w:r>
      <w:r>
        <w:rPr>
          <w:b/>
          <w:bCs/>
        </w:rPr>
        <w:t>)</w:t>
      </w:r>
    </w:p>
    <w:p w14:paraId="7E06287B" w14:textId="4E01FDBD" w:rsidR="00526F55" w:rsidRDefault="00526F55">
      <w:pPr>
        <w:rPr>
          <w:b/>
          <w:bCs/>
        </w:rPr>
      </w:pPr>
      <w:r>
        <w:rPr>
          <w:b/>
          <w:bCs/>
        </w:rPr>
        <w:t>Population Density</w:t>
      </w:r>
    </w:p>
    <w:p w14:paraId="2B1D3F4B" w14:textId="6857544E" w:rsidR="007A7493" w:rsidRPr="007A7493" w:rsidRDefault="007A7493" w:rsidP="007A7493">
      <w:pPr>
        <w:pStyle w:val="ListParagraph"/>
        <w:numPr>
          <w:ilvl w:val="0"/>
          <w:numId w:val="3"/>
        </w:numPr>
        <w:rPr>
          <w:b/>
          <w:bCs/>
        </w:rPr>
      </w:pPr>
      <w:r>
        <w:t>By NUTS2 regions</w:t>
      </w:r>
    </w:p>
    <w:p w14:paraId="0EBC4F46" w14:textId="11947A15" w:rsidR="00526F55" w:rsidRDefault="00526F55">
      <w:pPr>
        <w:rPr>
          <w:b/>
          <w:bCs/>
        </w:rPr>
      </w:pPr>
      <w:r>
        <w:rPr>
          <w:b/>
          <w:bCs/>
        </w:rPr>
        <w:t>Education Level</w:t>
      </w:r>
    </w:p>
    <w:p w14:paraId="7CA53087" w14:textId="77777777" w:rsidR="00941346" w:rsidRPr="00941346" w:rsidRDefault="007A7493" w:rsidP="007A7493">
      <w:pPr>
        <w:pStyle w:val="ListParagraph"/>
        <w:numPr>
          <w:ilvl w:val="0"/>
          <w:numId w:val="2"/>
        </w:numPr>
        <w:rPr>
          <w:b/>
          <w:bCs/>
        </w:rPr>
      </w:pPr>
      <w:r>
        <w:t>Tertiary level</w:t>
      </w:r>
    </w:p>
    <w:p w14:paraId="2BB5C421" w14:textId="77777777" w:rsidR="005F63D4" w:rsidRPr="005F63D4" w:rsidRDefault="00941346" w:rsidP="007A7493">
      <w:pPr>
        <w:pStyle w:val="ListParagraph"/>
        <w:numPr>
          <w:ilvl w:val="0"/>
          <w:numId w:val="2"/>
        </w:numPr>
        <w:rPr>
          <w:b/>
          <w:bCs/>
        </w:rPr>
      </w:pPr>
      <w:r>
        <w:t xml:space="preserve">Filtered </w:t>
      </w:r>
      <w:r w:rsidR="005F63D4">
        <w:t>empty “:” rows</w:t>
      </w:r>
    </w:p>
    <w:p w14:paraId="3A7CA8D5" w14:textId="2D05CC23" w:rsidR="00FF4AA3" w:rsidRPr="007A7493" w:rsidRDefault="005F63D4" w:rsidP="007A7493">
      <w:pPr>
        <w:pStyle w:val="ListParagraph"/>
        <w:numPr>
          <w:ilvl w:val="0"/>
          <w:numId w:val="2"/>
        </w:numPr>
        <w:rPr>
          <w:b/>
          <w:bCs/>
        </w:rPr>
      </w:pPr>
      <w:r>
        <w:t>2007-2020</w:t>
      </w:r>
      <w:r w:rsidR="007A7493">
        <w:t xml:space="preserve"> </w:t>
      </w:r>
    </w:p>
    <w:p w14:paraId="05433BAF" w14:textId="507F30B6" w:rsidR="001E0268" w:rsidRPr="00FF4AA3" w:rsidRDefault="00FF4AA3">
      <w:pPr>
        <w:rPr>
          <w:b/>
          <w:bCs/>
        </w:rPr>
      </w:pPr>
      <w:r w:rsidRPr="00FF4AA3">
        <w:rPr>
          <w:b/>
          <w:bCs/>
        </w:rPr>
        <w:t>Sectoral Composition:</w:t>
      </w:r>
    </w:p>
    <w:p w14:paraId="1FF283AC" w14:textId="77777777" w:rsidR="00FF4AA3" w:rsidRDefault="00FF4AA3" w:rsidP="00FF4AA3">
      <w:pPr>
        <w:pStyle w:val="NormalWeb"/>
        <w:rPr>
          <w:color w:val="000000"/>
        </w:rPr>
      </w:pPr>
      <w:r>
        <w:rPr>
          <w:b/>
          <w:bCs/>
          <w:color w:val="000000"/>
        </w:rPr>
        <w:t>1. They Capture Structural Transformation</w:t>
      </w:r>
      <w:r>
        <w:rPr>
          <w:rStyle w:val="apple-converted-space"/>
          <w:rFonts w:eastAsiaTheme="majorEastAsia"/>
          <w:color w:val="000000"/>
        </w:rPr>
        <w:t> </w:t>
      </w:r>
      <w:r>
        <w:rPr>
          <w:color w:val="000000"/>
        </w:rPr>
        <w:t>Economic development is largely defined by the shift from a primary, agrarian economy (Agriculture) to a tertiary, knowledge-based economy (Services). Regions hovering right around the 75% EU average GDP cutoff are often in the middle of this structural transition. By controlling for these two extremes, you are accounting for the fundamental "type" of economy a region has, not just its overall wealth.</w:t>
      </w:r>
    </w:p>
    <w:p w14:paraId="35B21E4C" w14:textId="77777777" w:rsidR="00FF4AA3" w:rsidRDefault="00FF4AA3" w:rsidP="00FF4AA3">
      <w:pPr>
        <w:pStyle w:val="NormalWeb"/>
        <w:rPr>
          <w:color w:val="000000"/>
        </w:rPr>
      </w:pPr>
      <w:r>
        <w:rPr>
          <w:b/>
          <w:bCs/>
          <w:color w:val="000000"/>
        </w:rPr>
        <w:t>2. Different Vulnerabilities to Procurement Corruption</w:t>
      </w:r>
      <w:r>
        <w:rPr>
          <w:rStyle w:val="apple-converted-space"/>
          <w:rFonts w:eastAsiaTheme="majorEastAsia"/>
          <w:color w:val="000000"/>
        </w:rPr>
        <w:t> </w:t>
      </w:r>
      <w:r>
        <w:rPr>
          <w:color w:val="000000"/>
        </w:rPr>
        <w:t>The nature of public procurement varies wildly by sector. Complex service contracts (like IT infrastructure, specialized consulting, or management services) are notoriously easy to manipulate. Corrupt officials can write highly tailored, hyper-specific tender requirements that ensure only one preferred, politically connected company can win. Agricultural economic activity, conversely, does not typically flow through standard TED public procurement contracts in the same way (it is more heavily reliant on direct subsidies).</w:t>
      </w:r>
    </w:p>
    <w:p w14:paraId="0D412806" w14:textId="77777777" w:rsidR="00FF4AA3" w:rsidRDefault="00FF4AA3" w:rsidP="00FF4AA3">
      <w:pPr>
        <w:pStyle w:val="NormalWeb"/>
        <w:rPr>
          <w:color w:val="000000"/>
        </w:rPr>
      </w:pPr>
      <w:r>
        <w:rPr>
          <w:b/>
          <w:bCs/>
          <w:color w:val="000000"/>
        </w:rPr>
        <w:t>3. Preventing Omitted Variable Bias</w:t>
      </w:r>
      <w:r>
        <w:rPr>
          <w:rStyle w:val="apple-converted-space"/>
          <w:rFonts w:eastAsiaTheme="majorEastAsia"/>
          <w:color w:val="000000"/>
        </w:rPr>
        <w:t> </w:t>
      </w:r>
      <w:r>
        <w:rPr>
          <w:color w:val="000000"/>
        </w:rPr>
        <w:t>A region's dominant industries impact both its wealth (your GDP forcing variable) and the types of contracts it issues (your corruption outcome variable). If a region just below the funding cutoff happens to have a massive services sector that naturally generates more complex, single-bidder contracts, your model might mistakenly blame the EU Structural Funds for the corruption. Including these market shares as covariates controls for that discrepancy, ensuring you are isolating the true causal effect of the windfall cash.</w:t>
      </w:r>
    </w:p>
    <w:p w14:paraId="17A91C90" w14:textId="77777777" w:rsidR="00FF4AA3" w:rsidRDefault="00FF4AA3" w:rsidP="00FF4AA3">
      <w:pPr>
        <w:pStyle w:val="NormalWeb"/>
        <w:rPr>
          <w:color w:val="000000"/>
        </w:rPr>
      </w:pPr>
      <w:r>
        <w:rPr>
          <w:color w:val="000000"/>
        </w:rPr>
        <w:lastRenderedPageBreak/>
        <w:t>By pulling Sector A and Sectors G-U, you leave out the middle-ground sectors (like manufacturing and construction). In regression models, you cannot include the market share of</w:t>
      </w:r>
      <w:r>
        <w:rPr>
          <w:rStyle w:val="apple-converted-space"/>
          <w:rFonts w:eastAsiaTheme="majorEastAsia"/>
          <w:color w:val="000000"/>
        </w:rPr>
        <w:t> </w:t>
      </w:r>
      <w:r>
        <w:rPr>
          <w:i/>
          <w:iCs/>
          <w:color w:val="000000"/>
        </w:rPr>
        <w:t>every</w:t>
      </w:r>
      <w:r>
        <w:rPr>
          <w:rStyle w:val="apple-converted-space"/>
          <w:rFonts w:eastAsiaTheme="majorEastAsia"/>
          <w:color w:val="000000"/>
        </w:rPr>
        <w:t> </w:t>
      </w:r>
      <w:r>
        <w:rPr>
          <w:color w:val="000000"/>
        </w:rPr>
        <w:t>sector because they would add up to 100%, causing perfect multicollinearity. Using these two bounds is the standard way to proxy the overall economic makeup!</w:t>
      </w:r>
    </w:p>
    <w:p w14:paraId="3DDED99E" w14:textId="5DC831A9" w:rsidR="006A5B22" w:rsidRDefault="006A5B22" w:rsidP="006A5B22">
      <w:pPr>
        <w:pStyle w:val="NormalWeb"/>
        <w:numPr>
          <w:ilvl w:val="0"/>
          <w:numId w:val="1"/>
        </w:numPr>
        <w:rPr>
          <w:color w:val="000000"/>
        </w:rPr>
      </w:pPr>
      <w:r>
        <w:rPr>
          <w:color w:val="000000"/>
        </w:rPr>
        <w:t>Calculated agricultural share</w:t>
      </w:r>
    </w:p>
    <w:p w14:paraId="231F9D64" w14:textId="6D8A08A4" w:rsidR="006A5B22" w:rsidRDefault="006A5B22" w:rsidP="006A5B22">
      <w:pPr>
        <w:pStyle w:val="NormalWeb"/>
        <w:numPr>
          <w:ilvl w:val="0"/>
          <w:numId w:val="1"/>
        </w:numPr>
        <w:rPr>
          <w:color w:val="000000"/>
        </w:rPr>
      </w:pPr>
      <w:r>
        <w:rPr>
          <w:color w:val="000000"/>
        </w:rPr>
        <w:t>Calculated service share</w:t>
      </w:r>
    </w:p>
    <w:p w14:paraId="6A5C16E3" w14:textId="225DC9D3" w:rsidR="006A5B22" w:rsidRDefault="006A5B22" w:rsidP="006A5B22">
      <w:pPr>
        <w:pStyle w:val="NormalWeb"/>
        <w:numPr>
          <w:ilvl w:val="0"/>
          <w:numId w:val="1"/>
        </w:numPr>
        <w:rPr>
          <w:color w:val="000000"/>
        </w:rPr>
      </w:pPr>
      <w:r>
        <w:rPr>
          <w:color w:val="000000"/>
        </w:rPr>
        <w:t xml:space="preserve">Filtered </w:t>
      </w:r>
      <w:proofErr w:type="spellStart"/>
      <w:r>
        <w:rPr>
          <w:color w:val="000000"/>
        </w:rPr>
        <w:t>NaN</w:t>
      </w:r>
      <w:proofErr w:type="spellEnd"/>
      <w:r>
        <w:rPr>
          <w:color w:val="000000"/>
        </w:rPr>
        <w:t xml:space="preserve"> obs.</w:t>
      </w:r>
    </w:p>
    <w:p w14:paraId="6EAECFC8" w14:textId="77777777" w:rsidR="00E258D1" w:rsidRDefault="00E258D1" w:rsidP="00E258D1">
      <w:pPr>
        <w:pStyle w:val="NormalWeb"/>
        <w:rPr>
          <w:color w:val="000000"/>
        </w:rPr>
      </w:pPr>
    </w:p>
    <w:p w14:paraId="4003FBCF" w14:textId="77777777" w:rsidR="00E258D1" w:rsidRDefault="00E258D1" w:rsidP="00E258D1">
      <w:pPr>
        <w:pStyle w:val="NormalWeb"/>
        <w:rPr>
          <w:color w:val="000000"/>
        </w:rPr>
      </w:pPr>
    </w:p>
    <w:p w14:paraId="10B95B14" w14:textId="15BCF46C" w:rsidR="00E258D1" w:rsidRPr="00E258D1" w:rsidRDefault="00E258D1" w:rsidP="00E258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258D1">
        <w:rPr>
          <w:rFonts w:ascii="Times New Roman" w:eastAsia="Times New Roman" w:hAnsi="Times New Roman" w:cs="Times New Roman"/>
          <w:b/>
          <w:bCs/>
          <w:color w:val="000000"/>
          <w:kern w:val="0"/>
          <w:sz w:val="27"/>
          <w:szCs w:val="27"/>
          <w14:ligatures w14:val="none"/>
        </w:rPr>
        <w:t>1. Unemployment Rate</w:t>
      </w:r>
    </w:p>
    <w:p w14:paraId="31E7BC93" w14:textId="77777777" w:rsidR="00E258D1" w:rsidRPr="00E258D1" w:rsidRDefault="00E258D1" w:rsidP="00E258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E258D1">
        <w:rPr>
          <w:rFonts w:ascii="Times New Roman" w:eastAsia="Times New Roman" w:hAnsi="Times New Roman" w:cs="Times New Roman"/>
          <w:b/>
          <w:bCs/>
          <w:color w:val="000000"/>
          <w:kern w:val="0"/>
          <w14:ligatures w14:val="none"/>
        </w:rPr>
        <w:t>Source</w:t>
      </w:r>
    </w:p>
    <w:p w14:paraId="223A109F" w14:textId="77777777" w:rsidR="00E258D1" w:rsidRPr="00E258D1" w:rsidRDefault="00E258D1" w:rsidP="00E258D1">
      <w:pPr>
        <w:spacing w:before="100" w:beforeAutospacing="1" w:after="100" w:afterAutospacing="1" w:line="240" w:lineRule="auto"/>
        <w:rPr>
          <w:rFonts w:ascii="Times New Roman" w:eastAsia="Times New Roman" w:hAnsi="Times New Roman" w:cs="Times New Roman"/>
          <w:color w:val="000000"/>
          <w:kern w:val="0"/>
          <w14:ligatures w14:val="none"/>
        </w:rPr>
      </w:pPr>
      <w:r w:rsidRPr="00E258D1">
        <w:rPr>
          <w:rFonts w:ascii="Times New Roman" w:eastAsia="Times New Roman" w:hAnsi="Times New Roman" w:cs="Times New Roman"/>
          <w:b/>
          <w:bCs/>
          <w:color w:val="000000"/>
          <w:kern w:val="0"/>
          <w14:ligatures w14:val="none"/>
        </w:rPr>
        <w:t>Eurostat Regional Database</w:t>
      </w:r>
      <w:r w:rsidRPr="00E258D1">
        <w:rPr>
          <w:rFonts w:ascii="Times New Roman" w:eastAsia="Times New Roman" w:hAnsi="Times New Roman" w:cs="Times New Roman"/>
          <w:color w:val="000000"/>
          <w:kern w:val="0"/>
          <w14:ligatures w14:val="none"/>
        </w:rPr>
        <w:t> (Official EU statistical office)</w:t>
      </w:r>
    </w:p>
    <w:p w14:paraId="289C6699" w14:textId="77777777" w:rsidR="00E258D1" w:rsidRPr="00E258D1" w:rsidRDefault="00E258D1" w:rsidP="00E258D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58D1">
        <w:rPr>
          <w:rFonts w:ascii="Times New Roman" w:eastAsia="Times New Roman" w:hAnsi="Times New Roman" w:cs="Times New Roman"/>
          <w:color w:val="000000"/>
          <w:kern w:val="0"/>
          <w14:ligatures w14:val="none"/>
        </w:rPr>
        <w:t>Database code: </w:t>
      </w:r>
      <w:r w:rsidRPr="00E258D1">
        <w:rPr>
          <w:rFonts w:ascii="Courier New" w:eastAsia="Times New Roman" w:hAnsi="Courier New" w:cs="Courier New"/>
          <w:color w:val="000000"/>
          <w:kern w:val="0"/>
          <w:sz w:val="20"/>
          <w:szCs w:val="20"/>
          <w14:ligatures w14:val="none"/>
        </w:rPr>
        <w:t>lfst_r_lfu3rt</w:t>
      </w:r>
      <w:r w:rsidRPr="00E258D1">
        <w:rPr>
          <w:rFonts w:ascii="Times New Roman" w:eastAsia="Times New Roman" w:hAnsi="Times New Roman" w:cs="Times New Roman"/>
          <w:color w:val="000000"/>
          <w:kern w:val="0"/>
          <w14:ligatures w14:val="none"/>
        </w:rPr>
        <w:t> (Unemployment rates by NUTS 2 regions)</w:t>
      </w:r>
    </w:p>
    <w:p w14:paraId="1318D653" w14:textId="77777777" w:rsidR="00E258D1" w:rsidRPr="00E258D1" w:rsidRDefault="00E258D1" w:rsidP="00E258D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58D1">
        <w:rPr>
          <w:rFonts w:ascii="Times New Roman" w:eastAsia="Times New Roman" w:hAnsi="Times New Roman" w:cs="Times New Roman"/>
          <w:color w:val="000000"/>
          <w:kern w:val="0"/>
          <w14:ligatures w14:val="none"/>
        </w:rPr>
        <w:t>Coverage: NUTS2 level, annual data from 1999-present</w:t>
      </w:r>
    </w:p>
    <w:p w14:paraId="3AE2E05B" w14:textId="77777777" w:rsidR="00E258D1" w:rsidRPr="00E258D1" w:rsidRDefault="00E258D1" w:rsidP="00E258D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58D1">
        <w:rPr>
          <w:rFonts w:ascii="Times New Roman" w:eastAsia="Times New Roman" w:hAnsi="Times New Roman" w:cs="Times New Roman"/>
          <w:color w:val="000000"/>
          <w:kern w:val="0"/>
          <w14:ligatures w14:val="none"/>
        </w:rPr>
        <w:t>URL: </w:t>
      </w:r>
      <w:hyperlink r:id="rId5" w:history="1">
        <w:r w:rsidRPr="00E258D1">
          <w:rPr>
            <w:rFonts w:ascii="Times New Roman" w:eastAsia="Times New Roman" w:hAnsi="Times New Roman" w:cs="Times New Roman"/>
            <w:color w:val="0000FF"/>
            <w:kern w:val="0"/>
            <w:u w:val="single"/>
            <w14:ligatures w14:val="none"/>
          </w:rPr>
          <w:t>https://ec.europa.eu/eurostat/databrowser/view/LFST_R_LFU3RT</w:t>
        </w:r>
      </w:hyperlink>
    </w:p>
    <w:p w14:paraId="1B921E58" w14:textId="77777777" w:rsidR="00E258D1" w:rsidRPr="00E258D1" w:rsidRDefault="00E258D1" w:rsidP="00E258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E258D1">
        <w:rPr>
          <w:rFonts w:ascii="Times New Roman" w:eastAsia="Times New Roman" w:hAnsi="Times New Roman" w:cs="Times New Roman"/>
          <w:b/>
          <w:bCs/>
          <w:color w:val="000000"/>
          <w:kern w:val="0"/>
          <w14:ligatures w14:val="none"/>
        </w:rPr>
        <w:t>What You'd Get</w:t>
      </w:r>
    </w:p>
    <w:p w14:paraId="4FA2E2EB" w14:textId="77777777" w:rsidR="00E258D1" w:rsidRPr="00E258D1" w:rsidRDefault="00E258D1" w:rsidP="00E258D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58D1">
        <w:rPr>
          <w:rFonts w:ascii="Times New Roman" w:eastAsia="Times New Roman" w:hAnsi="Times New Roman" w:cs="Times New Roman"/>
          <w:b/>
          <w:bCs/>
          <w:color w:val="000000"/>
          <w:kern w:val="0"/>
          <w14:ligatures w14:val="none"/>
        </w:rPr>
        <w:t>Pre-treatment for Cycle 1</w:t>
      </w:r>
      <w:r w:rsidRPr="00E258D1">
        <w:rPr>
          <w:rFonts w:ascii="Times New Roman" w:eastAsia="Times New Roman" w:hAnsi="Times New Roman" w:cs="Times New Roman"/>
          <w:color w:val="000000"/>
          <w:kern w:val="0"/>
          <w14:ligatures w14:val="none"/>
        </w:rPr>
        <w:t>: Average unemployment 2000-2002 (matches your GDP reference period)</w:t>
      </w:r>
    </w:p>
    <w:p w14:paraId="36E8401E" w14:textId="77777777" w:rsidR="00E258D1" w:rsidRPr="00E258D1" w:rsidRDefault="00E258D1" w:rsidP="00E258D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58D1">
        <w:rPr>
          <w:rFonts w:ascii="Times New Roman" w:eastAsia="Times New Roman" w:hAnsi="Times New Roman" w:cs="Times New Roman"/>
          <w:b/>
          <w:bCs/>
          <w:color w:val="000000"/>
          <w:kern w:val="0"/>
          <w14:ligatures w14:val="none"/>
        </w:rPr>
        <w:t>Pre-treatment for Cycle 2</w:t>
      </w:r>
      <w:r w:rsidRPr="00E258D1">
        <w:rPr>
          <w:rFonts w:ascii="Times New Roman" w:eastAsia="Times New Roman" w:hAnsi="Times New Roman" w:cs="Times New Roman"/>
          <w:color w:val="000000"/>
          <w:kern w:val="0"/>
          <w14:ligatures w14:val="none"/>
        </w:rPr>
        <w:t>: Average unemployment 2005-2007 (before Cycle 2 starts)</w:t>
      </w:r>
    </w:p>
    <w:p w14:paraId="06F08436" w14:textId="77777777" w:rsidR="00E258D1" w:rsidRPr="00E258D1" w:rsidRDefault="00E258D1" w:rsidP="00E258D1">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58D1">
        <w:rPr>
          <w:rFonts w:ascii="Times New Roman" w:eastAsia="Times New Roman" w:hAnsi="Times New Roman" w:cs="Times New Roman"/>
          <w:color w:val="000000"/>
          <w:kern w:val="0"/>
          <w14:ligatures w14:val="none"/>
        </w:rPr>
        <w:t>NUTS2 level for nearly all 359 regions in your geographic controls</w:t>
      </w:r>
    </w:p>
    <w:p w14:paraId="015625F5" w14:textId="77777777" w:rsidR="00E258D1" w:rsidRPr="00E258D1" w:rsidRDefault="00E258D1" w:rsidP="00E258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E258D1">
        <w:rPr>
          <w:rFonts w:ascii="Times New Roman" w:eastAsia="Times New Roman" w:hAnsi="Times New Roman" w:cs="Times New Roman"/>
          <w:b/>
          <w:bCs/>
          <w:color w:val="000000"/>
          <w:kern w:val="0"/>
          <w14:ligatures w14:val="none"/>
        </w:rPr>
        <w:t>Citation</w:t>
      </w:r>
    </w:p>
    <w:p w14:paraId="60FAD5B5" w14:textId="77777777" w:rsidR="00E258D1" w:rsidRPr="00E258D1" w:rsidRDefault="00E258D1" w:rsidP="00E25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E258D1">
        <w:rPr>
          <w:rFonts w:ascii="var(--font-mono)" w:eastAsia="Times New Roman" w:hAnsi="var(--font-mono)" w:cs="Courier New"/>
          <w:color w:val="14181F"/>
          <w:kern w:val="0"/>
          <w:sz w:val="20"/>
          <w:szCs w:val="20"/>
          <w14:ligatures w14:val="none"/>
        </w:rPr>
        <w:t xml:space="preserve">Eurostat. (2024). Unemployment by NUTS 2 regions [lfst_r_lfu3rt]. </w:t>
      </w:r>
    </w:p>
    <w:p w14:paraId="11E57951" w14:textId="77777777" w:rsidR="00E258D1" w:rsidRPr="00E258D1" w:rsidRDefault="00E258D1" w:rsidP="00E25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E258D1">
        <w:rPr>
          <w:rFonts w:ascii="var(--font-mono)" w:eastAsia="Times New Roman" w:hAnsi="var(--font-mono)" w:cs="Courier New"/>
          <w:color w:val="14181F"/>
          <w:kern w:val="0"/>
          <w:sz w:val="20"/>
          <w:szCs w:val="20"/>
          <w14:ligatures w14:val="none"/>
        </w:rPr>
        <w:t xml:space="preserve">Statistical Office of the European Union. </w:t>
      </w:r>
    </w:p>
    <w:p w14:paraId="2B6BE155" w14:textId="77777777" w:rsidR="00E258D1" w:rsidRPr="00E258D1" w:rsidRDefault="00E258D1" w:rsidP="00E25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E258D1">
        <w:rPr>
          <w:rFonts w:ascii="var(--font-mono)" w:eastAsia="Times New Roman" w:hAnsi="var(--font-mono)" w:cs="Courier New"/>
          <w:color w:val="14181F"/>
          <w:kern w:val="0"/>
          <w:sz w:val="20"/>
          <w:szCs w:val="20"/>
          <w14:ligatures w14:val="none"/>
        </w:rPr>
        <w:t>https://ec.europa.eu/eurostat/databrowser/view/LFST_R_LFU3RT</w:t>
      </w:r>
    </w:p>
    <w:p w14:paraId="727052D1" w14:textId="3EC19A1A" w:rsidR="00E258D1" w:rsidRPr="00E258D1" w:rsidRDefault="00E258D1" w:rsidP="00E258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258D1">
        <w:rPr>
          <w:rFonts w:ascii="Times New Roman" w:eastAsia="Times New Roman" w:hAnsi="Times New Roman" w:cs="Times New Roman"/>
          <w:b/>
          <w:bCs/>
          <w:color w:val="000000"/>
          <w:kern w:val="0"/>
          <w:sz w:val="27"/>
          <w:szCs w:val="27"/>
          <w14:ligatures w14:val="none"/>
        </w:rPr>
        <w:t xml:space="preserve">2. Government Effectiveness </w:t>
      </w:r>
    </w:p>
    <w:p w14:paraId="5A261D2D" w14:textId="77777777" w:rsidR="00E258D1" w:rsidRPr="00E258D1" w:rsidRDefault="00E258D1" w:rsidP="00E258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E258D1">
        <w:rPr>
          <w:rFonts w:ascii="Times New Roman" w:eastAsia="Times New Roman" w:hAnsi="Times New Roman" w:cs="Times New Roman"/>
          <w:b/>
          <w:bCs/>
          <w:color w:val="000000"/>
          <w:kern w:val="0"/>
          <w14:ligatures w14:val="none"/>
        </w:rPr>
        <w:t>Source</w:t>
      </w:r>
    </w:p>
    <w:p w14:paraId="033A2DEE" w14:textId="77777777" w:rsidR="00E258D1" w:rsidRPr="00E258D1" w:rsidRDefault="00E258D1" w:rsidP="00E258D1">
      <w:pPr>
        <w:spacing w:before="100" w:beforeAutospacing="1" w:after="100" w:afterAutospacing="1" w:line="240" w:lineRule="auto"/>
        <w:rPr>
          <w:rFonts w:ascii="Times New Roman" w:eastAsia="Times New Roman" w:hAnsi="Times New Roman" w:cs="Times New Roman"/>
          <w:color w:val="000000"/>
          <w:kern w:val="0"/>
          <w14:ligatures w14:val="none"/>
        </w:rPr>
      </w:pPr>
      <w:r w:rsidRPr="00E258D1">
        <w:rPr>
          <w:rFonts w:ascii="Times New Roman" w:eastAsia="Times New Roman" w:hAnsi="Times New Roman" w:cs="Times New Roman"/>
          <w:b/>
          <w:bCs/>
          <w:color w:val="000000"/>
          <w:kern w:val="0"/>
          <w14:ligatures w14:val="none"/>
        </w:rPr>
        <w:t>World Bank Worldwide Governance Indicators (WGI)</w:t>
      </w:r>
    </w:p>
    <w:p w14:paraId="6A00AA1F" w14:textId="77777777" w:rsidR="00E258D1" w:rsidRPr="00E258D1" w:rsidRDefault="00E258D1" w:rsidP="00E258D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58D1">
        <w:rPr>
          <w:rFonts w:ascii="Times New Roman" w:eastAsia="Times New Roman" w:hAnsi="Times New Roman" w:cs="Times New Roman"/>
          <w:color w:val="000000"/>
          <w:kern w:val="0"/>
          <w14:ligatures w14:val="none"/>
        </w:rPr>
        <w:t>Produced by: World Bank Group (international financial institution)</w:t>
      </w:r>
    </w:p>
    <w:p w14:paraId="368B5CFA" w14:textId="77777777" w:rsidR="00E258D1" w:rsidRPr="00E258D1" w:rsidRDefault="00E258D1" w:rsidP="00E258D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58D1">
        <w:rPr>
          <w:rFonts w:ascii="Times New Roman" w:eastAsia="Times New Roman" w:hAnsi="Times New Roman" w:cs="Times New Roman"/>
          <w:color w:val="000000"/>
          <w:kern w:val="0"/>
          <w14:ligatures w14:val="none"/>
        </w:rPr>
        <w:t>Indicators: 6 dimensions, including:</w:t>
      </w:r>
    </w:p>
    <w:p w14:paraId="1B7ABB03" w14:textId="77777777" w:rsidR="00E258D1" w:rsidRPr="00E258D1" w:rsidRDefault="00E258D1" w:rsidP="00E258D1">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58D1">
        <w:rPr>
          <w:rFonts w:ascii="Times New Roman" w:eastAsia="Times New Roman" w:hAnsi="Times New Roman" w:cs="Times New Roman"/>
          <w:b/>
          <w:bCs/>
          <w:color w:val="000000"/>
          <w:kern w:val="0"/>
          <w14:ligatures w14:val="none"/>
        </w:rPr>
        <w:t>Government Effectiveness</w:t>
      </w:r>
      <w:r w:rsidRPr="00E258D1">
        <w:rPr>
          <w:rFonts w:ascii="Times New Roman" w:eastAsia="Times New Roman" w:hAnsi="Times New Roman" w:cs="Times New Roman"/>
          <w:color w:val="000000"/>
          <w:kern w:val="0"/>
          <w14:ligatures w14:val="none"/>
        </w:rPr>
        <w:t> (quality of public services, bureaucracy)</w:t>
      </w:r>
    </w:p>
    <w:p w14:paraId="4E6533E9" w14:textId="77777777" w:rsidR="00E258D1" w:rsidRPr="00E258D1" w:rsidRDefault="00E258D1" w:rsidP="00E258D1">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58D1">
        <w:rPr>
          <w:rFonts w:ascii="Times New Roman" w:eastAsia="Times New Roman" w:hAnsi="Times New Roman" w:cs="Times New Roman"/>
          <w:b/>
          <w:bCs/>
          <w:color w:val="000000"/>
          <w:kern w:val="0"/>
          <w14:ligatures w14:val="none"/>
        </w:rPr>
        <w:t>Rule of Law</w:t>
      </w:r>
      <w:r w:rsidRPr="00E258D1">
        <w:rPr>
          <w:rFonts w:ascii="Times New Roman" w:eastAsia="Times New Roman" w:hAnsi="Times New Roman" w:cs="Times New Roman"/>
          <w:color w:val="000000"/>
          <w:kern w:val="0"/>
          <w14:ligatures w14:val="none"/>
        </w:rPr>
        <w:t> (contract enforcement, property rights, courts)</w:t>
      </w:r>
    </w:p>
    <w:p w14:paraId="1B8558F9" w14:textId="77777777" w:rsidR="00E258D1" w:rsidRPr="00E258D1" w:rsidRDefault="00E258D1" w:rsidP="00E258D1">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58D1">
        <w:rPr>
          <w:rFonts w:ascii="Times New Roman" w:eastAsia="Times New Roman" w:hAnsi="Times New Roman" w:cs="Times New Roman"/>
          <w:b/>
          <w:bCs/>
          <w:color w:val="000000"/>
          <w:kern w:val="0"/>
          <w14:ligatures w14:val="none"/>
        </w:rPr>
        <w:lastRenderedPageBreak/>
        <w:t>Control of Corruption</w:t>
      </w:r>
      <w:r w:rsidRPr="00E258D1">
        <w:rPr>
          <w:rFonts w:ascii="Times New Roman" w:eastAsia="Times New Roman" w:hAnsi="Times New Roman" w:cs="Times New Roman"/>
          <w:color w:val="000000"/>
          <w:kern w:val="0"/>
          <w14:ligatures w14:val="none"/>
        </w:rPr>
        <w:t> (directly relevant!)</w:t>
      </w:r>
    </w:p>
    <w:p w14:paraId="65B30E70" w14:textId="77777777" w:rsidR="00E258D1" w:rsidRPr="00E258D1" w:rsidRDefault="00E258D1" w:rsidP="00E258D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58D1">
        <w:rPr>
          <w:rFonts w:ascii="Times New Roman" w:eastAsia="Times New Roman" w:hAnsi="Times New Roman" w:cs="Times New Roman"/>
          <w:color w:val="000000"/>
          <w:kern w:val="0"/>
          <w14:ligatures w14:val="none"/>
        </w:rPr>
        <w:t>Coverage: 200+ countries, 1996-2023 (biennial until 2002, annual after)</w:t>
      </w:r>
    </w:p>
    <w:p w14:paraId="213DD18E" w14:textId="77777777" w:rsidR="00E258D1" w:rsidRPr="00E258D1" w:rsidRDefault="00E258D1" w:rsidP="00E258D1">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58D1">
        <w:rPr>
          <w:rFonts w:ascii="Times New Roman" w:eastAsia="Times New Roman" w:hAnsi="Times New Roman" w:cs="Times New Roman"/>
          <w:color w:val="000000"/>
          <w:kern w:val="0"/>
          <w14:ligatures w14:val="none"/>
        </w:rPr>
        <w:t>URL: </w:t>
      </w:r>
      <w:hyperlink r:id="rId6" w:history="1">
        <w:r w:rsidRPr="00E258D1">
          <w:rPr>
            <w:rFonts w:ascii="Times New Roman" w:eastAsia="Times New Roman" w:hAnsi="Times New Roman" w:cs="Times New Roman"/>
            <w:color w:val="0000FF"/>
            <w:kern w:val="0"/>
            <w:u w:val="single"/>
            <w14:ligatures w14:val="none"/>
          </w:rPr>
          <w:t>https://www.worldbank.org/en/publication/worldwide-governance-indicators</w:t>
        </w:r>
      </w:hyperlink>
    </w:p>
    <w:p w14:paraId="5B9CF985" w14:textId="77777777" w:rsidR="00E258D1" w:rsidRPr="00E258D1" w:rsidRDefault="00E258D1" w:rsidP="00E258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E258D1">
        <w:rPr>
          <w:rFonts w:ascii="Times New Roman" w:eastAsia="Times New Roman" w:hAnsi="Times New Roman" w:cs="Times New Roman"/>
          <w:b/>
          <w:bCs/>
          <w:color w:val="000000"/>
          <w:kern w:val="0"/>
          <w14:ligatures w14:val="none"/>
        </w:rPr>
        <w:t>Quality</w:t>
      </w:r>
    </w:p>
    <w:p w14:paraId="301D415A" w14:textId="77777777" w:rsidR="00E258D1" w:rsidRPr="00E258D1" w:rsidRDefault="00E258D1" w:rsidP="00E258D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58D1">
        <w:rPr>
          <w:rFonts w:ascii="Times New Roman" w:eastAsia="Times New Roman" w:hAnsi="Times New Roman" w:cs="Times New Roman"/>
          <w:b/>
          <w:bCs/>
          <w:color w:val="000000"/>
          <w:kern w:val="0"/>
          <w14:ligatures w14:val="none"/>
        </w:rPr>
        <w:t>Quasi-governmental</w:t>
      </w:r>
      <w:r w:rsidRPr="00E258D1">
        <w:rPr>
          <w:rFonts w:ascii="Times New Roman" w:eastAsia="Times New Roman" w:hAnsi="Times New Roman" w:cs="Times New Roman"/>
          <w:color w:val="000000"/>
          <w:kern w:val="0"/>
          <w14:ligatures w14:val="none"/>
        </w:rPr>
        <w:t>: World Bank is an international organization (189 member countries)</w:t>
      </w:r>
    </w:p>
    <w:p w14:paraId="6D60F1F5" w14:textId="77777777" w:rsidR="00E258D1" w:rsidRPr="00E258D1" w:rsidRDefault="00E258D1" w:rsidP="00E258D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58D1">
        <w:rPr>
          <w:rFonts w:ascii="Times New Roman" w:eastAsia="Times New Roman" w:hAnsi="Times New Roman" w:cs="Times New Roman"/>
          <w:color w:val="000000"/>
          <w:kern w:val="0"/>
          <w14:ligatures w14:val="none"/>
        </w:rPr>
        <w:t>Widely used in academic research (30,000+ citations)</w:t>
      </w:r>
    </w:p>
    <w:p w14:paraId="3B2F4328" w14:textId="77777777" w:rsidR="00E258D1" w:rsidRPr="00E258D1" w:rsidRDefault="00E258D1" w:rsidP="00E258D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58D1">
        <w:rPr>
          <w:rFonts w:ascii="Times New Roman" w:eastAsia="Times New Roman" w:hAnsi="Times New Roman" w:cs="Times New Roman"/>
          <w:color w:val="000000"/>
          <w:kern w:val="0"/>
          <w14:ligatures w14:val="none"/>
        </w:rPr>
        <w:t>Methodology: Aggregates 30+ underlying data sources (surveys, assessments)</w:t>
      </w:r>
    </w:p>
    <w:p w14:paraId="1F3038D0" w14:textId="77777777" w:rsidR="00E258D1" w:rsidRPr="00E258D1" w:rsidRDefault="00E258D1" w:rsidP="00E258D1">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58D1">
        <w:rPr>
          <w:rFonts w:ascii="Times New Roman" w:eastAsia="Times New Roman" w:hAnsi="Times New Roman" w:cs="Times New Roman"/>
          <w:color w:val="000000"/>
          <w:kern w:val="0"/>
          <w14:ligatures w14:val="none"/>
        </w:rPr>
        <w:t>Scale: -2.5 (weak) to +2.5 (strong)</w:t>
      </w:r>
    </w:p>
    <w:p w14:paraId="180050E4" w14:textId="77777777" w:rsidR="00E258D1" w:rsidRPr="00E258D1" w:rsidRDefault="00E258D1" w:rsidP="00E258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E258D1">
        <w:rPr>
          <w:rFonts w:ascii="Times New Roman" w:eastAsia="Times New Roman" w:hAnsi="Times New Roman" w:cs="Times New Roman"/>
          <w:b/>
          <w:bCs/>
          <w:color w:val="000000"/>
          <w:kern w:val="0"/>
          <w14:ligatures w14:val="none"/>
        </w:rPr>
        <w:t>What You'd Get</w:t>
      </w:r>
    </w:p>
    <w:p w14:paraId="5F2BFFB0" w14:textId="77777777" w:rsidR="00E258D1" w:rsidRPr="00E258D1" w:rsidRDefault="00E258D1" w:rsidP="00E258D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58D1">
        <w:rPr>
          <w:rFonts w:ascii="Times New Roman" w:eastAsia="Times New Roman" w:hAnsi="Times New Roman" w:cs="Times New Roman"/>
          <w:b/>
          <w:bCs/>
          <w:color w:val="000000"/>
          <w:kern w:val="0"/>
          <w14:ligatures w14:val="none"/>
        </w:rPr>
        <w:t>Country-level only</w:t>
      </w:r>
      <w:r w:rsidRPr="00E258D1">
        <w:rPr>
          <w:rFonts w:ascii="Times New Roman" w:eastAsia="Times New Roman" w:hAnsi="Times New Roman" w:cs="Times New Roman"/>
          <w:color w:val="000000"/>
          <w:kern w:val="0"/>
          <w14:ligatures w14:val="none"/>
        </w:rPr>
        <w:t> (NOT NUTS2 - this is a limitation)</w:t>
      </w:r>
    </w:p>
    <w:p w14:paraId="35FCDA01" w14:textId="77777777" w:rsidR="00E258D1" w:rsidRPr="00E258D1" w:rsidRDefault="00E258D1" w:rsidP="00E258D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58D1">
        <w:rPr>
          <w:rFonts w:ascii="Times New Roman" w:eastAsia="Times New Roman" w:hAnsi="Times New Roman" w:cs="Times New Roman"/>
          <w:color w:val="000000"/>
          <w:kern w:val="0"/>
          <w14:ligatures w14:val="none"/>
        </w:rPr>
        <w:t>Pre-treatment values:</w:t>
      </w:r>
    </w:p>
    <w:p w14:paraId="404434C0" w14:textId="77777777" w:rsidR="00E258D1" w:rsidRPr="00E258D1" w:rsidRDefault="00E258D1" w:rsidP="00E258D1">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58D1">
        <w:rPr>
          <w:rFonts w:ascii="Times New Roman" w:eastAsia="Times New Roman" w:hAnsi="Times New Roman" w:cs="Times New Roman"/>
          <w:color w:val="000000"/>
          <w:kern w:val="0"/>
          <w14:ligatures w14:val="none"/>
        </w:rPr>
        <w:t>Cycle 1: Average 2000-2002 governance scores</w:t>
      </w:r>
    </w:p>
    <w:p w14:paraId="13A8822B" w14:textId="77777777" w:rsidR="00E258D1" w:rsidRPr="00E258D1" w:rsidRDefault="00E258D1" w:rsidP="00E258D1">
      <w:pPr>
        <w:numPr>
          <w:ilvl w:val="1"/>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58D1">
        <w:rPr>
          <w:rFonts w:ascii="Times New Roman" w:eastAsia="Times New Roman" w:hAnsi="Times New Roman" w:cs="Times New Roman"/>
          <w:color w:val="000000"/>
          <w:kern w:val="0"/>
          <w14:ligatures w14:val="none"/>
        </w:rPr>
        <w:t>Cycle 2: Average 2005-2007 governance scores</w:t>
      </w:r>
    </w:p>
    <w:p w14:paraId="42966BFC" w14:textId="77777777" w:rsidR="00E258D1" w:rsidRPr="00E258D1" w:rsidRDefault="00E258D1" w:rsidP="00E258D1">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258D1">
        <w:rPr>
          <w:rFonts w:ascii="Times New Roman" w:eastAsia="Times New Roman" w:hAnsi="Times New Roman" w:cs="Times New Roman"/>
          <w:color w:val="000000"/>
          <w:kern w:val="0"/>
          <w14:ligatures w14:val="none"/>
        </w:rPr>
        <w:t>You'd assign the same country score to all regions within a country</w:t>
      </w:r>
    </w:p>
    <w:p w14:paraId="14ECD426" w14:textId="77777777" w:rsidR="00E258D1" w:rsidRPr="00E258D1" w:rsidRDefault="00E258D1" w:rsidP="00E258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E258D1">
        <w:rPr>
          <w:rFonts w:ascii="Times New Roman" w:eastAsia="Times New Roman" w:hAnsi="Times New Roman" w:cs="Times New Roman"/>
          <w:b/>
          <w:bCs/>
          <w:color w:val="000000"/>
          <w:kern w:val="0"/>
          <w14:ligatures w14:val="none"/>
        </w:rPr>
        <w:t>Limitation</w:t>
      </w:r>
    </w:p>
    <w:p w14:paraId="5C937F88" w14:textId="77777777" w:rsidR="00E258D1" w:rsidRPr="00E258D1" w:rsidRDefault="00E258D1" w:rsidP="00E258D1">
      <w:pPr>
        <w:spacing w:before="100" w:beforeAutospacing="1" w:after="100" w:afterAutospacing="1" w:line="240" w:lineRule="auto"/>
        <w:rPr>
          <w:rFonts w:ascii="Times New Roman" w:eastAsia="Times New Roman" w:hAnsi="Times New Roman" w:cs="Times New Roman"/>
          <w:color w:val="000000"/>
          <w:kern w:val="0"/>
          <w14:ligatures w14:val="none"/>
        </w:rPr>
      </w:pPr>
      <w:r w:rsidRPr="00E258D1">
        <w:rPr>
          <w:rFonts w:ascii="Times New Roman" w:eastAsia="Times New Roman" w:hAnsi="Times New Roman" w:cs="Times New Roman"/>
          <w:b/>
          <w:bCs/>
          <w:color w:val="000000"/>
          <w:kern w:val="0"/>
          <w14:ligatures w14:val="none"/>
        </w:rPr>
        <w:t>Country-level only.</w:t>
      </w:r>
      <w:r w:rsidRPr="00E258D1">
        <w:rPr>
          <w:rFonts w:ascii="Times New Roman" w:eastAsia="Times New Roman" w:hAnsi="Times New Roman" w:cs="Times New Roman"/>
          <w:color w:val="000000"/>
          <w:kern w:val="0"/>
          <w14:ligatures w14:val="none"/>
        </w:rPr>
        <w:t> You can't distinguish between Bavaria (rich, low corruption) and Berlin (poorer, higher corruption) within Germany. But you CAN distinguish Germany (high governance) from Romania (lower governance).</w:t>
      </w:r>
    </w:p>
    <w:p w14:paraId="21907A6C" w14:textId="77777777" w:rsidR="00E258D1" w:rsidRPr="00E258D1" w:rsidRDefault="00E258D1" w:rsidP="00E258D1">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E258D1">
        <w:rPr>
          <w:rFonts w:ascii="Times New Roman" w:eastAsia="Times New Roman" w:hAnsi="Times New Roman" w:cs="Times New Roman"/>
          <w:b/>
          <w:bCs/>
          <w:color w:val="000000"/>
          <w:kern w:val="0"/>
          <w14:ligatures w14:val="none"/>
        </w:rPr>
        <w:t>Citation</w:t>
      </w:r>
    </w:p>
    <w:p w14:paraId="3EB537EF" w14:textId="77777777" w:rsidR="00E258D1" w:rsidRPr="00E258D1" w:rsidRDefault="00E258D1" w:rsidP="00E25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E258D1">
        <w:rPr>
          <w:rFonts w:ascii="var(--font-mono)" w:eastAsia="Times New Roman" w:hAnsi="var(--font-mono)" w:cs="Courier New"/>
          <w:color w:val="14181F"/>
          <w:kern w:val="0"/>
          <w:sz w:val="20"/>
          <w:szCs w:val="20"/>
          <w14:ligatures w14:val="none"/>
        </w:rPr>
        <w:t xml:space="preserve">Kaufmann, D., Kraay, A., &amp; </w:t>
      </w:r>
      <w:proofErr w:type="spellStart"/>
      <w:r w:rsidRPr="00E258D1">
        <w:rPr>
          <w:rFonts w:ascii="var(--font-mono)" w:eastAsia="Times New Roman" w:hAnsi="var(--font-mono)" w:cs="Courier New"/>
          <w:color w:val="14181F"/>
          <w:kern w:val="0"/>
          <w:sz w:val="20"/>
          <w:szCs w:val="20"/>
          <w14:ligatures w14:val="none"/>
        </w:rPr>
        <w:t>Mastruzzi</w:t>
      </w:r>
      <w:proofErr w:type="spellEnd"/>
      <w:r w:rsidRPr="00E258D1">
        <w:rPr>
          <w:rFonts w:ascii="var(--font-mono)" w:eastAsia="Times New Roman" w:hAnsi="var(--font-mono)" w:cs="Courier New"/>
          <w:color w:val="14181F"/>
          <w:kern w:val="0"/>
          <w:sz w:val="20"/>
          <w:szCs w:val="20"/>
          <w14:ligatures w14:val="none"/>
        </w:rPr>
        <w:t xml:space="preserve">, M. (2023). Worldwide Governance Indicators, </w:t>
      </w:r>
    </w:p>
    <w:p w14:paraId="492F963A" w14:textId="77777777" w:rsidR="00E258D1" w:rsidRPr="00E258D1" w:rsidRDefault="00E258D1" w:rsidP="00E25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E258D1">
        <w:rPr>
          <w:rFonts w:ascii="var(--font-mono)" w:eastAsia="Times New Roman" w:hAnsi="var(--font-mono)" w:cs="Courier New"/>
          <w:color w:val="14181F"/>
          <w:kern w:val="0"/>
          <w:sz w:val="20"/>
          <w:szCs w:val="20"/>
          <w14:ligatures w14:val="none"/>
        </w:rPr>
        <w:t>2023 Update. World Bank. https://www.worldbank.org/en/publication/worldwide-governance-indicators</w:t>
      </w:r>
    </w:p>
    <w:p w14:paraId="30B4A67A" w14:textId="77777777" w:rsidR="00E258D1" w:rsidRPr="00E258D1" w:rsidRDefault="00E258D1" w:rsidP="00E258D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258D1">
        <w:rPr>
          <w:rFonts w:ascii="Times New Roman" w:eastAsia="Times New Roman" w:hAnsi="Times New Roman" w:cs="Times New Roman"/>
          <w:b/>
          <w:bCs/>
          <w:color w:val="000000"/>
          <w:kern w:val="0"/>
          <w:sz w:val="27"/>
          <w:szCs w:val="27"/>
          <w14:ligatures w14:val="none"/>
        </w:rPr>
        <w:t>3. Baseline Corruption (2004-2006 Single-Bidder Rate)</w:t>
      </w:r>
    </w:p>
    <w:p w14:paraId="75EC02C6" w14:textId="77777777" w:rsidR="00E258D1" w:rsidRDefault="00E258D1" w:rsidP="00E258D1">
      <w:pPr>
        <w:pStyle w:val="NormalWeb"/>
        <w:rPr>
          <w:color w:val="000000"/>
        </w:rPr>
      </w:pPr>
    </w:p>
    <w:p w14:paraId="42505144" w14:textId="77777777" w:rsidR="006A5B22" w:rsidRDefault="006A5B22" w:rsidP="006A5B22">
      <w:pPr>
        <w:pStyle w:val="NormalWeb"/>
        <w:rPr>
          <w:color w:val="000000"/>
        </w:rPr>
      </w:pPr>
    </w:p>
    <w:p w14:paraId="4CBDA9F0" w14:textId="77777777" w:rsidR="00FF4AA3" w:rsidRDefault="00FF4AA3"/>
    <w:sectPr w:rsidR="00FF4A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1FBA"/>
    <w:multiLevelType w:val="hybridMultilevel"/>
    <w:tmpl w:val="8946C3AE"/>
    <w:lvl w:ilvl="0" w:tplc="AD16ABA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E6BEE"/>
    <w:multiLevelType w:val="multilevel"/>
    <w:tmpl w:val="9E7C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8341E"/>
    <w:multiLevelType w:val="multilevel"/>
    <w:tmpl w:val="202A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86B61"/>
    <w:multiLevelType w:val="multilevel"/>
    <w:tmpl w:val="5704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F33AA"/>
    <w:multiLevelType w:val="multilevel"/>
    <w:tmpl w:val="8E42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34778"/>
    <w:multiLevelType w:val="hybridMultilevel"/>
    <w:tmpl w:val="B336BFE0"/>
    <w:lvl w:ilvl="0" w:tplc="38EE8A6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AB6AB1"/>
    <w:multiLevelType w:val="hybridMultilevel"/>
    <w:tmpl w:val="EC38C1EC"/>
    <w:lvl w:ilvl="0" w:tplc="066808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C0017E"/>
    <w:multiLevelType w:val="multilevel"/>
    <w:tmpl w:val="DBA60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0A08A5"/>
    <w:multiLevelType w:val="multilevel"/>
    <w:tmpl w:val="C25C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CF197B"/>
    <w:multiLevelType w:val="hybridMultilevel"/>
    <w:tmpl w:val="7CA68BEE"/>
    <w:lvl w:ilvl="0" w:tplc="587C14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6B14F2"/>
    <w:multiLevelType w:val="multilevel"/>
    <w:tmpl w:val="7CC0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FD7305"/>
    <w:multiLevelType w:val="hybridMultilevel"/>
    <w:tmpl w:val="EFE47E82"/>
    <w:lvl w:ilvl="0" w:tplc="B5981CD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3670719">
    <w:abstractNumId w:val="0"/>
  </w:num>
  <w:num w:numId="2" w16cid:durableId="1824156652">
    <w:abstractNumId w:val="5"/>
  </w:num>
  <w:num w:numId="3" w16cid:durableId="1714622812">
    <w:abstractNumId w:val="9"/>
  </w:num>
  <w:num w:numId="4" w16cid:durableId="297535943">
    <w:abstractNumId w:val="11"/>
  </w:num>
  <w:num w:numId="5" w16cid:durableId="2094666936">
    <w:abstractNumId w:val="6"/>
  </w:num>
  <w:num w:numId="6" w16cid:durableId="1196578701">
    <w:abstractNumId w:val="2"/>
  </w:num>
  <w:num w:numId="7" w16cid:durableId="596905148">
    <w:abstractNumId w:val="1"/>
  </w:num>
  <w:num w:numId="8" w16cid:durableId="847256954">
    <w:abstractNumId w:val="8"/>
  </w:num>
  <w:num w:numId="9" w16cid:durableId="1005863070">
    <w:abstractNumId w:val="3"/>
  </w:num>
  <w:num w:numId="10" w16cid:durableId="1059134553">
    <w:abstractNumId w:val="4"/>
  </w:num>
  <w:num w:numId="11" w16cid:durableId="301469052">
    <w:abstractNumId w:val="7"/>
  </w:num>
  <w:num w:numId="12" w16cid:durableId="3969812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268"/>
    <w:rsid w:val="001C21DB"/>
    <w:rsid w:val="001E0268"/>
    <w:rsid w:val="00207A84"/>
    <w:rsid w:val="00526F55"/>
    <w:rsid w:val="005F63D4"/>
    <w:rsid w:val="006A5B22"/>
    <w:rsid w:val="007A7493"/>
    <w:rsid w:val="007E372C"/>
    <w:rsid w:val="00854D79"/>
    <w:rsid w:val="00941346"/>
    <w:rsid w:val="00AA0EBA"/>
    <w:rsid w:val="00C66FA8"/>
    <w:rsid w:val="00CC42C2"/>
    <w:rsid w:val="00D0745E"/>
    <w:rsid w:val="00E258D1"/>
    <w:rsid w:val="00FD7BA3"/>
    <w:rsid w:val="00FF4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FD628"/>
  <w15:chartTrackingRefBased/>
  <w15:docId w15:val="{44D45853-1D36-0440-A4B6-8BCC180A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0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E0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0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E0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268"/>
    <w:rPr>
      <w:rFonts w:eastAsiaTheme="majorEastAsia" w:cstheme="majorBidi"/>
      <w:color w:val="272727" w:themeColor="text1" w:themeTint="D8"/>
    </w:rPr>
  </w:style>
  <w:style w:type="paragraph" w:styleId="Title">
    <w:name w:val="Title"/>
    <w:basedOn w:val="Normal"/>
    <w:next w:val="Normal"/>
    <w:link w:val="TitleChar"/>
    <w:uiPriority w:val="10"/>
    <w:qFormat/>
    <w:rsid w:val="001E0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268"/>
    <w:pPr>
      <w:spacing w:before="160"/>
      <w:jc w:val="center"/>
    </w:pPr>
    <w:rPr>
      <w:i/>
      <w:iCs/>
      <w:color w:val="404040" w:themeColor="text1" w:themeTint="BF"/>
    </w:rPr>
  </w:style>
  <w:style w:type="character" w:customStyle="1" w:styleId="QuoteChar">
    <w:name w:val="Quote Char"/>
    <w:basedOn w:val="DefaultParagraphFont"/>
    <w:link w:val="Quote"/>
    <w:uiPriority w:val="29"/>
    <w:rsid w:val="001E0268"/>
    <w:rPr>
      <w:i/>
      <w:iCs/>
      <w:color w:val="404040" w:themeColor="text1" w:themeTint="BF"/>
    </w:rPr>
  </w:style>
  <w:style w:type="paragraph" w:styleId="ListParagraph">
    <w:name w:val="List Paragraph"/>
    <w:basedOn w:val="Normal"/>
    <w:uiPriority w:val="34"/>
    <w:qFormat/>
    <w:rsid w:val="001E0268"/>
    <w:pPr>
      <w:ind w:left="720"/>
      <w:contextualSpacing/>
    </w:pPr>
  </w:style>
  <w:style w:type="character" w:styleId="IntenseEmphasis">
    <w:name w:val="Intense Emphasis"/>
    <w:basedOn w:val="DefaultParagraphFont"/>
    <w:uiPriority w:val="21"/>
    <w:qFormat/>
    <w:rsid w:val="001E0268"/>
    <w:rPr>
      <w:i/>
      <w:iCs/>
      <w:color w:val="0F4761" w:themeColor="accent1" w:themeShade="BF"/>
    </w:rPr>
  </w:style>
  <w:style w:type="paragraph" w:styleId="IntenseQuote">
    <w:name w:val="Intense Quote"/>
    <w:basedOn w:val="Normal"/>
    <w:next w:val="Normal"/>
    <w:link w:val="IntenseQuoteChar"/>
    <w:uiPriority w:val="30"/>
    <w:qFormat/>
    <w:rsid w:val="001E0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268"/>
    <w:rPr>
      <w:i/>
      <w:iCs/>
      <w:color w:val="0F4761" w:themeColor="accent1" w:themeShade="BF"/>
    </w:rPr>
  </w:style>
  <w:style w:type="character" w:styleId="IntenseReference">
    <w:name w:val="Intense Reference"/>
    <w:basedOn w:val="DefaultParagraphFont"/>
    <w:uiPriority w:val="32"/>
    <w:qFormat/>
    <w:rsid w:val="001E0268"/>
    <w:rPr>
      <w:b/>
      <w:bCs/>
      <w:smallCaps/>
      <w:color w:val="0F4761" w:themeColor="accent1" w:themeShade="BF"/>
      <w:spacing w:val="5"/>
    </w:rPr>
  </w:style>
  <w:style w:type="paragraph" w:styleId="NormalWeb">
    <w:name w:val="Normal (Web)"/>
    <w:basedOn w:val="Normal"/>
    <w:uiPriority w:val="99"/>
    <w:semiHidden/>
    <w:unhideWhenUsed/>
    <w:rsid w:val="00FF4AA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F4AA3"/>
  </w:style>
  <w:style w:type="paragraph" w:customStyle="1" w:styleId="font-claude-response-body">
    <w:name w:val="font-claude-response-body"/>
    <w:basedOn w:val="Normal"/>
    <w:rsid w:val="00E258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258D1"/>
    <w:rPr>
      <w:b/>
      <w:bCs/>
    </w:rPr>
  </w:style>
  <w:style w:type="paragraph" w:customStyle="1" w:styleId="whitespace-normal">
    <w:name w:val="whitespace-normal"/>
    <w:basedOn w:val="Normal"/>
    <w:rsid w:val="00E258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258D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258D1"/>
    <w:rPr>
      <w:color w:val="0000FF"/>
      <w:u w:val="single"/>
    </w:rPr>
  </w:style>
  <w:style w:type="paragraph" w:styleId="HTMLPreformatted">
    <w:name w:val="HTML Preformatted"/>
    <w:basedOn w:val="Normal"/>
    <w:link w:val="HTMLPreformattedChar"/>
    <w:uiPriority w:val="99"/>
    <w:semiHidden/>
    <w:unhideWhenUsed/>
    <w:rsid w:val="00E25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258D1"/>
    <w:rPr>
      <w:rFonts w:ascii="Courier New" w:eastAsia="Times New Roman" w:hAnsi="Courier New" w:cs="Courier New"/>
      <w:kern w:val="0"/>
      <w:sz w:val="20"/>
      <w:szCs w:val="20"/>
      <w14:ligatures w14:val="none"/>
    </w:rPr>
  </w:style>
  <w:style w:type="character" w:customStyle="1" w:styleId="token">
    <w:name w:val="token"/>
    <w:basedOn w:val="DefaultParagraphFont"/>
    <w:rsid w:val="00E258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orldbank.org/en/publication/worldwide-governance-indicators" TargetMode="External"/><Relationship Id="rId5" Type="http://schemas.openxmlformats.org/officeDocument/2006/relationships/hyperlink" Target="https://ec.europa.eu/eurostat/databrowser/view/LFST_R_LFU3R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3</Pages>
  <Words>728</Words>
  <Characters>4152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Botnari, Matei</dc:creator>
  <cp:keywords/>
  <dc:description/>
  <cp:lastModifiedBy>Botnari, Matei</cp:lastModifiedBy>
  <cp:revision>6</cp:revision>
  <dcterms:created xsi:type="dcterms:W3CDTF">2026-04-15T04:47:00Z</dcterms:created>
  <dcterms:modified xsi:type="dcterms:W3CDTF">2026-04-28T17:42:00Z</dcterms:modified>
</cp:coreProperties>
</file>