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32"/>
          <w:szCs w:val="32"/>
          <w:u w:val="single"/>
          <w:shd w:val="clear" w:fill="auto"/>
          <w:vertAlign w:val="baseline"/>
          <w:rtl w:val="0"/>
        </w:rPr>
        <w:t>Project: Predictive Analytics Capstone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center"/>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"https://coco.udacity.com/nanodegrees/nd008/locale/en-us/versions/1.0.0/parts/7271/project" </w:instrText>
      </w:r>
      <w:r>
        <w:fldChar w:fldCharType="separate"/>
      </w:r>
    </w:p>
    <w:p>
      <w:pPr>
        <w:pStyle w:val="3"/>
        <w:keepNext w:val="0"/>
        <w:keepLines w:val="0"/>
        <w:spacing w:before="240" w:after="40"/>
        <w:contextualSpacing w:val="0"/>
      </w:pPr>
      <w:r>
        <w:fldChar w:fldCharType="end"/>
      </w:r>
      <w:r>
        <w:rPr>
          <w:rtl w:val="0"/>
        </w:rPr>
        <w:t>Task 1: Determine Store Formats for Existing Stores</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What is the optimal number of store formats? How did you arrive at that number?</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hint="default" w:ascii="Arial" w:hAnsi="Arial" w:eastAsia="Arial" w:cs="Arial"/>
          <w:b w:val="0"/>
          <w:i w:val="0"/>
          <w:smallCaps w:val="0"/>
          <w:strike w:val="0"/>
          <w:color w:val="000000"/>
          <w:sz w:val="22"/>
          <w:szCs w:val="22"/>
          <w:u w:val="none"/>
          <w:shd w:val="clear" w:fill="auto"/>
          <w:vertAlign w:val="baseline"/>
          <w:rtl w:val="0"/>
          <w:lang w:val="en-AU"/>
        </w:rPr>
      </w:pPr>
      <w:r>
        <w:rPr>
          <w:rFonts w:hint="default" w:cs="Arial"/>
          <w:b w:val="0"/>
          <w:i w:val="0"/>
          <w:smallCaps w:val="0"/>
          <w:strike w:val="0"/>
          <w:color w:val="000000"/>
          <w:sz w:val="22"/>
          <w:szCs w:val="22"/>
          <w:u w:val="none"/>
          <w:shd w:val="clear" w:fill="auto"/>
          <w:vertAlign w:val="baseline"/>
          <w:rtl w:val="0"/>
          <w:lang w:val="en-AU"/>
        </w:rPr>
        <w:t>Based on the adjusted Rand Indices and Calinski-Harabasz Indices below for K=2-7, the optimal number of store formats is 3. This is because in both indices, 3 has the highest median and a relatively tight spread.</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r>
        <w:drawing>
          <wp:inline distT="0" distB="0" distL="114300" distR="114300">
            <wp:extent cx="5029200" cy="49149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029200" cy="4914900"/>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How many stores fall into each store format?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contextualSpacing w:val="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2125980" cy="80010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125980" cy="800100"/>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Based on the results of the clustering model, what is one way that the clusters differ from one another?</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r>
        <w:rPr>
          <w:rFonts w:hint="default" w:cs="Arial"/>
          <w:b w:val="0"/>
          <w:i w:val="0"/>
          <w:smallCaps w:val="0"/>
          <w:strike w:val="0"/>
          <w:color w:val="000000"/>
          <w:sz w:val="22"/>
          <w:szCs w:val="22"/>
          <w:u w:val="none"/>
          <w:shd w:val="clear" w:fill="auto"/>
          <w:vertAlign w:val="baseline"/>
          <w:rtl w:val="0"/>
          <w:lang w:val="en-AU"/>
        </w:rPr>
        <w:t>Cluster 1 is more variable with higher median sales on average, while cluster 3 is less variable with higher total sales due to a larger proportion. Cluster 2 has the lowest median sales.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pPr>
      <w:r>
        <w:drawing>
          <wp:inline distT="0" distB="0" distL="114300" distR="114300">
            <wp:extent cx="1800225" cy="4063365"/>
            <wp:effectExtent l="0" t="0" r="13335" b="571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6"/>
                    <a:stretch>
                      <a:fillRect/>
                    </a:stretch>
                  </pic:blipFill>
                  <pic:spPr>
                    <a:xfrm>
                      <a:off x="0" y="0"/>
                      <a:ext cx="1800225" cy="4063365"/>
                    </a:xfrm>
                    <a:prstGeom prst="rect">
                      <a:avLst/>
                    </a:prstGeom>
                    <a:noFill/>
                    <a:ln>
                      <a:noFill/>
                    </a:ln>
                  </pic:spPr>
                </pic:pic>
              </a:graphicData>
            </a:graphic>
          </wp:inline>
        </w:drawing>
      </w:r>
      <w:r>
        <w:drawing>
          <wp:inline distT="0" distB="0" distL="114300" distR="114300">
            <wp:extent cx="1800225" cy="3828415"/>
            <wp:effectExtent l="0" t="0" r="13335" b="1206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7"/>
                    <a:stretch>
                      <a:fillRect/>
                    </a:stretch>
                  </pic:blipFill>
                  <pic:spPr>
                    <a:xfrm>
                      <a:off x="0" y="0"/>
                      <a:ext cx="1800225" cy="3828415"/>
                    </a:xfrm>
                    <a:prstGeom prst="rect">
                      <a:avLst/>
                    </a:prstGeom>
                    <a:noFill/>
                    <a:ln>
                      <a:noFill/>
                    </a:ln>
                  </pic:spPr>
                </pic:pic>
              </a:graphicData>
            </a:graphic>
          </wp:inline>
        </w:drawing>
      </w:r>
      <w:r>
        <w:br w:type="textWrapp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hint="default"/>
          <w:lang w:val="en-AU"/>
        </w:rPr>
      </w:pPr>
      <w:r>
        <w:rPr>
          <w:rFonts w:hint="default"/>
          <w:lang w:val="en-AU"/>
        </w:rPr>
        <w:t xml:space="preserve">Dry Grocery sales in total are much higher in cluster 3 and Produce sales in total are higher in cluster 2. </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pPr>
      <w:r>
        <w:drawing>
          <wp:inline distT="0" distB="0" distL="114300" distR="114300">
            <wp:extent cx="5400040" cy="2830830"/>
            <wp:effectExtent l="0" t="0" r="10160" b="381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8"/>
                    <a:stretch>
                      <a:fillRect/>
                    </a:stretch>
                  </pic:blipFill>
                  <pic:spPr>
                    <a:xfrm>
                      <a:off x="0" y="0"/>
                      <a:ext cx="5400040" cy="283083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hint="default"/>
          <w:lang w:val="en-AU"/>
        </w:rPr>
      </w:pPr>
      <w:r>
        <w:rPr>
          <w:rFonts w:hint="default"/>
          <w:lang w:val="en-AU"/>
        </w:rPr>
        <w:t xml:space="preserve">When looking at average sales by cluster, cluster 1 has the highest for most of the grocery items. </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tl w:val="0"/>
        </w:rPr>
      </w:pPr>
      <w:r>
        <w:drawing>
          <wp:inline distT="0" distB="0" distL="114300" distR="114300">
            <wp:extent cx="5400040" cy="2776220"/>
            <wp:effectExtent l="0" t="0" r="10160" b="1270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9"/>
                    <a:stretch>
                      <a:fillRect/>
                    </a:stretch>
                  </pic:blipFill>
                  <pic:spPr>
                    <a:xfrm>
                      <a:off x="0" y="0"/>
                      <a:ext cx="5400040" cy="277622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Please provide a Tableau visualization (saved as a Tableau Public file) that shows the location of the stores, uses color to show cluster, and size to show total sales.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2805" cy="2949575"/>
            <wp:effectExtent l="0" t="0" r="10795" b="698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0"/>
                    <a:stretch>
                      <a:fillRect/>
                    </a:stretch>
                  </pic:blipFill>
                  <pic:spPr>
                    <a:xfrm>
                      <a:off x="0" y="0"/>
                      <a:ext cx="5932805" cy="2949575"/>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pPr>
      <w:r>
        <w:rPr>
          <w:rtl w:val="0"/>
        </w:rPr>
        <w:t xml:space="preserve">Task 2: Formats for New Stores </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contextualSpacing w:val="0"/>
        <w:jc w:val="left"/>
      </w:pPr>
      <w:bookmarkStart w:id="0" w:name="_1fob9te" w:colFirst="0" w:colLast="0"/>
      <w:bookmarkEnd w:id="0"/>
      <w:r>
        <w:rPr>
          <w:rFonts w:ascii="Arial" w:hAnsi="Arial" w:eastAsia="Arial" w:cs="Arial"/>
          <w:b w:val="0"/>
          <w:i w:val="0"/>
          <w:smallCaps w:val="0"/>
          <w:strike w:val="0"/>
          <w:color w:val="000000"/>
          <w:sz w:val="22"/>
          <w:szCs w:val="22"/>
          <w:u w:val="none"/>
          <w:shd w:val="clear" w:fill="auto"/>
          <w:vertAlign w:val="baseline"/>
          <w:rtl w:val="0"/>
        </w:rPr>
        <w:t>What methodology did you use to predict the best store format for the new stores? Why did you choose that methodology? (Remember to Use a 20% validation sample with Random Seed = 3 to test differences in models.)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cs="Arial"/>
          <w:b w:val="0"/>
          <w:i w:val="0"/>
          <w:smallCaps w:val="0"/>
          <w:strike w:val="0"/>
          <w:color w:val="000000"/>
          <w:sz w:val="22"/>
          <w:szCs w:val="22"/>
          <w:u w:val="none"/>
          <w:shd w:val="clear" w:fill="auto"/>
          <w:vertAlign w:val="baseline"/>
          <w:rtl w:val="0"/>
          <w:lang w:val="en-AU"/>
        </w:rPr>
      </w:pPr>
      <w:r>
        <w:rPr>
          <w:rFonts w:hint="default" w:cs="Arial"/>
          <w:b w:val="0"/>
          <w:i w:val="0"/>
          <w:smallCaps w:val="0"/>
          <w:strike w:val="0"/>
          <w:color w:val="000000"/>
          <w:sz w:val="22"/>
          <w:szCs w:val="22"/>
          <w:u w:val="none"/>
          <w:shd w:val="clear" w:fill="auto"/>
          <w:vertAlign w:val="baseline"/>
          <w:rtl w:val="0"/>
          <w:lang w:val="en-AU"/>
        </w:rPr>
        <w:t xml:space="preserve">I </w:t>
      </w:r>
      <w:r>
        <w:rPr>
          <w:rFonts w:hint="default" w:cs="Arial"/>
          <w:b w:val="0"/>
          <w:i w:val="0"/>
          <w:strike w:val="0"/>
          <w:color w:val="000000"/>
          <w:sz w:val="22"/>
          <w:szCs w:val="22"/>
          <w:u w:val="none"/>
          <w:shd w:val="clear" w:fill="auto"/>
          <w:vertAlign w:val="baseline"/>
          <w:rtl w:val="0"/>
          <w:lang w:val="en-AU"/>
        </w:rPr>
        <w:t>compared</w:t>
      </w:r>
      <w:r>
        <w:rPr>
          <w:rFonts w:hint="default" w:cs="Arial"/>
          <w:b w:val="0"/>
          <w:i w:val="0"/>
          <w:smallCaps w:val="0"/>
          <w:strike w:val="0"/>
          <w:color w:val="000000"/>
          <w:sz w:val="22"/>
          <w:szCs w:val="22"/>
          <w:u w:val="none"/>
          <w:shd w:val="clear" w:fill="auto"/>
          <w:vertAlign w:val="baseline"/>
          <w:rtl w:val="0"/>
          <w:lang w:val="en-AU"/>
        </w:rPr>
        <w:t xml:space="preserve"> the performance of a Decision Tree, Decision Forest and Boosted model with a 20% holdout sample. Based on the results of model comparison, I used the boosted model to predict the format of each new store as it had the best error measures when measured on the holdout sample.</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cs="Arial"/>
          <w:b w:val="0"/>
          <w:i w:val="0"/>
          <w:smallCaps w:val="0"/>
          <w:strike w:val="0"/>
          <w:color w:val="000000"/>
          <w:sz w:val="22"/>
          <w:szCs w:val="22"/>
          <w:u w:val="none"/>
          <w:shd w:val="clear" w:fill="auto"/>
          <w:vertAlign w:val="baseline"/>
          <w:rtl w:val="0"/>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b w:val="0"/>
          <w:i w:val="0"/>
          <w:smallCaps w:val="0"/>
          <w:strike w:val="0"/>
          <w:color w:val="000000"/>
          <w:sz w:val="22"/>
          <w:szCs w:val="22"/>
          <w:u w:val="none"/>
          <w:shd w:val="clear" w:fill="auto"/>
          <w:vertAlign w:val="baseline"/>
          <w:rtl w:val="0"/>
          <w:lang w:val="en-AU"/>
        </w:rPr>
      </w:pPr>
      <w:r>
        <w:rPr>
          <w:rFonts w:hint="default" w:cs="Arial"/>
          <w:b w:val="0"/>
          <w:i w:val="0"/>
          <w:smallCaps w:val="0"/>
          <w:strike w:val="0"/>
          <w:color w:val="000000"/>
          <w:sz w:val="22"/>
          <w:szCs w:val="22"/>
          <w:u w:val="none"/>
          <w:shd w:val="clear" w:fill="auto"/>
          <w:vertAlign w:val="baseline"/>
          <w:rtl w:val="0"/>
          <w:lang w:val="en-AU"/>
        </w:rPr>
        <w:t xml:space="preserve">Based on the feature importance plot from my boosted model, the three most important features are </w:t>
      </w:r>
      <w:r>
        <w:rPr>
          <w:rFonts w:hint="default"/>
          <w:b w:val="0"/>
          <w:i w:val="0"/>
          <w:smallCaps w:val="0"/>
          <w:strike w:val="0"/>
          <w:color w:val="000000"/>
          <w:sz w:val="22"/>
          <w:szCs w:val="22"/>
          <w:u w:val="none"/>
          <w:shd w:val="clear" w:fill="auto"/>
          <w:vertAlign w:val="baseline"/>
          <w:rtl w:val="0"/>
          <w:lang w:val="en-AU"/>
        </w:rPr>
        <w:t>Age0to9, HVal750KPlus and EdHSGrad.</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b w:val="0"/>
          <w:i w:val="0"/>
          <w:smallCaps w:val="0"/>
          <w:strike w:val="0"/>
          <w:color w:val="000000"/>
          <w:sz w:val="22"/>
          <w:szCs w:val="22"/>
          <w:u w:val="none"/>
          <w:shd w:val="clear" w:fill="auto"/>
          <w:vertAlign w:val="baseline"/>
          <w:rtl w:val="0"/>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b w:val="0"/>
          <w:i w:val="0"/>
          <w:smallCaps w:val="0"/>
          <w:strike w:val="0"/>
          <w:color w:val="000000"/>
          <w:sz w:val="22"/>
          <w:szCs w:val="22"/>
          <w:u w:val="none"/>
          <w:shd w:val="clear" w:fill="auto"/>
          <w:vertAlign w:val="baseline"/>
          <w:rtl w:val="0"/>
          <w:lang w:val="en-AU"/>
        </w:rPr>
      </w:pPr>
      <w:r>
        <w:drawing>
          <wp:inline distT="0" distB="0" distL="114300" distR="114300">
            <wp:extent cx="4814570" cy="5213985"/>
            <wp:effectExtent l="0" t="0" r="12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814570" cy="5213985"/>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cs="Arial"/>
          <w:b w:val="0"/>
          <w:i w:val="0"/>
          <w:smallCaps w:val="0"/>
          <w:strike w:val="0"/>
          <w:color w:val="000000"/>
          <w:sz w:val="22"/>
          <w:szCs w:val="22"/>
          <w:u w:val="none"/>
          <w:shd w:val="clear" w:fill="auto"/>
          <w:vertAlign w:val="baseline"/>
          <w:rtl w:val="0"/>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cs="Arial"/>
          <w:b w:val="0"/>
          <w:i w:val="0"/>
          <w:smallCaps w:val="0"/>
          <w:strike w:val="0"/>
          <w:color w:val="000000"/>
          <w:sz w:val="22"/>
          <w:szCs w:val="22"/>
          <w:u w:val="none"/>
          <w:shd w:val="clear" w:fill="auto"/>
          <w:vertAlign w:val="baseline"/>
          <w:rtl w:val="0"/>
          <w:lang w:val="en-AU"/>
        </w:rPr>
      </w:pPr>
      <w:r>
        <w:drawing>
          <wp:inline distT="0" distB="0" distL="114300" distR="114300">
            <wp:extent cx="5400040" cy="331343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400040" cy="331343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drawing>
          <wp:inline distT="0" distB="0" distL="114300" distR="114300">
            <wp:extent cx="5400040" cy="2990850"/>
            <wp:effectExtent l="0" t="0" r="101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400040" cy="299085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rtl w:val="0"/>
          <w:lang w:val="en-AU"/>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contextualSpacing w:val="0"/>
        <w:jc w:val="left"/>
      </w:pPr>
      <w:r>
        <w:rPr>
          <w:rFonts w:ascii="Arial" w:hAnsi="Arial" w:eastAsia="Arial" w:cs="Arial"/>
          <w:b w:val="0"/>
          <w:i w:val="0"/>
          <w:smallCaps w:val="0"/>
          <w:strike w:val="0"/>
          <w:color w:val="000000"/>
          <w:sz w:val="22"/>
          <w:szCs w:val="22"/>
          <w:u w:val="none"/>
          <w:shd w:val="clear" w:fill="auto"/>
          <w:vertAlign w:val="baseline"/>
          <w:rtl w:val="0"/>
        </w:rPr>
        <w:t>What format do each of the 10 new stores fall into? Please fill in the table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tbl>
      <w:tblPr>
        <w:tblStyle w:val="16"/>
        <w:tblW w:w="3330" w:type="dxa"/>
        <w:tblInd w:w="2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95"/>
        <w:gridCol w:w="15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Store Number</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Segment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S0086</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S0087</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S0088</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S0089</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S0090</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S0091</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S0092</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S0093</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S0094</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S0095</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ascii="Arial" w:hAnsi="Arial" w:eastAsia="Arial"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2</w:t>
            </w:r>
          </w:p>
        </w:tc>
      </w:tr>
    </w:tbl>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rPr>
          <w:rtl w:val="0"/>
        </w:rPr>
      </w:pPr>
    </w:p>
    <w:p>
      <w:pPr>
        <w:pStyle w:val="3"/>
        <w:keepNext w:val="0"/>
        <w:keepLines w:val="0"/>
        <w:spacing w:before="240" w:after="40"/>
        <w:contextualSpacing w:val="0"/>
      </w:pPr>
      <w:r>
        <w:rPr>
          <w:rtl w:val="0"/>
        </w:rPr>
        <w:t>Task 3: Predicting Produce Sales</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contextualSpacing w:val="0"/>
        <w:jc w:val="left"/>
        <w:rPr>
          <w:rFonts w:ascii="Arial" w:hAnsi="Arial" w:eastAsia="Arial" w:cs="Arial"/>
          <w:b w:val="0"/>
          <w:i w:val="0"/>
          <w:smallCaps w:val="0"/>
          <w:strike w:val="0"/>
          <w:color w:val="000000"/>
          <w:sz w:val="22"/>
          <w:szCs w:val="22"/>
          <w:u w:val="none"/>
          <w:shd w:val="clear" w:fill="auto"/>
          <w:vertAlign w:val="baseline"/>
          <w:rtl w:val="0"/>
        </w:rPr>
      </w:pPr>
      <w:r>
        <w:rPr>
          <w:rFonts w:ascii="Arial" w:hAnsi="Arial" w:eastAsia="Arial" w:cs="Arial"/>
          <w:b w:val="0"/>
          <w:i w:val="0"/>
          <w:smallCaps w:val="0"/>
          <w:strike w:val="0"/>
          <w:color w:val="000000"/>
          <w:sz w:val="22"/>
          <w:szCs w:val="22"/>
          <w:u w:val="none"/>
          <w:shd w:val="clear" w:fill="auto"/>
          <w:vertAlign w:val="baseline"/>
          <w:rtl w:val="0"/>
        </w:rPr>
        <w:t>What type of ETS or ARIMA model did you use for each forecast? Use ETS(a,m,n) or ARIMA(ar, i, ma) notation. How did you come to that decision?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cs="Arial"/>
          <w:b w:val="0"/>
          <w:i w:val="0"/>
          <w:smallCaps w:val="0"/>
          <w:strike w:val="0"/>
          <w:color w:val="000000"/>
          <w:sz w:val="22"/>
          <w:szCs w:val="22"/>
          <w:u w:val="none"/>
          <w:shd w:val="clear" w:fill="auto"/>
          <w:vertAlign w:val="baseline"/>
          <w:rtl w:val="0"/>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2567940"/>
            <wp:effectExtent l="0" t="0" r="10160"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4"/>
                    <a:stretch>
                      <a:fillRect/>
                    </a:stretch>
                  </pic:blipFill>
                  <pic:spPr>
                    <a:xfrm>
                      <a:off x="0" y="0"/>
                      <a:ext cx="5400040" cy="256794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lang w:val="en-AU"/>
        </w:rPr>
        <w:t>I have used the TS Plot above for just Cluster 1 in my decisions below. I have also used a holdout sample of 6 months of data to test the models against.</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lang w:val="en-AU"/>
        </w:rPr>
        <w:t>ARIMA: A seasonal difference and seasonal first difference were performed to make the data static. There is a lg 2 present too so an ARIMA(0,1,2)(0,1,0)[6]</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tl w:val="0"/>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2466975"/>
            <wp:effectExtent l="0" t="0" r="10160"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400040" cy="2466975"/>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cs="Arial"/>
          <w:b w:val="0"/>
          <w:i w:val="0"/>
          <w:smallCaps w:val="0"/>
          <w:strike w:val="0"/>
          <w:color w:val="000000"/>
          <w:sz w:val="22"/>
          <w:szCs w:val="22"/>
          <w:u w:val="none"/>
          <w:shd w:val="clear" w:fill="auto"/>
          <w:vertAlign w:val="baseline"/>
          <w:rtl w:val="0"/>
          <w:lang w:val="en-AU"/>
        </w:rPr>
        <w:t>ETS: After an initial fall the seasonality shows an increasing trend, the trend is unclear and the error is also irregular. Therefore an ETS(M, N, M) model will be used.</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2233295"/>
            <wp:effectExtent l="0" t="0" r="10160" b="698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400040" cy="2233295"/>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1634490"/>
            <wp:effectExtent l="0" t="0" r="10160" b="1143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7"/>
                    <a:stretch>
                      <a:fillRect/>
                    </a:stretch>
                  </pic:blipFill>
                  <pic:spPr>
                    <a:xfrm>
                      <a:off x="0" y="0"/>
                      <a:ext cx="5400040" cy="163449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1647190"/>
            <wp:effectExtent l="0" t="0" r="10160" b="1397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8"/>
                    <a:stretch>
                      <a:fillRect/>
                    </a:stretch>
                  </pic:blipFill>
                  <pic:spPr>
                    <a:xfrm>
                      <a:off x="0" y="0"/>
                      <a:ext cx="5400040" cy="164719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lang w:val="en-AU"/>
        </w:rPr>
        <w:t>Based on the comparison of the models above, the ETS model outperforms the ARIMA model. The ETS model has a lower RMSE (13896 vs 18560), a lower MASE (0.36 vs 0.37) and a higher AIC (892 vs 579). This suggests I should use the ETS(M,N,M) model for forecasting.</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lang w:val="en-AU"/>
        </w:rPr>
        <w:t>However, first I will check both models’ performance against the 6 month holdout sample.</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rPr>
          <w:rFonts w:hint="default"/>
          <w:lang w:val="en-AU"/>
        </w:rPr>
        <w:t>On the holdout sample, the ETS model also outperformed the ARIMA model. RMSE is lower (14687 vs 29361) and MASE is much lower (0.5792 vs 1.2681). This validates my choice that using he ETS(M, N, M) model will be better for my forecast.</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942330" cy="2914650"/>
            <wp:effectExtent l="0" t="0" r="1270"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5942330" cy="291465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hint="default"/>
          <w:lang w:val="en-AU"/>
        </w:rPr>
      </w:pPr>
      <w:r>
        <w:drawing>
          <wp:inline distT="0" distB="0" distL="114300" distR="114300">
            <wp:extent cx="5934075" cy="2947670"/>
            <wp:effectExtent l="0" t="0" r="9525"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0"/>
                    <a:stretch>
                      <a:fillRect/>
                    </a:stretch>
                  </pic:blipFill>
                  <pic:spPr>
                    <a:xfrm>
                      <a:off x="0" y="0"/>
                      <a:ext cx="5934075" cy="2947670"/>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leftChars="0" w:right="0" w:firstLine="0" w:firstLine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r>
        <w:rPr>
          <w:rFonts w:ascii="Arial" w:hAnsi="Arial" w:eastAsia="Arial" w:cs="Arial"/>
          <w:b w:val="0"/>
          <w:i w:val="0"/>
          <w:smallCaps w:val="0"/>
          <w:strike w:val="0"/>
          <w:color w:val="000000"/>
          <w:sz w:val="22"/>
          <w:szCs w:val="22"/>
          <w:u w:val="none"/>
          <w:shd w:val="clear" w:fill="auto"/>
          <w:vertAlign w:val="baseline"/>
          <w:rtl w:val="0"/>
        </w:rPr>
        <w:t>Please provide a table of your forecasts for existing and new stores. Also, provide visualization of your forecasts that includes historical data, existing stores forecasts, and new stores forecasts.</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rPr>
          <w:rFonts w:ascii="Arial" w:hAnsi="Arial" w:eastAsia="Arial" w:cs="Arial"/>
          <w:b w:val="0"/>
          <w:i w:val="0"/>
          <w:smallCaps w:val="0"/>
          <w:strike w:val="0"/>
          <w:color w:val="000000"/>
          <w:sz w:val="22"/>
          <w:szCs w:val="22"/>
          <w:u w:val="none"/>
          <w:shd w:val="clear" w:fill="auto"/>
          <w:vertAlign w:val="baseline"/>
          <w:rtl w:val="0"/>
        </w:rPr>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rPr>
          <w:rFonts w:hint="default" w:cs="Arial"/>
          <w:b w:val="0"/>
          <w:i w:val="0"/>
          <w:smallCaps w:val="0"/>
          <w:strike w:val="0"/>
          <w:color w:val="000000"/>
          <w:sz w:val="22"/>
          <w:szCs w:val="22"/>
          <w:u w:val="none"/>
          <w:shd w:val="clear" w:fill="auto"/>
          <w:vertAlign w:val="baseline"/>
          <w:rtl w:val="0"/>
          <w:lang w:val="en-AU"/>
        </w:rPr>
        <w:t>Cluster 1 Forecast:</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drawing>
          <wp:inline distT="0" distB="0" distL="114300" distR="114300">
            <wp:extent cx="5400040" cy="1510665"/>
            <wp:effectExtent l="0" t="0" r="10160" b="1333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5400040" cy="1510665"/>
                    </a:xfrm>
                    <a:prstGeom prst="rect">
                      <a:avLst/>
                    </a:prstGeom>
                    <a:noFill/>
                    <a:ln>
                      <a:noFill/>
                    </a:ln>
                  </pic:spPr>
                </pic:pic>
              </a:graphicData>
            </a:graphic>
          </wp:inline>
        </w:drawing>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val="0"/>
        <w:jc w:val="left"/>
      </w:pPr>
      <w:r>
        <w:rPr>
          <w:rFonts w:hint="default"/>
          <w:lang w:val="en-AU"/>
        </w:rPr>
        <w:t>Cluster 2 Forecast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contextualSpacing w:val="0"/>
        <w:jc w:val="left"/>
      </w:pPr>
      <w:r>
        <w:drawing>
          <wp:inline distT="0" distB="0" distL="114300" distR="114300">
            <wp:extent cx="5400040" cy="1624330"/>
            <wp:effectExtent l="0" t="0" r="10160" b="635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5400040" cy="1624330"/>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contextualSpacing w:val="0"/>
        <w:jc w:val="left"/>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contextualSpacing w:val="0"/>
        <w:jc w:val="left"/>
      </w:pPr>
      <w:r>
        <w:rPr>
          <w:rFonts w:hint="default"/>
          <w:lang w:val="en-AU"/>
        </w:rPr>
        <w:t>Cluster 3 Forecast: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contextualSpacing w:val="0"/>
        <w:jc w:val="left"/>
        <w:rPr>
          <w:rFonts w:hint="default"/>
          <w:lang w:val="en-AU"/>
        </w:rPr>
      </w:pPr>
      <w:r>
        <w:drawing>
          <wp:inline distT="0" distB="0" distL="114300" distR="114300">
            <wp:extent cx="5400040" cy="1590675"/>
            <wp:effectExtent l="0" t="0" r="10160" b="952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a:stretch>
                      <a:fillRect/>
                    </a:stretch>
                  </pic:blipFill>
                  <pic:spPr>
                    <a:xfrm>
                      <a:off x="0" y="0"/>
                      <a:ext cx="5400040" cy="1590675"/>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Below is the complete table with forecast produce sales per month for 2016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rPr>
          <w:rFonts w:hint="default" w:cs="Arial"/>
          <w:b w:val="0"/>
          <w:i w:val="0"/>
          <w:smallCaps w:val="0"/>
          <w:strike w:val="0"/>
          <w:color w:val="000000"/>
          <w:sz w:val="22"/>
          <w:szCs w:val="22"/>
          <w:u w:val="none"/>
          <w:shd w:val="clear" w:fill="auto"/>
          <w:vertAlign w:val="baseline"/>
          <w:lang w:val="en-AU"/>
        </w:rPr>
      </w:pPr>
    </w:p>
    <w:tbl>
      <w:tblPr>
        <w:tblStyle w:val="14"/>
        <w:tblW w:w="5101" w:type="dxa"/>
        <w:tblInd w:w="0" w:type="dxa"/>
        <w:shd w:val="clear" w:color="auto" w:fill="auto"/>
        <w:tblLayout w:type="autofit"/>
        <w:tblCellMar>
          <w:top w:w="0" w:type="dxa"/>
          <w:left w:w="0" w:type="dxa"/>
          <w:bottom w:w="0" w:type="dxa"/>
          <w:right w:w="0" w:type="dxa"/>
        </w:tblCellMar>
      </w:tblPr>
      <w:tblGrid>
        <w:gridCol w:w="960"/>
        <w:gridCol w:w="960"/>
        <w:gridCol w:w="1560"/>
        <w:gridCol w:w="1621"/>
      </w:tblGrid>
      <w:tr>
        <w:tblPrEx>
          <w:shd w:val="clear" w:color="auto" w:fill="auto"/>
          <w:tblCellMar>
            <w:top w:w="0" w:type="dxa"/>
            <w:left w:w="0" w:type="dxa"/>
            <w:bottom w:w="0" w:type="dxa"/>
            <w:right w:w="0" w:type="dxa"/>
          </w:tblCellMar>
        </w:tblPrEx>
        <w:trPr>
          <w:trHeight w:val="303"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Year</w:t>
            </w:r>
          </w:p>
        </w:tc>
        <w:tc>
          <w:tcPr>
            <w:tcW w:w="960"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Month</w:t>
            </w:r>
          </w:p>
        </w:tc>
        <w:tc>
          <w:tcPr>
            <w:tcW w:w="1560"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New Stores</w:t>
            </w:r>
          </w:p>
        </w:tc>
        <w:tc>
          <w:tcPr>
            <w:tcW w:w="1620"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Existing Stores</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1</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$2,588,356.56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$20,933,918.66 </w:t>
            </w:r>
          </w:p>
        </w:tc>
      </w:tr>
      <w:tr>
        <w:tblPrEx>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$2,498,567.17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$20,292,892.36 </w:t>
            </w:r>
          </w:p>
        </w:tc>
      </w:tr>
      <w:tr>
        <w:tblPrEx>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3</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$2,919,067.02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$23,796,371.52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4</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$2,797,280.08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$22,577,227.91 </w:t>
            </w:r>
          </w:p>
        </w:tc>
      </w:tr>
      <w:tr>
        <w:tblPrEx>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5</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$3,163,764.86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$25,731,590.76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6</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$3,202,813.29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$26,004,247.14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7</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$3,228,212.24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$26,278,306.57</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8</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$2,868,914.81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$23,191,853.31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9</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$2,538,372.27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$20,466,390.85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10</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$2,485,732.28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$20,032,492.03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11</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$2,583,447.59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$20,897,760.51 </w:t>
            </w:r>
          </w:p>
        </w:tc>
      </w:tr>
      <w:tr>
        <w:tblPrEx>
          <w:shd w:val="clear" w:color="auto" w:fill="auto"/>
          <w:tblCellMar>
            <w:top w:w="0" w:type="dxa"/>
            <w:left w:w="0" w:type="dxa"/>
            <w:bottom w:w="0" w:type="dxa"/>
            <w:right w:w="0" w:type="dxa"/>
          </w:tblCellMar>
        </w:tblPrEx>
        <w:trPr>
          <w:trHeight w:val="303" w:hRule="atLeast"/>
        </w:trPr>
        <w:tc>
          <w:tcPr>
            <w:tcW w:w="96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2016</w:t>
            </w:r>
          </w:p>
        </w:tc>
        <w:tc>
          <w:tcPr>
            <w:tcW w:w="9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12</w:t>
            </w:r>
          </w:p>
        </w:tc>
        <w:tc>
          <w:tcPr>
            <w:tcW w:w="156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$2,562,181.70 </w:t>
            </w:r>
          </w:p>
        </w:tc>
        <w:tc>
          <w:tcPr>
            <w:tcW w:w="162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left"/>
              <w:textAlignment w:val="top"/>
              <w:rPr>
                <w:rFonts w:hint="default" w:ascii="Arial" w:hAnsi="Arial" w:cs="Arial"/>
                <w:i w:val="0"/>
                <w:color w:val="000000"/>
                <w:sz w:val="22"/>
                <w:szCs w:val="22"/>
                <w:u w:val="none"/>
              </w:rPr>
            </w:pPr>
            <w:r>
              <w:rPr>
                <w:rFonts w:hint="default" w:ascii="Arial" w:hAnsi="Arial" w:eastAsia="SimSun" w:cs="Arial"/>
                <w:b w:val="0"/>
                <w:i w:val="0"/>
                <w:smallCaps w:val="0"/>
                <w:strike w:val="0"/>
                <w:color w:val="000000"/>
                <w:kern w:val="0"/>
                <w:sz w:val="22"/>
                <w:szCs w:val="22"/>
                <w:u w:val="none"/>
                <w:shd w:val="clear" w:fill="auto"/>
                <w:vertAlign w:val="baseline"/>
                <w:lang w:val="en-US" w:eastAsia="zh-CN" w:bidi="ar"/>
              </w:rPr>
              <w:t xml:space="preserve">$20,955,902.15 </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Below is a visualisation of the store sales data forecast to the end of 2016.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r>
        <w:drawing>
          <wp:inline distT="0" distB="0" distL="114300" distR="114300">
            <wp:extent cx="5938520" cy="3218180"/>
            <wp:effectExtent l="0" t="0" r="508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5938520" cy="3218180"/>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ascii="Arial" w:hAnsi="Arial" w:eastAsia="Arial" w:cs="Arial"/>
          <w:b w:val="0"/>
          <w:i w:val="0"/>
          <w:smallCaps w:val="0"/>
          <w:strike w:val="0"/>
          <w:color w:val="000000"/>
          <w:sz w:val="22"/>
          <w:szCs w:val="22"/>
          <w:u w:val="none"/>
          <w:shd w:val="clear" w:fill="auto"/>
          <w:vertAlign w:val="baseline"/>
        </w:rPr>
      </w:pPr>
      <w:bookmarkStart w:id="1" w:name="_GoBack"/>
      <w:bookmarkEnd w:id="1"/>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Alteryx Workflows: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Task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drawing>
          <wp:inline distT="0" distB="0" distL="114300" distR="114300">
            <wp:extent cx="5400040" cy="2345690"/>
            <wp:effectExtent l="0" t="0" r="1016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400040" cy="2345690"/>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Task 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drawing>
          <wp:inline distT="0" distB="0" distL="114300" distR="114300">
            <wp:extent cx="5400040" cy="2465705"/>
            <wp:effectExtent l="0" t="0" r="1016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400040" cy="2465705"/>
                    </a:xfrm>
                    <a:prstGeom prst="rect">
                      <a:avLst/>
                    </a:prstGeom>
                    <a:noFill/>
                    <a:ln>
                      <a:noFill/>
                    </a:ln>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rPr>
          <w:rFonts w:hint="default" w:cs="Arial"/>
          <w:b w:val="0"/>
          <w:i w:val="0"/>
          <w:smallCaps w:val="0"/>
          <w:strike w:val="0"/>
          <w:color w:val="000000"/>
          <w:sz w:val="22"/>
          <w:szCs w:val="22"/>
          <w:u w:val="none"/>
          <w:shd w:val="clear" w:fill="auto"/>
          <w:vertAlign w:val="baseline"/>
          <w:lang w:val="en-AU"/>
        </w:rPr>
        <w:t>Task 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both"/>
        <w:rPr>
          <w:rFonts w:hint="default" w:cs="Arial"/>
          <w:b w:val="0"/>
          <w:i w:val="0"/>
          <w:smallCaps w:val="0"/>
          <w:strike w:val="0"/>
          <w:color w:val="000000"/>
          <w:sz w:val="22"/>
          <w:szCs w:val="22"/>
          <w:u w:val="none"/>
          <w:shd w:val="clear" w:fill="auto"/>
          <w:vertAlign w:val="baseline"/>
          <w:lang w:val="en-AU"/>
        </w:rPr>
      </w:pPr>
      <w:r>
        <w:drawing>
          <wp:inline distT="0" distB="0" distL="114300" distR="114300">
            <wp:extent cx="5400040" cy="2399665"/>
            <wp:effectExtent l="0" t="0" r="10160" b="825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7"/>
                    <a:stretch>
                      <a:fillRect/>
                    </a:stretch>
                  </pic:blipFill>
                  <pic:spPr>
                    <a:xfrm>
                      <a:off x="0" y="0"/>
                      <a:ext cx="5400040" cy="2399665"/>
                    </a:xfrm>
                    <a:prstGeom prst="rect">
                      <a:avLst/>
                    </a:prstGeom>
                    <a:noFill/>
                    <a:ln>
                      <a:noFill/>
                    </a:ln>
                  </pic:spPr>
                </pic:pic>
              </a:graphicData>
            </a:graphic>
          </wp:inline>
        </w:drawing>
      </w:r>
    </w:p>
    <w:sectPr>
      <w:pgSz w:w="12240" w:h="15840"/>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FE8A85"/>
    <w:multiLevelType w:val="singleLevel"/>
    <w:tmpl w:val="A2FE8A85"/>
    <w:lvl w:ilvl="0" w:tentative="0">
      <w:start w:val="1"/>
      <w:numFmt w:val="decimal"/>
      <w:suff w:val="space"/>
      <w:lvlText w:val="%1."/>
      <w:lvlJc w:val="left"/>
    </w:lvl>
  </w:abstractNum>
  <w:abstractNum w:abstractNumId="1">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53208E"/>
    <w:multiLevelType w:val="multilevel"/>
    <w:tmpl w:val="0053208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
  <w:rsids>
    <w:rsidRoot w:val="00000000"/>
    <w:rsid w:val="0D1344EF"/>
    <w:rsid w:val="1EC85935"/>
    <w:rsid w:val="290D59A2"/>
    <w:rsid w:val="2A9B259E"/>
    <w:rsid w:val="313151BA"/>
    <w:rsid w:val="385B5EFB"/>
    <w:rsid w:val="3D7650F8"/>
    <w:rsid w:val="3FDA6E99"/>
    <w:rsid w:val="556F55C3"/>
    <w:rsid w:val="5D322F21"/>
    <w:rsid w:val="62FD73F5"/>
    <w:rsid w:val="68C84D0C"/>
    <w:rsid w:val="70456191"/>
    <w:rsid w:val="757B3F68"/>
    <w:rsid w:val="7B5A7A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pPr>
    <w:rPr>
      <w:rFonts w:ascii="Arial" w:hAnsi="Arial" w:eastAsia="Arial" w:cs="Arial"/>
      <w:color w:val="000000"/>
      <w:sz w:val="22"/>
      <w:szCs w:val="22"/>
      <w:u w:val="none"/>
      <w:shd w:val="clear" w:fill="auto"/>
      <w:vertAlign w:val="baseline"/>
      <w:lang w:val="en-US"/>
    </w:rPr>
  </w:style>
  <w:style w:type="paragraph" w:styleId="2">
    <w:name w:val="heading 1"/>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400" w:after="120" w:line="276" w:lineRule="auto"/>
      <w:ind w:left="0" w:right="0" w:firstLine="0"/>
      <w:contextualSpacing w:val="0"/>
      <w:jc w:val="left"/>
    </w:pPr>
    <w:rPr>
      <w:rFonts w:ascii="Arial" w:hAnsi="Arial" w:eastAsia="Arial" w:cs="Arial"/>
      <w:color w:val="000000"/>
      <w:sz w:val="40"/>
      <w:szCs w:val="40"/>
      <w:u w:val="none"/>
      <w:shd w:val="clear" w:fill="auto"/>
      <w:vertAlign w:val="baseline"/>
    </w:rPr>
  </w:style>
  <w:style w:type="paragraph" w:styleId="3">
    <w:name w:val="heading 2"/>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360" w:after="120" w:line="276" w:lineRule="auto"/>
      <w:ind w:left="0" w:right="0" w:firstLine="0"/>
      <w:contextualSpacing w:val="0"/>
      <w:jc w:val="left"/>
    </w:pPr>
    <w:rPr>
      <w:rFonts w:ascii="Arial" w:hAnsi="Arial" w:eastAsia="Arial" w:cs="Arial"/>
      <w:color w:val="000000"/>
      <w:sz w:val="32"/>
      <w:szCs w:val="32"/>
      <w:u w:val="none"/>
      <w:shd w:val="clear" w:fill="auto"/>
      <w:vertAlign w:val="baseline"/>
    </w:rPr>
  </w:style>
  <w:style w:type="paragraph" w:styleId="4">
    <w:name w:val="heading 3"/>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320" w:after="80" w:line="276" w:lineRule="auto"/>
      <w:ind w:left="0" w:right="0" w:firstLine="0"/>
      <w:contextualSpacing w:val="0"/>
      <w:jc w:val="left"/>
    </w:pPr>
    <w:rPr>
      <w:rFonts w:ascii="Arial" w:hAnsi="Arial" w:eastAsia="Arial" w:cs="Arial"/>
      <w:color w:val="434343"/>
      <w:sz w:val="28"/>
      <w:szCs w:val="28"/>
      <w:u w:val="none"/>
      <w:shd w:val="clear" w:fill="auto"/>
      <w:vertAlign w:val="baseline"/>
    </w:rPr>
  </w:style>
  <w:style w:type="paragraph" w:styleId="5">
    <w:name w:val="heading 4"/>
    <w:basedOn w:val="1"/>
    <w:next w:val="1"/>
    <w:qFormat/>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280" w:after="80" w:line="276" w:lineRule="auto"/>
      <w:ind w:left="0" w:right="0" w:firstLine="0"/>
      <w:contextualSpacing w:val="0"/>
      <w:jc w:val="left"/>
    </w:pPr>
    <w:rPr>
      <w:rFonts w:ascii="Arial" w:hAnsi="Arial" w:eastAsia="Arial" w:cs="Arial"/>
      <w:color w:val="666666"/>
      <w:sz w:val="24"/>
      <w:szCs w:val="24"/>
      <w:u w:val="none"/>
      <w:shd w:val="clear" w:fill="auto"/>
      <w:vertAlign w:val="baseline"/>
    </w:rPr>
  </w:style>
  <w:style w:type="paragraph" w:styleId="6">
    <w:name w:val="heading 5"/>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contextualSpacing w:val="0"/>
      <w:jc w:val="left"/>
    </w:pPr>
    <w:rPr>
      <w:rFonts w:ascii="Arial" w:hAnsi="Arial" w:eastAsia="Arial" w:cs="Arial"/>
      <w:color w:val="666666"/>
      <w:sz w:val="22"/>
      <w:szCs w:val="22"/>
      <w:u w:val="none"/>
      <w:shd w:val="clear" w:fill="auto"/>
      <w:vertAlign w:val="baseline"/>
    </w:rPr>
  </w:style>
  <w:style w:type="paragraph" w:styleId="7">
    <w:name w:val="heading 6"/>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80" w:line="276" w:lineRule="auto"/>
      <w:ind w:left="0" w:right="0" w:firstLine="0"/>
      <w:contextualSpacing w:val="0"/>
      <w:jc w:val="left"/>
    </w:pPr>
    <w:rPr>
      <w:rFonts w:ascii="Arial" w:hAnsi="Arial" w:eastAsia="Arial" w:cs="Arial"/>
      <w:i/>
      <w:color w:val="666666"/>
      <w:sz w:val="22"/>
      <w:szCs w:val="22"/>
      <w:u w:val="none"/>
      <w:shd w:val="clear" w:fill="auto"/>
      <w:vertAlign w:val="baseline"/>
    </w:rPr>
  </w:style>
  <w:style w:type="character" w:default="1" w:styleId="12">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Subtitle"/>
    <w:basedOn w:val="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320" w:line="276" w:lineRule="auto"/>
      <w:ind w:left="0" w:right="0" w:firstLine="0"/>
      <w:contextualSpacing w:val="0"/>
      <w:jc w:val="left"/>
    </w:pPr>
    <w:rPr>
      <w:rFonts w:ascii="Arial" w:hAnsi="Arial" w:eastAsia="Arial" w:cs="Arial"/>
      <w:color w:val="666666"/>
      <w:sz w:val="30"/>
      <w:szCs w:val="30"/>
      <w:u w:val="none"/>
      <w:shd w:val="clear" w:fill="auto"/>
      <w:vertAlign w:val="baseline"/>
    </w:rPr>
  </w:style>
  <w:style w:type="paragraph" w:styleId="11">
    <w:name w:val="Title"/>
    <w:basedOn w:val="1"/>
    <w:next w:val="1"/>
    <w:qFormat/>
    <w:uiPriority w:val="0"/>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60" w:line="276" w:lineRule="auto"/>
      <w:ind w:left="0" w:right="0" w:firstLine="0"/>
      <w:contextualSpacing w:val="0"/>
      <w:jc w:val="left"/>
    </w:pPr>
    <w:rPr>
      <w:rFonts w:ascii="Arial" w:hAnsi="Arial" w:eastAsia="Arial" w:cs="Arial"/>
      <w:color w:val="000000"/>
      <w:sz w:val="52"/>
      <w:szCs w:val="52"/>
      <w:u w:val="none"/>
      <w:shd w:val="clear" w:fill="auto"/>
      <w:vertAlign w:val="baseline"/>
    </w:rPr>
  </w:style>
  <w:style w:type="character" w:styleId="13">
    <w:name w:val="Emphasis"/>
    <w:basedOn w:val="12"/>
    <w:qFormat/>
    <w:uiPriority w:val="0"/>
    <w:rPr>
      <w:i/>
      <w:iCs/>
    </w:rPr>
  </w:style>
  <w:style w:type="table" w:customStyle="1" w:styleId="15">
    <w:name w:val="Table Normal1"/>
    <w:uiPriority w:val="0"/>
  </w:style>
  <w:style w:type="table" w:customStyle="1" w:styleId="16">
    <w:name w:val="_Style 10"/>
    <w:basedOn w:val="15"/>
    <w:qFormat/>
    <w:uiPriority w:val="0"/>
    <w:pPr>
      <w:spacing w:line="240" w:lineRule="auto"/>
    </w:pPr>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Office_11.2.0.9232_F1E327BC-269C-435d-A152-05C5408002CA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2020-03-29T22:03:00Z</dcterms:created>
  <dc:creator>mattg</dc:creator>
  <cp:lastModifiedBy>mattg</cp:lastModifiedBy>
  <dcterms:modified xsi:type="dcterms:W3CDTF">2020-03-30T11:53:02Z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