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2A4A"/>
          <w:sz w:val="56"/>
          <w:szCs w:val="56"/>
        </w:rPr>
        <w:t xml:space="preserve">StudioLoom</w:t>
      </w:r>
    </w:p>
    <w:p>
      <w:pPr>
        <w:spacing w:after="600"/>
        <w:jc w:val="center"/>
      </w:pPr>
      <w:r>
        <w:rPr>
          <w:rFonts w:ascii="Arial" w:cs="Arial" w:eastAsia="Arial" w:hAnsi="Arial"/>
          <w:color w:val="2E5090"/>
          <w:sz w:val="40"/>
          <w:szCs w:val="40"/>
        </w:rPr>
        <w:t xml:space="preserve">China Market Analysis</w:t>
      </w:r>
    </w:p>
    <w:p>
      <w:pPr>
        <w:spacing w:after="200"/>
        <w:jc w:val="center"/>
      </w:pPr>
      <w:r>
        <w:rPr>
          <w:rFonts w:ascii="Arial" w:cs="Arial" w:eastAsia="Arial" w:hAnsi="Arial"/>
          <w:color w:val="666666"/>
          <w:sz w:val="24"/>
          <w:szCs w:val="24"/>
        </w:rPr>
        <w:t xml:space="preserve">AI EdTech Competitive Landscape &amp; Information Privacy Compliance</w:t>
      </w:r>
    </w:p>
    <w:p>
      <w:pPr>
        <w:spacing w:after="200"/>
        <w:jc w:val="center"/>
      </w:pPr>
      <w:r>
        <w:rPr>
          <w:rFonts w:ascii="Arial" w:cs="Arial" w:eastAsia="Arial" w:hAnsi="Arial"/>
          <w:color w:val="999999"/>
          <w:sz w:val="22"/>
          <w:szCs w:val="22"/>
        </w:rPr>
        <w:t xml:space="preserve">April 2026 | Confidential</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60"/>
      </w:pPr>
      <w:r>
        <w:rPr>
          <w:rFonts w:ascii="Arial" w:cs="Arial" w:eastAsia="Arial" w:hAnsi="Arial"/>
          <w:color w:val="333333"/>
          <w:sz w:val="22"/>
          <w:szCs w:val="22"/>
        </w:rPr>
        <w:t xml:space="preserve">This document analyses 10 China-based AI edtech companies against StudioLoom and assesses StudioLoom’s information privacy compliance requirements for operating in mainland China. The analysis covers two scenarios: serving international schools only (lighter regulatory path) versus also serving local Chinese schools (full regulatory compliance).</w:t>
      </w:r>
    </w:p>
    <w:p>
      <w:pPr>
        <w:pStyle w:val="Heading3"/>
        <w:spacing w:after="120" w:before="200"/>
      </w:pPr>
      <w:r>
        <w:rPr>
          <w:rFonts w:ascii="Arial" w:cs="Arial" w:eastAsia="Arial" w:hAnsi="Arial"/>
          <w:b/>
          <w:bCs/>
          <w:color w:val="444444"/>
          <w:sz w:val="22"/>
          <w:szCs w:val="22"/>
        </w:rPr>
        <w:t xml:space="preserve">Key Findings</w:t>
      </w:r>
    </w:p>
    <w:p>
      <w:pPr>
        <w:pStyle w:val="ListParagraph"/>
        <w:numPr>
          <w:ilvl w:val="0"/>
          <w:numId w:val="2"/>
        </w:numPr>
        <w:spacing w:after="80"/>
      </w:pPr>
      <w:r>
        <w:rPr>
          <w:rFonts w:ascii="Arial" w:cs="Arial" w:eastAsia="Arial" w:hAnsi="Arial"/>
          <w:color w:val="333333"/>
          <w:sz w:val="22"/>
          <w:szCs w:val="22"/>
        </w:rPr>
        <w:t xml:space="preserve">No direct competitor exists in China for AI-powered design/project-based learning platforms. The market is dominated by math/science adaptive tutoring, homework solving, and smart classroom hardware.</w:t>
      </w:r>
    </w:p>
    <w:p>
      <w:pPr>
        <w:pStyle w:val="ListParagraph"/>
        <w:numPr>
          <w:ilvl w:val="0"/>
          <w:numId w:val="2"/>
        </w:numPr>
        <w:spacing w:after="80"/>
      </w:pPr>
      <w:r>
        <w:rPr>
          <w:rFonts w:ascii="Arial" w:cs="Arial" w:eastAsia="Arial" w:hAnsi="Arial"/>
          <w:color w:val="333333"/>
          <w:sz w:val="22"/>
          <w:szCs w:val="22"/>
        </w:rPr>
        <w:t xml:space="preserve">iFlytek is the closest structural competitor (whole-platform approach) but is hardware-first, government-procurement-driven, and has zero design education capability.</w:t>
      </w:r>
    </w:p>
    <w:p>
      <w:pPr>
        <w:pStyle w:val="ListParagraph"/>
        <w:numPr>
          <w:ilvl w:val="0"/>
          <w:numId w:val="2"/>
        </w:numPr>
        <w:spacing w:after="80"/>
      </w:pPr>
      <w:r>
        <w:rPr>
          <w:rFonts w:ascii="Arial" w:cs="Arial" w:eastAsia="Arial" w:hAnsi="Arial"/>
          <w:color w:val="333333"/>
          <w:sz w:val="22"/>
          <w:szCs w:val="22"/>
        </w:rPr>
        <w:t xml:space="preserve">StudioLoom’s current architecture (Supabase on AWS US, Vercel on US edge, Anthropic Claude API) creates significant compliance gaps for China operations under PIPL, CSL, and JY/T 0643.</w:t>
      </w:r>
    </w:p>
    <w:p>
      <w:pPr>
        <w:pStyle w:val="ListParagraph"/>
        <w:numPr>
          <w:ilvl w:val="0"/>
          <w:numId w:val="2"/>
        </w:numPr>
        <w:spacing w:after="80"/>
      </w:pPr>
      <w:r>
        <w:rPr>
          <w:rFonts w:ascii="Arial" w:cs="Arial" w:eastAsia="Arial" w:hAnsi="Arial"/>
          <w:color w:val="333333"/>
          <w:sz w:val="22"/>
          <w:szCs w:val="22"/>
        </w:rPr>
        <w:t xml:space="preserve">International schools in China operate under lighter regulatory burden but still require data localisation for student personal information.</w:t>
      </w:r>
    </w:p>
    <w:p>
      <w:pPr>
        <w:pStyle w:val="ListParagraph"/>
        <w:numPr>
          <w:ilvl w:val="0"/>
          <w:numId w:val="2"/>
        </w:numPr>
        <w:spacing w:after="80"/>
      </w:pPr>
      <w:r>
        <w:rPr>
          <w:rFonts w:ascii="Arial" w:cs="Arial" w:eastAsia="Arial" w:hAnsi="Arial"/>
          <w:color w:val="333333"/>
          <w:sz w:val="22"/>
          <w:szCs w:val="22"/>
        </w:rPr>
        <w:t xml:space="preserve">The 2025 Guidelines for Use of Generative AI in Primary and Secondary Schools introduce new requirements that directly affect StudioLoom’s AI features.</w:t>
      </w:r>
    </w:p>
    <w:p>
      <w:r>
        <w:br w:type="page"/>
      </w:r>
    </w:p>
    <w:p>
      <w:pPr>
        <w:pStyle w:val="Heading1"/>
        <w:spacing w:after="200" w:before="360"/>
      </w:pPr>
      <w:r>
        <w:rPr>
          <w:rFonts w:ascii="Arial" w:cs="Arial" w:eastAsia="Arial" w:hAnsi="Arial"/>
          <w:b/>
          <w:bCs/>
          <w:color w:val="1B2A4A"/>
          <w:sz w:val="32"/>
          <w:szCs w:val="32"/>
        </w:rPr>
        <w:t xml:space="preserve">2. China AI EdTech Competitive Landscape</w:t>
      </w:r>
    </w:p>
    <w:p>
      <w:pPr>
        <w:spacing w:after="160"/>
      </w:pPr>
      <w:r>
        <w:rPr>
          <w:rFonts w:ascii="Arial" w:cs="Arial" w:eastAsia="Arial" w:hAnsi="Arial"/>
          <w:color w:val="333333"/>
          <w:sz w:val="22"/>
          <w:szCs w:val="22"/>
        </w:rPr>
        <w:t xml:space="preserve">China’s AI education market follows a distinct playbook: heavy investment in proprietary large models, hardware-centric distribution (tablets, smart pens, smart blackboards), and deep adaptation to government regulations. The 2021 Double Reduction Policy decimated the K-12 tutoring industry, forcing survivors to pivot to non-academic subjects, hardware, or institutional sales.</w:t>
      </w:r>
    </w:p>
    <w:p>
      <w:pPr>
        <w:pStyle w:val="Heading2"/>
        <w:spacing w:after="160" w:before="280"/>
      </w:pPr>
      <w:r>
        <w:rPr>
          <w:rFonts w:ascii="Arial" w:cs="Arial" w:eastAsia="Arial" w:hAnsi="Arial"/>
          <w:b/>
          <w:bCs/>
          <w:color w:val="2E5090"/>
          <w:sz w:val="26"/>
          <w:szCs w:val="26"/>
        </w:rPr>
        <w:t xml:space="preserve">2.1 Market Context</w:t>
      </w:r>
    </w:p>
    <w:p>
      <w:pPr>
        <w:spacing w:after="160"/>
      </w:pPr>
      <w:r>
        <w:rPr>
          <w:rFonts w:ascii="Arial" w:cs="Arial" w:eastAsia="Arial" w:hAnsi="Arial"/>
          <w:color w:val="333333"/>
          <w:sz w:val="22"/>
          <w:szCs w:val="22"/>
        </w:rPr>
        <w:t xml:space="preserve">The Chinese edtech market has consolidated dramatically since the Double Reduction Policy. The survivors share three characteristics: they sell to institutions (not parents), they focus on “quality education” (non-exam subjects like art, music, coding, or project-based learning), and they bundle AI with hardware. This creates an opening for StudioLoom: design education falls squarely in the “quality education” category that regulators actively encourage.</w:t>
      </w:r>
    </w:p>
    <w:p>
      <w:pPr>
        <w:pStyle w:val="Heading2"/>
        <w:spacing w:after="160" w:before="280"/>
      </w:pPr>
      <w:r>
        <w:rPr>
          <w:rFonts w:ascii="Arial" w:cs="Arial" w:eastAsia="Arial" w:hAnsi="Arial"/>
          <w:b/>
          <w:bCs/>
          <w:color w:val="2E5090"/>
          <w:sz w:val="26"/>
          <w:szCs w:val="26"/>
        </w:rPr>
        <w:t xml:space="preserve">2.2 Competitor Comparison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800"/>
        <w:gridCol w:w="1400"/>
        <w:gridCol w:w="1200"/>
        <w:gridCol w:w="2026"/>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Company</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 Approach</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 Model</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Level</w:t>
            </w:r>
          </w:p>
        </w:tc>
        <w:tc>
          <w:tcPr>
            <w:tcW w:type="dxa" w:w="2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StudioLoom Overlap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Squirrel AI (YiXue)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Adaptive math/science tutoring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Proprietary Large Adaptive Model (LAM), granular knowledge-point graph, time-per-question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Free 1.5-2yr trial then subscription; school subscriptions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LOW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Math/science focus, not design/project-based. Their knowledge-point graph approach is opposite to StudioLoom’s open-ended project model. Revenue from tablets + institutional subscriptions.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TAL Education (好未来)</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Math tutoring (MathGPT)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MathGPT: math-specific foundational model with Beijing Normal University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Consumer subscription; scrutinised under double-reduction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LOW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$2.25B revenue but under heavy regulatory pressure. Pivoting to non-academic offerings. Zero overlap with design education.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iFlytek (科大讯飞)</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Smart classroom hardware + software suite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Spark LLM on Huawei Ascend; speech recognition, multimodal, grading 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¥800/student/yr (Bengbu contract); ¥1.7M+ per school for full suite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b/>
                <w:bCs/>
                <w:color w:val="333333"/>
                <w:sz w:val="18"/>
                <w:szCs w:val="18"/>
              </w:rPr>
              <w:t xml:space="preserve">MEDIUM</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Closest to a “whole platform” competitor but hardware-first, government-contract-driven. Partially state-owned. Their AI grading overlaps with StudioLoom’s assessment features. Major barrier: requires government procurement process.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Zuoyebang (作业帮)</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Homework solving, test prep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Galaxy LLM (top C-Eval/CMMLU rankings)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Freemium consumer app; hardware sales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LOW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Largest K-12 user base but homework-solving focus. Competes with ByteDance’s Doubao. No project-based learning capability.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Zhiyuan Futures (纸鸢未来)</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Gaokao counselling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Multiple open-source LLMs (ex-Baidu/SenseTime/ByteDance founders)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Unknown (new entrant 2024)</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NONE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Gaokao-specific, no overlap. Regulatory risk around Gaokao advice.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Gaotu (高途)</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Adult + extracurricular courses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DeepSeek-powered AI tools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Course subscriptions; hardware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LOW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Pivoted to post-secondary + extracurricular to dodge K-12 ban. Open-source AI foundation. No design education.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VIPKid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ESL (formerly live tutoring)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Speech recognition + GPT-style feedback in AI-Courses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Per-course; shrinking revenue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NONE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Core China business ended. International pivot with limited success. Cautionary tale for foreign edtech.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Yuanfudao (猴辅导)</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Math, physics, English tutoring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Yuanli large model + DeepSeek integration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Hardware + subscription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LOW</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Vast content + hardware infrastructure. Socratic method overlaps philosophically with StudioLoom’s Design Assistant but in STEM context.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Rokid (AR Glasses)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AR + AI educational demos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Alibaba Qwen LLMs + spatial computing + voice/vision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Hardware sales; education partnerships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b/>
                <w:bCs/>
                <w:color w:val="333333"/>
                <w:sz w:val="18"/>
                <w:szCs w:val="18"/>
              </w:rPr>
              <w:t xml:space="preserve">NONE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Hardware play, not software platform. Interesting future tech but no immediate overlap.</w:t>
            </w:r>
          </w:p>
        </w:tc>
      </w:tr>
    </w:tbl>
    <w:p>
      <w:pPr>
        <w:spacing w:after="200"/>
      </w:pPr>
    </w:p>
    <w:p>
      <w:pPr>
        <w:pStyle w:val="Heading2"/>
        <w:spacing w:after="160" w:before="280"/>
      </w:pPr>
      <w:r>
        <w:rPr>
          <w:rFonts w:ascii="Arial" w:cs="Arial" w:eastAsia="Arial" w:hAnsi="Arial"/>
          <w:b/>
          <w:bCs/>
          <w:color w:val="2E5090"/>
          <w:sz w:val="26"/>
          <w:szCs w:val="26"/>
        </w:rPr>
        <w:t xml:space="preserve">2.3 Threat Assessment</w:t>
      </w:r>
    </w:p>
    <w:p>
      <w:pPr>
        <w:pStyle w:val="Heading3"/>
        <w:spacing w:after="120" w:before="200"/>
      </w:pPr>
      <w:r>
        <w:rPr>
          <w:rFonts w:ascii="Arial" w:cs="Arial" w:eastAsia="Arial" w:hAnsi="Arial"/>
          <w:b/>
          <w:bCs/>
          <w:color w:val="444444"/>
          <w:sz w:val="22"/>
          <w:szCs w:val="22"/>
        </w:rPr>
        <w:t xml:space="preserve">No Direct Competitor</w:t>
      </w:r>
    </w:p>
    <w:p>
      <w:pPr>
        <w:spacing w:after="160"/>
      </w:pPr>
      <w:r>
        <w:rPr>
          <w:rFonts w:ascii="Arial" w:cs="Arial" w:eastAsia="Arial" w:hAnsi="Arial"/>
          <w:color w:val="333333"/>
          <w:sz w:val="22"/>
          <w:szCs w:val="22"/>
        </w:rPr>
        <w:t xml:space="preserve">None of the 10 companies analysed offer anything resembling StudioLoom’s core value proposition: an AI-powered platform for guided design thinking education with structured scaffolding, Socratic mentoring, and teacher-managed knowledge bases. The China market is overwhelmingly focused on STEM subjects, homework assistance, and exam preparation.</w:t>
      </w:r>
    </w:p>
    <w:p>
      <w:pPr>
        <w:pStyle w:val="Heading3"/>
        <w:spacing w:after="120" w:before="200"/>
      </w:pPr>
      <w:r>
        <w:rPr>
          <w:rFonts w:ascii="Arial" w:cs="Arial" w:eastAsia="Arial" w:hAnsi="Arial"/>
          <w:b/>
          <w:bCs/>
          <w:color w:val="444444"/>
          <w:sz w:val="22"/>
          <w:szCs w:val="22"/>
        </w:rPr>
        <w:t xml:space="preserve">iFlytek: Closest Structural Analogue</w:t>
      </w:r>
    </w:p>
    <w:p>
      <w:pPr>
        <w:spacing w:after="160"/>
      </w:pPr>
      <w:r>
        <w:rPr>
          <w:rFonts w:ascii="Arial" w:cs="Arial" w:eastAsia="Arial" w:hAnsi="Arial"/>
          <w:color w:val="333333"/>
          <w:sz w:val="22"/>
          <w:szCs w:val="22"/>
        </w:rPr>
        <w:t xml:space="preserve">iFlytek’s Changyan Smart Classroom is the only product that attempts to cover the full teaching cycle (prep, delivery, assessment) similar to StudioLoom. However, the differences are fundamental:</w:t>
      </w:r>
    </w:p>
    <w:p>
      <w:pPr>
        <w:pStyle w:val="ListParagraph"/>
        <w:numPr>
          <w:ilvl w:val="0"/>
          <w:numId w:val="3"/>
        </w:numPr>
        <w:spacing w:after="80"/>
      </w:pPr>
      <w:r>
        <w:rPr>
          <w:rFonts w:ascii="Arial" w:cs="Arial" w:eastAsia="Arial" w:hAnsi="Arial"/>
          <w:color w:val="333333"/>
          <w:sz w:val="22"/>
          <w:szCs w:val="22"/>
        </w:rPr>
        <w:t xml:space="preserve">Hardware-first distribution: iFlytek sells smart blackboards and classroom hardware suites costing ¥1.7M+ per school. StudioLoom is pure software.</w:t>
      </w:r>
    </w:p>
    <w:p>
      <w:pPr>
        <w:pStyle w:val="ListParagraph"/>
        <w:numPr>
          <w:ilvl w:val="0"/>
          <w:numId w:val="3"/>
        </w:numPr>
        <w:spacing w:after="80"/>
      </w:pPr>
      <w:r>
        <w:rPr>
          <w:rFonts w:ascii="Arial" w:cs="Arial" w:eastAsia="Arial" w:hAnsi="Arial"/>
          <w:color w:val="333333"/>
          <w:sz w:val="22"/>
          <w:szCs w:val="22"/>
        </w:rPr>
        <w:t xml:space="preserve">Government procurement: iFlytek wins contracts through government tenders (the ¥1.586B Bengbu contract covered 875 schools). StudioLoom targets individual teachers and school-level decisions.</w:t>
      </w:r>
    </w:p>
    <w:p>
      <w:pPr>
        <w:pStyle w:val="ListParagraph"/>
        <w:numPr>
          <w:ilvl w:val="0"/>
          <w:numId w:val="3"/>
        </w:numPr>
        <w:spacing w:after="80"/>
      </w:pPr>
      <w:r>
        <w:rPr>
          <w:rFonts w:ascii="Arial" w:cs="Arial" w:eastAsia="Arial" w:hAnsi="Arial"/>
          <w:color w:val="333333"/>
          <w:sz w:val="22"/>
          <w:szCs w:val="22"/>
        </w:rPr>
        <w:t xml:space="preserve">Subject agnostic but shallow: iFlytek’s AI assists with grading and lesson prep across all subjects but has no deep design-thinking pedagogy, no Workshop Model, no effort-gating patterns.</w:t>
      </w:r>
    </w:p>
    <w:p>
      <w:pPr>
        <w:pStyle w:val="ListParagraph"/>
        <w:numPr>
          <w:ilvl w:val="0"/>
          <w:numId w:val="3"/>
        </w:numPr>
        <w:spacing w:after="80"/>
      </w:pPr>
      <w:r>
        <w:rPr>
          <w:rFonts w:ascii="Arial" w:cs="Arial" w:eastAsia="Arial" w:hAnsi="Arial"/>
          <w:color w:val="333333"/>
          <w:sz w:val="22"/>
          <w:szCs w:val="22"/>
        </w:rPr>
        <w:t xml:space="preserve">Partially state-owned: iFlytek faces both advantages (government contracts) and disadvantages (international scrutiny, slower innovation) from its state connections.</w:t>
      </w:r>
    </w:p>
    <w:p>
      <w:pPr>
        <w:pStyle w:val="Heading3"/>
        <w:spacing w:after="120" w:before="200"/>
      </w:pPr>
      <w:r>
        <w:rPr>
          <w:rFonts w:ascii="Arial" w:cs="Arial" w:eastAsia="Arial" w:hAnsi="Arial"/>
          <w:b/>
          <w:bCs/>
          <w:color w:val="444444"/>
          <w:sz w:val="22"/>
          <w:szCs w:val="22"/>
        </w:rPr>
        <w:t xml:space="preserve">Yuanfudao’s Socratic Approach</w:t>
      </w:r>
    </w:p>
    <w:p>
      <w:pPr>
        <w:spacing w:after="160"/>
      </w:pPr>
      <w:r>
        <w:rPr>
          <w:rFonts w:ascii="Arial" w:cs="Arial" w:eastAsia="Arial" w:hAnsi="Arial"/>
          <w:color w:val="333333"/>
          <w:sz w:val="22"/>
          <w:szCs w:val="22"/>
        </w:rPr>
        <w:t xml:space="preserve">Yuanfudao’s Dolphin AI uses Socratic questioning for homework help, which philosophically overlaps with StudioLoom’s Design Assistant. However, their implementation is narrow (structured math problems with known answers) versus StudioLoom’s open-ended design mentoring. The pedagogical depth is not comparable.</w:t>
      </w:r>
    </w:p>
    <w:p>
      <w:pPr>
        <w:pStyle w:val="Heading3"/>
        <w:spacing w:after="120" w:before="200"/>
      </w:pPr>
      <w:r>
        <w:rPr>
          <w:rFonts w:ascii="Arial" w:cs="Arial" w:eastAsia="Arial" w:hAnsi="Arial"/>
          <w:b/>
          <w:bCs/>
          <w:color w:val="444444"/>
          <w:sz w:val="22"/>
          <w:szCs w:val="22"/>
        </w:rPr>
        <w:t xml:space="preserve">The “Quality Education” Opportunity</w:t>
      </w:r>
    </w:p>
    <w:p>
      <w:pPr>
        <w:spacing w:after="160"/>
      </w:pPr>
      <w:r>
        <w:rPr>
          <w:rFonts w:ascii="Arial" w:cs="Arial" w:eastAsia="Arial" w:hAnsi="Arial"/>
          <w:color w:val="333333"/>
          <w:sz w:val="22"/>
          <w:szCs w:val="22"/>
        </w:rPr>
        <w:t xml:space="preserve">Post-Double Reduction, the Chinese government actively promotes “quality education” (素质教育) covering art, music, coding, STEAM, and project-based learning. Design thinking falls perfectly into this category. StudioLoom could position itself as the AI platform that makes quality education scalable, which aligns with government policy rather than conflicting with it.</w:t>
      </w:r>
    </w:p>
    <w:p>
      <w:pPr>
        <w:pStyle w:val="Heading2"/>
        <w:spacing w:after="160" w:before="280"/>
      </w:pPr>
      <w:r>
        <w:rPr>
          <w:rFonts w:ascii="Arial" w:cs="Arial" w:eastAsia="Arial" w:hAnsi="Arial"/>
          <w:b/>
          <w:bCs/>
          <w:color w:val="2E5090"/>
          <w:sz w:val="26"/>
          <w:szCs w:val="26"/>
        </w:rPr>
        <w:t xml:space="preserve">2.4 Pricing Landscape</w:t>
      </w:r>
    </w:p>
    <w:p>
      <w:pPr>
        <w:spacing w:after="160"/>
      </w:pPr>
      <w:r>
        <w:rPr>
          <w:rFonts w:ascii="Arial" w:cs="Arial" w:eastAsia="Arial" w:hAnsi="Arial"/>
          <w:color w:val="333333"/>
          <w:sz w:val="22"/>
          <w:szCs w:val="22"/>
        </w:rPr>
        <w:t xml:space="preserve">The pricing data reveals a market with extreme range:</w:t>
      </w:r>
    </w:p>
    <w:p>
      <w:pPr>
        <w:pStyle w:val="ListParagraph"/>
        <w:numPr>
          <w:ilvl w:val="0"/>
          <w:numId w:val="4"/>
        </w:numPr>
        <w:spacing w:after="80"/>
      </w:pPr>
      <w:r>
        <w:rPr>
          <w:rFonts w:ascii="Arial" w:cs="Arial" w:eastAsia="Arial" w:hAnsi="Arial"/>
          <w:color w:val="333333"/>
          <w:sz w:val="22"/>
          <w:szCs w:val="22"/>
        </w:rPr>
        <w:t xml:space="preserve">iFlytek: ¥800/student/year at scale (Bengbu contract) to ¥1.7M+ per school for full suite</w:t>
      </w:r>
    </w:p>
    <w:p>
      <w:pPr>
        <w:pStyle w:val="ListParagraph"/>
        <w:numPr>
          <w:ilvl w:val="0"/>
          <w:numId w:val="4"/>
        </w:numPr>
        <w:spacing w:after="80"/>
      </w:pPr>
      <w:r>
        <w:rPr>
          <w:rFonts w:ascii="Arial" w:cs="Arial" w:eastAsia="Arial" w:hAnsi="Arial"/>
          <w:color w:val="333333"/>
          <w:sz w:val="22"/>
          <w:szCs w:val="22"/>
        </w:rPr>
        <w:t xml:space="preserve">Squirrel AI: Free 1.5-2 years then subscription (land-and-expand model)</w:t>
      </w:r>
    </w:p>
    <w:p>
      <w:pPr>
        <w:pStyle w:val="ListParagraph"/>
        <w:numPr>
          <w:ilvl w:val="0"/>
          <w:numId w:val="4"/>
        </w:numPr>
        <w:spacing w:after="80"/>
      </w:pPr>
      <w:r>
        <w:rPr>
          <w:rFonts w:ascii="Arial" w:cs="Arial" w:eastAsia="Arial" w:hAnsi="Arial"/>
          <w:color w:val="333333"/>
          <w:sz w:val="22"/>
          <w:szCs w:val="22"/>
        </w:rPr>
        <w:t xml:space="preserve">Hardware bundling: Most competitors sell hardware (tablets ¥2,000-5,000, smart blackboards ¥30,000-100,000) with software attached</w:t>
      </w:r>
    </w:p>
    <w:p>
      <w:pPr>
        <w:spacing w:after="160"/>
      </w:pPr>
      <w:r>
        <w:rPr>
          <w:rFonts w:ascii="Arial" w:cs="Arial" w:eastAsia="Arial" w:hAnsi="Arial"/>
          <w:color w:val="333333"/>
          <w:sz w:val="22"/>
          <w:szCs w:val="22"/>
        </w:rPr>
        <w:t xml:space="preserve">StudioLoom’s pure-software, per-school subscription model would be unusual in the China market. Consider either: (a) partnering with a hardware distributor for bundled sales, or (b) positioning as a premium software layer that works with existing hardware (the international school path).</w:t>
      </w:r>
    </w:p>
    <w:p>
      <w:r>
        <w:br w:type="page"/>
      </w:r>
    </w:p>
    <w:p>
      <w:pPr>
        <w:pStyle w:val="Heading1"/>
        <w:spacing w:after="200" w:before="360"/>
      </w:pPr>
      <w:r>
        <w:rPr>
          <w:rFonts w:ascii="Arial" w:cs="Arial" w:eastAsia="Arial" w:hAnsi="Arial"/>
          <w:b/>
          <w:bCs/>
          <w:color w:val="1B2A4A"/>
          <w:sz w:val="32"/>
          <w:szCs w:val="32"/>
        </w:rPr>
        <w:t xml:space="preserve">3. Information Privacy &amp; Data Compliance</w:t>
      </w:r>
    </w:p>
    <w:p>
      <w:pPr>
        <w:spacing w:after="160"/>
      </w:pPr>
      <w:r>
        <w:rPr>
          <w:rFonts w:ascii="Arial" w:cs="Arial" w:eastAsia="Arial" w:hAnsi="Arial"/>
          <w:color w:val="333333"/>
          <w:sz w:val="22"/>
          <w:szCs w:val="22"/>
        </w:rPr>
        <w:t xml:space="preserve">StudioLoom’s China operations must comply with three overlapping legal frameworks plus one education-sector standard. Non-compliance penalties are severe: fines up to RMB 50 million or 5% of annual revenue, plus potential business suspension.</w:t>
      </w:r>
    </w:p>
    <w:p>
      <w:pPr>
        <w:pStyle w:val="Heading2"/>
        <w:spacing w:after="160" w:before="280"/>
      </w:pPr>
      <w:r>
        <w:rPr>
          <w:rFonts w:ascii="Arial" w:cs="Arial" w:eastAsia="Arial" w:hAnsi="Arial"/>
          <w:b/>
          <w:bCs/>
          <w:color w:val="2E5090"/>
          <w:sz w:val="26"/>
          <w:szCs w:val="26"/>
        </w:rPr>
        <w:t xml:space="preserve">3.1 Applicable Laws and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Law/Standard</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Requirement</w:t>
            </w:r>
          </w:p>
        </w:tc>
        <w:tc>
          <w:tcPr>
            <w:tcW w:type="dxa" w:w="2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StudioLoom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PIPL (2021)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All personal information processing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Consent, purpose limitation, data minimisation, cross-border transfer rules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Every student name, response, and AI interaction is personal information. Cross-border transfer to US servers triggers full compliance pathway.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Cybersecurity Law (CSL, 2017)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Network operators in China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Data localisation for critical information infrastructure; security assessments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If classified as education CIIO, must store all data on China-based servers.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Data Security Law (DSL, 2021)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All data processing activities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Data classification, security reviews for important data export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Student assessment data, AI-generated content, and behavioural analytics may qualify as “important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JY/T 0643 (Education sector)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Education personal information processors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Guardian consent, purpose limitation, security policy, retention periods, no advertising, third-party due diligence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Directly applies to StudioLoom. Requires guardian TOS acceptance, stated retention period, security policy documentation.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Gen AI in Schools Guidelines (2025)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Generative AI use in primary/secondary schools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independent student use of open-ended AI in primary schools; teachers cannot substitute AI for core teaching; no sensitive data input to AI tools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StudioLoom’s Design Assistant (Haiku-powered Socratic mentor) must comply. Students aged 11-14 may face usage restrictions.</w:t>
            </w:r>
          </w:p>
        </w:tc>
      </w:tr>
    </w:tbl>
    <w:p>
      <w:pPr>
        <w:spacing w:after="200"/>
      </w:pPr>
    </w:p>
    <w:p>
      <w:pPr>
        <w:pStyle w:val="Heading2"/>
        <w:spacing w:after="160" w:before="280"/>
      </w:pPr>
      <w:r>
        <w:rPr>
          <w:rFonts w:ascii="Arial" w:cs="Arial" w:eastAsia="Arial" w:hAnsi="Arial"/>
          <w:b/>
          <w:bCs/>
          <w:color w:val="2E5090"/>
          <w:sz w:val="26"/>
          <w:szCs w:val="26"/>
        </w:rPr>
        <w:t xml:space="preserve">3.2 StudioLoom’s Current Architecture vs China Requirements</w:t>
      </w:r>
    </w:p>
    <w:p>
      <w:pPr>
        <w:pStyle w:val="Heading3"/>
        <w:spacing w:after="120" w:before="200"/>
      </w:pPr>
      <w:r>
        <w:rPr>
          <w:rFonts w:ascii="Arial" w:cs="Arial" w:eastAsia="Arial" w:hAnsi="Arial"/>
          <w:b/>
          <w:bCs/>
          <w:color w:val="444444"/>
          <w:sz w:val="22"/>
          <w:szCs w:val="22"/>
        </w:rPr>
        <w:t xml:space="preserve">Current Stack (Non-Compliant for China)</w:t>
      </w:r>
    </w:p>
    <w:p>
      <w:pPr>
        <w:pStyle w:val="ListParagraph"/>
        <w:numPr>
          <w:ilvl w:val="0"/>
          <w:numId w:val="5"/>
        </w:numPr>
        <w:spacing w:after="80"/>
      </w:pPr>
      <w:r>
        <w:rPr>
          <w:rFonts w:ascii="Arial" w:cs="Arial" w:eastAsia="Arial" w:hAnsi="Arial"/>
          <w:color w:val="333333"/>
          <w:sz w:val="22"/>
          <w:szCs w:val="22"/>
        </w:rPr>
        <w:t xml:space="preserve">Database: Supabase (PostgreSQL on AWS US regions)</w:t>
      </w:r>
    </w:p>
    <w:p>
      <w:pPr>
        <w:pStyle w:val="ListParagraph"/>
        <w:numPr>
          <w:ilvl w:val="0"/>
          <w:numId w:val="5"/>
        </w:numPr>
        <w:spacing w:after="80"/>
      </w:pPr>
      <w:r>
        <w:rPr>
          <w:rFonts w:ascii="Arial" w:cs="Arial" w:eastAsia="Arial" w:hAnsi="Arial"/>
          <w:color w:val="333333"/>
          <w:sz w:val="22"/>
          <w:szCs w:val="22"/>
        </w:rPr>
        <w:t xml:space="preserve">Hosting: Vercel (US/global edge network)</w:t>
      </w:r>
    </w:p>
    <w:p>
      <w:pPr>
        <w:pStyle w:val="ListParagraph"/>
        <w:numPr>
          <w:ilvl w:val="0"/>
          <w:numId w:val="5"/>
        </w:numPr>
        <w:spacing w:after="80"/>
      </w:pPr>
      <w:r>
        <w:rPr>
          <w:rFonts w:ascii="Arial" w:cs="Arial" w:eastAsia="Arial" w:hAnsi="Arial"/>
          <w:color w:val="333333"/>
          <w:sz w:val="22"/>
          <w:szCs w:val="22"/>
        </w:rPr>
        <w:t xml:space="preserve">AI Provider: Anthropic Claude (US-based, API calls to US servers)</w:t>
      </w:r>
    </w:p>
    <w:p>
      <w:pPr>
        <w:pStyle w:val="ListParagraph"/>
        <w:numPr>
          <w:ilvl w:val="0"/>
          <w:numId w:val="5"/>
        </w:numPr>
        <w:spacing w:after="80"/>
      </w:pPr>
      <w:r>
        <w:rPr>
          <w:rFonts w:ascii="Arial" w:cs="Arial" w:eastAsia="Arial" w:hAnsi="Arial"/>
          <w:color w:val="333333"/>
          <w:sz w:val="22"/>
          <w:szCs w:val="22"/>
        </w:rPr>
        <w:t xml:space="preserve">Embeddings: Voyage AI (US-based)</w:t>
      </w:r>
    </w:p>
    <w:p>
      <w:pPr>
        <w:pStyle w:val="ListParagraph"/>
        <w:numPr>
          <w:ilvl w:val="0"/>
          <w:numId w:val="5"/>
        </w:numPr>
        <w:spacing w:after="80"/>
      </w:pPr>
      <w:r>
        <w:rPr>
          <w:rFonts w:ascii="Arial" w:cs="Arial" w:eastAsia="Arial" w:hAnsi="Arial"/>
          <w:color w:val="333333"/>
          <w:sz w:val="22"/>
          <w:szCs w:val="22"/>
        </w:rPr>
        <w:t xml:space="preserve">Auth: Student tokens stored in cookies, teacher auth via Supabase Auth (US)</w:t>
      </w:r>
    </w:p>
    <w:p>
      <w:pPr>
        <w:spacing w:after="240"/>
      </w:pPr>
      <w:r>
        <w:rPr>
          <w:rFonts w:ascii="Arial" w:cs="Arial" w:eastAsia="Arial" w:hAnsi="Arial"/>
          <w:color w:val="333333"/>
          <w:sz w:val="22"/>
          <w:szCs w:val="22"/>
        </w:rPr>
        <w:t xml:space="preserve">This architecture means every student interaction, every AI conversation, every piece of assessment data crosses the China border to US-hosted servers. Under PIPL Article 38, this requires one of three compliance pathways, all of which are expensive and time-consuming.</w:t>
      </w:r>
    </w:p>
    <w:p>
      <w:pPr>
        <w:pStyle w:val="Heading2"/>
        <w:spacing w:after="160" w:before="280"/>
      </w:pPr>
      <w:r>
        <w:rPr>
          <w:rFonts w:ascii="Arial" w:cs="Arial" w:eastAsia="Arial" w:hAnsi="Arial"/>
          <w:b/>
          <w:bCs/>
          <w:color w:val="2E5090"/>
          <w:sz w:val="26"/>
          <w:szCs w:val="26"/>
        </w:rPr>
        <w:t xml:space="preserve">3.3 Two Paths: International Schools vs Local Schools</w:t>
      </w:r>
    </w:p>
    <w:p>
      <w:pPr>
        <w:pStyle w:val="Heading3"/>
        <w:spacing w:after="120" w:before="200"/>
      </w:pPr>
      <w:r>
        <w:rPr>
          <w:rFonts w:ascii="Arial" w:cs="Arial" w:eastAsia="Arial" w:hAnsi="Arial"/>
          <w:b/>
          <w:bCs/>
          <w:color w:val="444444"/>
          <w:sz w:val="22"/>
          <w:szCs w:val="22"/>
        </w:rPr>
        <w:t xml:space="preserve">Path A: International Schools Only</w:t>
      </w:r>
    </w:p>
    <w:p>
      <w:pPr>
        <w:spacing w:after="160"/>
      </w:pPr>
      <w:r>
        <w:rPr>
          <w:rFonts w:ascii="Arial" w:cs="Arial" w:eastAsia="Arial" w:hAnsi="Arial"/>
          <w:color w:val="333333"/>
          <w:sz w:val="22"/>
          <w:szCs w:val="22"/>
        </w:rPr>
        <w:t xml:space="preserve">International schools (serving foreign passport holders and some Chinese nationals) operate under a lighter regulatory framework. They use foreign curricula (IB, IGCSE, A-Level) and have more flexibility around technology choices. However, they are NOT exempt from PIPL or CSL.</w:t>
      </w:r>
    </w:p>
    <w:p>
      <w:pPr>
        <w:spacing w:after="160"/>
      </w:pPr>
      <w:r>
        <w:rPr>
          <w:rFonts w:ascii="Arial" w:cs="Arial" w:eastAsia="Arial" w:hAnsi="Arial"/>
          <w:b/>
          <w:bCs/>
          <w:color w:val="333333"/>
          <w:sz w:val="22"/>
          <w:szCs w:val="22"/>
        </w:rPr>
        <w:t xml:space="preserve">Regulatory burden: </w:t>
      </w:r>
      <w:r>
        <w:rPr>
          <w:rFonts w:ascii="Arial" w:cs="Arial" w:eastAsia="Arial" w:hAnsi="Arial"/>
          <w:color w:val="333333"/>
          <w:sz w:val="22"/>
          <w:szCs w:val="22"/>
        </w:rPr>
        <w:t xml:space="preserve">MEDIUM. Still need PIPL compliance but less scrutiny on content review. No mandatory government curriculum integration. Schools already use foreign SaaS tools (ManageBac, Google Workspace) setting a precedent.</w:t>
      </w:r>
    </w:p>
    <w:p>
      <w:pPr>
        <w:spacing w:after="160"/>
      </w:pPr>
      <w:r>
        <w:rPr>
          <w:rFonts w:ascii="Arial" w:cs="Arial" w:eastAsia="Arial" w:hAnsi="Arial"/>
          <w:b/>
          <w:bCs/>
          <w:color w:val="333333"/>
          <w:sz w:val="22"/>
          <w:szCs w:val="22"/>
        </w:rPr>
        <w:t xml:space="preserve">Data localisation: </w:t>
      </w:r>
      <w:r>
        <w:rPr>
          <w:rFonts w:ascii="Arial" w:cs="Arial" w:eastAsia="Arial" w:hAnsi="Arial"/>
          <w:color w:val="333333"/>
          <w:sz w:val="22"/>
          <w:szCs w:val="22"/>
        </w:rPr>
        <w:t xml:space="preserve">RECOMMENDED but not strictly enforced for international schools (currently). However, the trend is toward stricter enforcement. Chinese national students at international schools are fully covered by PIPL.</w:t>
      </w:r>
    </w:p>
    <w:p>
      <w:pPr>
        <w:spacing w:after="160"/>
      </w:pPr>
      <w:r>
        <w:rPr>
          <w:rFonts w:ascii="Arial" w:cs="Arial" w:eastAsia="Arial" w:hAnsi="Arial"/>
          <w:b/>
          <w:bCs/>
          <w:color w:val="333333"/>
          <w:sz w:val="22"/>
          <w:szCs w:val="22"/>
        </w:rPr>
        <w:t xml:space="preserve">Market size: </w:t>
      </w:r>
      <w:r>
        <w:rPr>
          <w:rFonts w:ascii="Arial" w:cs="Arial" w:eastAsia="Arial" w:hAnsi="Arial"/>
          <w:color w:val="333333"/>
          <w:sz w:val="22"/>
          <w:szCs w:val="22"/>
        </w:rPr>
        <w:t xml:space="preserve">Approximately 1,000 international schools in mainland China (declining since COVID and regulatory tightening). Average school size 500-1,500 students. Addressable market for Design/DT: ~200-300 schools.</w:t>
      </w:r>
    </w:p>
    <w:p>
      <w:pPr>
        <w:spacing w:after="160"/>
      </w:pPr>
      <w:r>
        <w:rPr>
          <w:rFonts w:ascii="Arial" w:cs="Arial" w:eastAsia="Arial" w:hAnsi="Arial"/>
          <w:b/>
          <w:bCs/>
          <w:color w:val="333333"/>
          <w:sz w:val="22"/>
          <w:szCs w:val="22"/>
        </w:rPr>
        <w:t xml:space="preserve">Go-to-market: </w:t>
      </w:r>
      <w:r>
        <w:rPr>
          <w:rFonts w:ascii="Arial" w:cs="Arial" w:eastAsia="Arial" w:hAnsi="Arial"/>
          <w:color w:val="333333"/>
          <w:sz w:val="22"/>
          <w:szCs w:val="22"/>
        </w:rPr>
        <w:t xml:space="preserve">Direct sales through existing IB/IGCSE teacher networks. Matt’s position as a Design teacher at an international school is the perfect entry point.</w:t>
      </w:r>
    </w:p>
    <w:p>
      <w:pPr>
        <w:pStyle w:val="Heading3"/>
        <w:spacing w:after="120" w:before="200"/>
      </w:pPr>
      <w:r>
        <w:rPr>
          <w:rFonts w:ascii="Arial" w:cs="Arial" w:eastAsia="Arial" w:hAnsi="Arial"/>
          <w:b/>
          <w:bCs/>
          <w:color w:val="444444"/>
          <w:sz w:val="22"/>
          <w:szCs w:val="22"/>
        </w:rPr>
        <w:t xml:space="preserve">Path B: International + Local Chinese Schools</w:t>
      </w:r>
    </w:p>
    <w:p>
      <w:pPr>
        <w:spacing w:after="160"/>
      </w:pPr>
      <w:r>
        <w:rPr>
          <w:rFonts w:ascii="Arial" w:cs="Arial" w:eastAsia="Arial" w:hAnsi="Arial"/>
          <w:color w:val="333333"/>
          <w:sz w:val="22"/>
          <w:szCs w:val="22"/>
        </w:rPr>
        <w:t xml:space="preserve">Local Chinese schools (public and private domestic curriculum) are subject to full regulatory compliance including content review, curriculum alignment mandates, and strict data localisation.</w:t>
      </w:r>
    </w:p>
    <w:p>
      <w:pPr>
        <w:spacing w:after="160"/>
      </w:pPr>
      <w:r>
        <w:rPr>
          <w:rFonts w:ascii="Arial" w:cs="Arial" w:eastAsia="Arial" w:hAnsi="Arial"/>
          <w:b/>
          <w:bCs/>
          <w:color w:val="333333"/>
          <w:sz w:val="22"/>
          <w:szCs w:val="22"/>
        </w:rPr>
        <w:t xml:space="preserve">Regulatory burden: </w:t>
      </w:r>
      <w:r>
        <w:rPr>
          <w:rFonts w:ascii="Arial" w:cs="Arial" w:eastAsia="Arial" w:hAnsi="Arial"/>
          <w:color w:val="333333"/>
          <w:sz w:val="22"/>
          <w:szCs w:val="22"/>
        </w:rPr>
        <w:t xml:space="preserve">HIGH. Full PIPL + CSL + DSL + JY/T 0643 compliance. Content must pass government review. AI features must comply with 2025 Gen AI Guidelines. Must integrate with provincial education platforms.</w:t>
      </w:r>
    </w:p>
    <w:p>
      <w:pPr>
        <w:spacing w:after="160"/>
      </w:pPr>
      <w:r>
        <w:rPr>
          <w:rFonts w:ascii="Arial" w:cs="Arial" w:eastAsia="Arial" w:hAnsi="Arial"/>
          <w:b/>
          <w:bCs/>
          <w:color w:val="333333"/>
          <w:sz w:val="22"/>
          <w:szCs w:val="22"/>
        </w:rPr>
        <w:t xml:space="preserve">Data localisation: </w:t>
      </w:r>
      <w:r>
        <w:rPr>
          <w:rFonts w:ascii="Arial" w:cs="Arial" w:eastAsia="Arial" w:hAnsi="Arial"/>
          <w:color w:val="333333"/>
          <w:sz w:val="22"/>
          <w:szCs w:val="22"/>
        </w:rPr>
        <w:t xml:space="preserve">MANDATORY. All student data must be stored on servers physically located in mainland China. Must use government-approved cloud providers (Alibaba Cloud, Tencent Cloud, Huawei Cloud).</w:t>
      </w:r>
    </w:p>
    <w:p>
      <w:pPr>
        <w:spacing w:after="160"/>
      </w:pPr>
      <w:r>
        <w:rPr>
          <w:rFonts w:ascii="Arial" w:cs="Arial" w:eastAsia="Arial" w:hAnsi="Arial"/>
          <w:b/>
          <w:bCs/>
          <w:color w:val="333333"/>
          <w:sz w:val="22"/>
          <w:szCs w:val="22"/>
        </w:rPr>
        <w:t xml:space="preserve">Market size: </w:t>
      </w:r>
      <w:r>
        <w:rPr>
          <w:rFonts w:ascii="Arial" w:cs="Arial" w:eastAsia="Arial" w:hAnsi="Arial"/>
          <w:color w:val="333333"/>
          <w:sz w:val="22"/>
          <w:szCs w:val="22"/>
        </w:rPr>
        <w:t xml:space="preserve">Massive (200,000+ schools, 200M+ K-12 students) but requires institutional/government sales channels, Chinese-language product, and deep localisation.</w:t>
      </w:r>
    </w:p>
    <w:p>
      <w:pPr>
        <w:spacing w:after="160"/>
      </w:pPr>
      <w:r>
        <w:rPr>
          <w:rFonts w:ascii="Arial" w:cs="Arial" w:eastAsia="Arial" w:hAnsi="Arial"/>
          <w:b/>
          <w:bCs/>
          <w:color w:val="333333"/>
          <w:sz w:val="22"/>
          <w:szCs w:val="22"/>
        </w:rPr>
        <w:t xml:space="preserve">Go-to-market: </w:t>
      </w:r>
      <w:r>
        <w:rPr>
          <w:rFonts w:ascii="Arial" w:cs="Arial" w:eastAsia="Arial" w:hAnsi="Arial"/>
          <w:color w:val="333333"/>
          <w:sz w:val="22"/>
          <w:szCs w:val="22"/>
        </w:rPr>
        <w:t xml:space="preserve">Would need a Chinese business entity, local team, government relationships, and likely a hardware partner. Minimum 12-18 months setup.</w:t>
      </w:r>
    </w:p>
    <w:p>
      <w:r>
        <w:br w:type="page"/>
      </w:r>
    </w:p>
    <w:p>
      <w:pPr>
        <w:pStyle w:val="Heading2"/>
        <w:spacing w:after="160" w:before="280"/>
      </w:pPr>
      <w:r>
        <w:rPr>
          <w:rFonts w:ascii="Arial" w:cs="Arial" w:eastAsia="Arial" w:hAnsi="Arial"/>
          <w:b/>
          <w:bCs/>
          <w:color w:val="2E5090"/>
          <w:sz w:val="26"/>
          <w:szCs w:val="26"/>
        </w:rPr>
        <w:t xml:space="preserve">3.4 JY/T 0643 Compliance Gap Analysis</w:t>
      </w:r>
    </w:p>
    <w:p>
      <w:pPr>
        <w:spacing w:after="160"/>
      </w:pPr>
      <w:r>
        <w:rPr>
          <w:rFonts w:ascii="Arial" w:cs="Arial" w:eastAsia="Arial" w:hAnsi="Arial"/>
          <w:color w:val="333333"/>
          <w:sz w:val="22"/>
          <w:szCs w:val="22"/>
        </w:rPr>
        <w:t xml:space="preserve">Based on the JY/T 0643 requirements you provided, here is StudioLoom’s current compliance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026"/>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JY/T 0643 Requirement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Status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30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Remediation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Guardian consent TOS before data collection</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color w:val="721C24"/>
                <w:sz w:val="18"/>
                <w:szCs w:val="18"/>
              </w:rPr>
              <w:t xml:space="preserve">NOT MET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guardian consent mechanism exists. Student onboarding bypasses parents entirely.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Build guardian consent flow: class code entry requires parent/guardian email + TOS acceptance before student account activates. Digital signature or checkbox with timestamped consent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Legitimate purpose stated in TOS</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color w:val="721C24"/>
                <w:sz w:val="18"/>
                <w:szCs w:val="18"/>
              </w:rPr>
              <w:t xml:space="preserve">NOT MET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Terms of Service document exists for student data collection.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Draft bilingual (EN/CN) TOS specifying: data collected (responses, AI conversations, behavioural signals, learning profile), purpose (personalised education, teacher assessment support), and legal basis.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Guardian can revoke consent and request deletion</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color w:val="721C24"/>
                <w:sz w:val="18"/>
                <w:szCs w:val="18"/>
              </w:rPr>
              <w:t xml:space="preserve">NOT MET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data deletion mechanism. No guardian-facing interface.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Build data export + deletion workflow. Guardian portal or teacher-mediated request flow. Must cascade delete across: student_progress, discovery_sessions, gallery submissions, tool sessions, AI usage logs.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Data minimisation (no excessive collection)</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color w:val="856404"/>
                <w:sz w:val="18"/>
                <w:szCs w:val="18"/>
              </w:rPr>
              <w:t xml:space="preserve">PARTIAL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MonitoredTextarea captures extensive behavioural data (keystrokes, paste events, focus time, 30-second snapshots). Learning profile collects sensitive data (learning differences, mental health indicators).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Audit all data collection points. MonitoredTextarea keystroke/snapshot data may be considered excessive for minors. Consider: collect aggregated metrics only (not raw snapshots) unless teacher explicitly enables detailed monitoring.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Security measures documented in TOS</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Arial" w:cs="Arial" w:eastAsia="Arial" w:hAnsi="Arial"/>
                <w:color w:val="856404"/>
                <w:sz w:val="18"/>
                <w:szCs w:val="18"/>
              </w:rPr>
              <w:t xml:space="preserve">PARTIAL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AES-256-GCM for BYOK keys, RLS policies, HttpOnly cookies exist but are not documented in any user-facing policy.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Create a Security Policy document covering: encryption at rest and in transit, access controls, RLS, cookie security, incident response plan. Reference in 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Stated data retention period</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color w:val="721C24"/>
                <w:sz w:val="18"/>
                <w:szCs w:val="18"/>
              </w:rPr>
              <w:t xml:space="preserve">NOT MET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retention policy. Student data persists indefinitely.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Define retention periods: active student data (duration of enrolment + 1 year), AI conversation logs (6 months), behavioural analytics (end of academic year), archived class data (3 years). Implement automated deletion or anonymisation at expiry.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No advertising (unless public interest + consent)</w:t>
            </w:r>
          </w:p>
        </w:tc>
        <w:tc>
          <w:tcPr>
            <w:tcW w:type="dxa" w:w="16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Arial" w:cs="Arial" w:eastAsia="Arial" w:hAnsi="Arial"/>
                <w:color w:val="155724"/>
                <w:sz w:val="18"/>
                <w:szCs w:val="18"/>
              </w:rPr>
              <w:t xml:space="preserve">MET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StudioLoom has no advertising.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Maintain. Document in TOS that no student data is used for advertising purposes.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Third-party data transfer due diligence</w:t>
            </w:r>
          </w:p>
        </w:tc>
        <w:tc>
          <w:tcPr>
            <w:tcW w:type="dxa" w:w="16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Arial" w:cs="Arial" w:eastAsia="Arial" w:hAnsi="Arial"/>
                <w:color w:val="721C24"/>
                <w:sz w:val="18"/>
                <w:szCs w:val="18"/>
              </w:rPr>
              <w:t xml:space="preserve">NOT MET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Student data is sent to Anthropic (Claude API), Voyage AI (embeddings), Sentry (error tracking), and Plausible (analytics). No due diligence documentation.</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Document all third-party data processors. Conduct and record due diligence assessments for each. Sign Data Processing Agreements (DPAs) with Anthropic, Voyage AI, Sentry. Ensure Plausible collects no PII.</w:t>
            </w:r>
          </w:p>
        </w:tc>
      </w:tr>
    </w:tbl>
    <w:p>
      <w:pPr>
        <w:spacing w:after="200"/>
      </w:pPr>
    </w:p>
    <w:p>
      <w:pPr>
        <w:pStyle w:val="Heading2"/>
        <w:spacing w:after="160" w:before="280"/>
      </w:pPr>
      <w:r>
        <w:rPr>
          <w:rFonts w:ascii="Arial" w:cs="Arial" w:eastAsia="Arial" w:hAnsi="Arial"/>
          <w:b/>
          <w:bCs/>
          <w:color w:val="2E5090"/>
          <w:sz w:val="26"/>
          <w:szCs w:val="26"/>
        </w:rPr>
        <w:t xml:space="preserve">3.5 PIPL Cross-Border Transfer Requirements</w:t>
      </w:r>
    </w:p>
    <w:p>
      <w:pPr>
        <w:spacing w:after="160"/>
      </w:pPr>
      <w:r>
        <w:rPr>
          <w:rFonts w:ascii="Arial" w:cs="Arial" w:eastAsia="Arial" w:hAnsi="Arial"/>
          <w:color w:val="333333"/>
          <w:sz w:val="22"/>
          <w:szCs w:val="22"/>
        </w:rPr>
        <w:t xml:space="preserve">Since StudioLoom currently transfers all student data to US servers, PIPL Article 38 requires compliance via one of three pathways: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326"/>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Pathway</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Feasibility for StudioLoom</w:t>
            </w:r>
          </w:p>
        </w:tc>
        <w:tc>
          <w:tcPr>
            <w:tcW w:type="dxa" w:w="23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1. CAC Security Assessment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Required if: &gt;1M individuals’ data OR cumulative &gt;100K individuals’ PI transferred since Jan 1 of current 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Unlikely to hit thresholds in early stages. Only required at scale.</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Not needed initially. Monitor thresholds as user base grows.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2. Standard Contract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Sign CAC-prescribed standard contract with each overseas data recipient (Anthropic, Voyage AI, etc.). Conduct PIPIA before signing.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Most practical for early stage. Requires cooperation from Anthropic/Voyage to sign.</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RECOMMENDED for Path A (international schools). Start with Anthropic DPA.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18"/>
                <w:szCs w:val="18"/>
              </w:rPr>
              <w:t xml:space="preserve">3. PI Protection Certification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Certification by licensed professional body. Valid 3 years. New measures effective Jan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Designed for foreign SaaS companies without China entity. More expensive but comprehensive.</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Consider for Path B or if Standard Contract proves difficult.</w:t>
            </w:r>
          </w:p>
        </w:tc>
      </w:tr>
    </w:tbl>
    <w:p>
      <w:pPr>
        <w:spacing w:after="200"/>
      </w:pPr>
    </w:p>
    <w:p>
      <w:pPr>
        <w:spacing w:after="160"/>
      </w:pPr>
      <w:r>
        <w:rPr>
          <w:rFonts w:ascii="Arial" w:cs="Arial" w:eastAsia="Arial" w:hAnsi="Arial"/>
          <w:i/>
          <w:iCs/>
          <w:color w:val="333333"/>
          <w:sz w:val="22"/>
          <w:szCs w:val="22"/>
        </w:rPr>
        <w:t xml:space="preserve">Exemption: If StudioLoom processes data for fewer than 100,000 individuals (non-sensitive) since January 1 of the current year, all three pathways are waived. Standard PIPL duties (consent, PIAs, notification) still apply. This exemption likely covers StudioLoom’s first 1-2 years of operation.</w:t>
      </w:r>
    </w:p>
    <w:p>
      <w:r>
        <w:br w:type="page"/>
      </w:r>
    </w:p>
    <w:p>
      <w:pPr>
        <w:pStyle w:val="Heading2"/>
        <w:spacing w:after="160" w:before="280"/>
      </w:pPr>
      <w:r>
        <w:rPr>
          <w:rFonts w:ascii="Arial" w:cs="Arial" w:eastAsia="Arial" w:hAnsi="Arial"/>
          <w:b/>
          <w:bCs/>
          <w:color w:val="2E5090"/>
          <w:sz w:val="26"/>
          <w:szCs w:val="26"/>
        </w:rPr>
        <w:t xml:space="preserve">3.6 2025 Generative AI Guidelines Impact</w:t>
      </w:r>
    </w:p>
    <w:p>
      <w:pPr>
        <w:spacing w:after="160"/>
      </w:pPr>
      <w:r>
        <w:rPr>
          <w:rFonts w:ascii="Arial" w:cs="Arial" w:eastAsia="Arial" w:hAnsi="Arial"/>
          <w:color w:val="333333"/>
          <w:sz w:val="22"/>
          <w:szCs w:val="22"/>
        </w:rPr>
        <w:t xml:space="preserve">The Ministry of Education’s 2025 Guidelines for Use of Generative AI in Primary and Secondary Schools create specific requirements for StudioLoom’s AI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Guideline Requirement</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StudioLoom Feature Affected</w:t>
            </w:r>
          </w:p>
        </w:tc>
        <w:tc>
          <w:tcPr>
            <w:tcW w:type="dxa" w:w="352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Change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independent student use of open-ended AI generation in primary school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Design Assistant (Socratic mentor), toolkit AI nudges, Discovery Engine AI reflect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For students under 12 (MYP Years 1-2): must add teacher-approval gate before AI interactions, or restrict AI to pre-authored responses only. StudioLoom’s 300-token cap + Socratic framing may qualify as “guided” not “open-ended” — needs legal review.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Teachers cannot substitute AI for core teaching responsibilities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Unit generation pipeline (currently quarantined), AI lesson suggestions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Position AI as “assistant” not “generator.” The quarantined pipeline being rebuilt as block-assembly (Dimensions3) aligns well — teacher curates, AI assembles.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sensitive data input to AI tools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Design Assistant, Open Studio check-ins (which receive learning profile data including learning differences)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Audit all data sent to Claude API. Remove learning difference details (ADHD, anxiety, dyslexia) from AI prompts. Send only behavioural hints (“prefers shorter check-ins”) not clinical labels.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No AI-generated content submitted as homework/exam answers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Design Assistant responses, toolkit AI nudges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18"/>
                <w:szCs w:val="18"/>
              </w:rPr>
              <w:t xml:space="preserve">StudioLoom already enforces this: prompts are read-only (students must type own ideas), effort-gating prevents copy-paste. Document this compliance.</w:t>
            </w:r>
          </w:p>
        </w:tc>
      </w:tr>
    </w:tbl>
    <w:p>
      <w:pPr>
        <w:spacing w:after="200"/>
      </w:pPr>
    </w:p>
    <w:p>
      <w:r>
        <w:br w:type="page"/>
      </w:r>
    </w:p>
    <w:p>
      <w:pPr>
        <w:pStyle w:val="Heading1"/>
        <w:spacing w:after="200" w:before="360"/>
      </w:pPr>
      <w:r>
        <w:rPr>
          <w:rFonts w:ascii="Arial" w:cs="Arial" w:eastAsia="Arial" w:hAnsi="Arial"/>
          <w:b/>
          <w:bCs/>
          <w:color w:val="1B2A4A"/>
          <w:sz w:val="32"/>
          <w:szCs w:val="32"/>
        </w:rPr>
        <w:t xml:space="preserve">4. Architecture Recommendations</w:t>
      </w:r>
    </w:p>
    <w:p>
      <w:pPr>
        <w:pStyle w:val="Heading2"/>
        <w:spacing w:after="160" w:before="280"/>
      </w:pPr>
      <w:r>
        <w:rPr>
          <w:rFonts w:ascii="Arial" w:cs="Arial" w:eastAsia="Arial" w:hAnsi="Arial"/>
          <w:b/>
          <w:bCs/>
          <w:color w:val="2E5090"/>
          <w:sz w:val="26"/>
          <w:szCs w:val="26"/>
        </w:rPr>
        <w:t xml:space="preserve">4.1 Path A: International Schools (Recommended First Step)</w:t>
      </w:r>
    </w:p>
    <w:p>
      <w:pPr>
        <w:spacing w:after="160"/>
      </w:pPr>
      <w:r>
        <w:rPr>
          <w:rFonts w:ascii="Arial" w:cs="Arial" w:eastAsia="Arial" w:hAnsi="Arial"/>
          <w:color w:val="333333"/>
          <w:sz w:val="22"/>
          <w:szCs w:val="22"/>
        </w:rPr>
        <w:t xml:space="preserve">This path gets StudioLoom into the China market with minimal infrastructure changes. Target: IB MYP and IGCSE Design Technology classes at international schools.</w:t>
      </w:r>
    </w:p>
    <w:p>
      <w:pPr>
        <w:pStyle w:val="Heading3"/>
        <w:spacing w:after="120" w:before="200"/>
      </w:pPr>
      <w:r>
        <w:rPr>
          <w:rFonts w:ascii="Arial" w:cs="Arial" w:eastAsia="Arial" w:hAnsi="Arial"/>
          <w:b/>
          <w:bCs/>
          <w:color w:val="444444"/>
          <w:sz w:val="22"/>
          <w:szCs w:val="22"/>
        </w:rPr>
        <w:t xml:space="preserve">Phase 1: Documentation (1-2 weeks, no code changes)</w:t>
      </w:r>
    </w:p>
    <w:p>
      <w:pPr>
        <w:pStyle w:val="ListParagraph"/>
        <w:numPr>
          <w:ilvl w:val="0"/>
          <w:numId w:val="6"/>
        </w:numPr>
        <w:spacing w:after="80"/>
      </w:pPr>
      <w:r>
        <w:rPr>
          <w:rFonts w:ascii="Arial" w:cs="Arial" w:eastAsia="Arial" w:hAnsi="Arial"/>
          <w:color w:val="333333"/>
          <w:sz w:val="22"/>
          <w:szCs w:val="22"/>
        </w:rPr>
        <w:t xml:space="preserve">Draft bilingual Terms of Service covering data collection, purpose, retention, and security measures</w:t>
      </w:r>
    </w:p>
    <w:p>
      <w:pPr>
        <w:pStyle w:val="ListParagraph"/>
        <w:numPr>
          <w:ilvl w:val="0"/>
          <w:numId w:val="6"/>
        </w:numPr>
        <w:spacing w:after="80"/>
      </w:pPr>
      <w:r>
        <w:rPr>
          <w:rFonts w:ascii="Arial" w:cs="Arial" w:eastAsia="Arial" w:hAnsi="Arial"/>
          <w:color w:val="333333"/>
          <w:sz w:val="22"/>
          <w:szCs w:val="22"/>
        </w:rPr>
        <w:t xml:space="preserve">Create Privacy Policy compliant with PIPL requirements</w:t>
      </w:r>
    </w:p>
    <w:p>
      <w:pPr>
        <w:pStyle w:val="ListParagraph"/>
        <w:numPr>
          <w:ilvl w:val="0"/>
          <w:numId w:val="6"/>
        </w:numPr>
        <w:spacing w:after="80"/>
      </w:pPr>
      <w:r>
        <w:rPr>
          <w:rFonts w:ascii="Arial" w:cs="Arial" w:eastAsia="Arial" w:hAnsi="Arial"/>
          <w:color w:val="333333"/>
          <w:sz w:val="22"/>
          <w:szCs w:val="22"/>
        </w:rPr>
        <w:t xml:space="preserve">Build guardian consent record system (can be simple: teacher collects signed forms, uploads to StudioLoom)</w:t>
      </w:r>
    </w:p>
    <w:p>
      <w:pPr>
        <w:pStyle w:val="ListParagraph"/>
        <w:numPr>
          <w:ilvl w:val="0"/>
          <w:numId w:val="6"/>
        </w:numPr>
        <w:spacing w:after="80"/>
      </w:pPr>
      <w:r>
        <w:rPr>
          <w:rFonts w:ascii="Arial" w:cs="Arial" w:eastAsia="Arial" w:hAnsi="Arial"/>
          <w:color w:val="333333"/>
          <w:sz w:val="22"/>
          <w:szCs w:val="22"/>
        </w:rPr>
        <w:t xml:space="preserve">Document all third-party data processors and conduct due diligence assessments</w:t>
      </w:r>
    </w:p>
    <w:p>
      <w:pPr>
        <w:pStyle w:val="ListParagraph"/>
        <w:numPr>
          <w:ilvl w:val="0"/>
          <w:numId w:val="6"/>
        </w:numPr>
        <w:spacing w:after="80"/>
      </w:pPr>
      <w:r>
        <w:rPr>
          <w:rFonts w:ascii="Arial" w:cs="Arial" w:eastAsia="Arial" w:hAnsi="Arial"/>
          <w:color w:val="333333"/>
          <w:sz w:val="22"/>
          <w:szCs w:val="22"/>
        </w:rPr>
        <w:t xml:space="preserve">Create Data Retention Policy with specific timeframes per data category</w:t>
      </w:r>
    </w:p>
    <w:p>
      <w:pPr>
        <w:pStyle w:val="Heading3"/>
        <w:spacing w:after="120" w:before="200"/>
      </w:pPr>
      <w:r>
        <w:rPr>
          <w:rFonts w:ascii="Arial" w:cs="Arial" w:eastAsia="Arial" w:hAnsi="Arial"/>
          <w:b/>
          <w:bCs/>
          <w:color w:val="444444"/>
          <w:sz w:val="22"/>
          <w:szCs w:val="22"/>
        </w:rPr>
        <w:t xml:space="preserve">Phase 2: Sensitive Data Audit (1 week)</w:t>
      </w:r>
    </w:p>
    <w:p>
      <w:pPr>
        <w:pStyle w:val="ListParagraph"/>
        <w:numPr>
          <w:ilvl w:val="0"/>
          <w:numId w:val="6"/>
        </w:numPr>
        <w:spacing w:after="80"/>
      </w:pPr>
      <w:r>
        <w:rPr>
          <w:rFonts w:ascii="Arial" w:cs="Arial" w:eastAsia="Arial" w:hAnsi="Arial"/>
          <w:color w:val="333333"/>
          <w:sz w:val="22"/>
          <w:szCs w:val="22"/>
        </w:rPr>
        <w:t xml:space="preserve">Audit all data sent to Anthropic Claude API — remove clinical/diagnostic labels from prompts</w:t>
      </w:r>
    </w:p>
    <w:p>
      <w:pPr>
        <w:pStyle w:val="ListParagraph"/>
        <w:numPr>
          <w:ilvl w:val="0"/>
          <w:numId w:val="6"/>
        </w:numPr>
        <w:spacing w:after="80"/>
      </w:pPr>
      <w:r>
        <w:rPr>
          <w:rFonts w:ascii="Arial" w:cs="Arial" w:eastAsia="Arial" w:hAnsi="Arial"/>
          <w:color w:val="333333"/>
          <w:sz w:val="22"/>
          <w:szCs w:val="22"/>
        </w:rPr>
        <w:t xml:space="preserve">Review MonitoredTextarea data collection — consider aggregate-only mode for China deployments</w:t>
      </w:r>
    </w:p>
    <w:p>
      <w:pPr>
        <w:pStyle w:val="ListParagraph"/>
        <w:numPr>
          <w:ilvl w:val="0"/>
          <w:numId w:val="6"/>
        </w:numPr>
        <w:spacing w:after="80"/>
      </w:pPr>
      <w:r>
        <w:rPr>
          <w:rFonts w:ascii="Arial" w:cs="Arial" w:eastAsia="Arial" w:hAnsi="Arial"/>
          <w:color w:val="333333"/>
          <w:sz w:val="22"/>
          <w:szCs w:val="22"/>
        </w:rPr>
        <w:t xml:space="preserve">Ensure Sentry does not capture student PII in error reports</w:t>
      </w:r>
    </w:p>
    <w:p>
      <w:pPr>
        <w:pStyle w:val="ListParagraph"/>
        <w:numPr>
          <w:ilvl w:val="0"/>
          <w:numId w:val="6"/>
        </w:numPr>
        <w:spacing w:after="80"/>
      </w:pPr>
      <w:r>
        <w:rPr>
          <w:rFonts w:ascii="Arial" w:cs="Arial" w:eastAsia="Arial" w:hAnsi="Arial"/>
          <w:color w:val="333333"/>
          <w:sz w:val="22"/>
          <w:szCs w:val="22"/>
        </w:rPr>
        <w:t xml:space="preserve">Verify Plausible analytics configuration collects no personal information</w:t>
      </w:r>
    </w:p>
    <w:p>
      <w:pPr>
        <w:pStyle w:val="Heading3"/>
        <w:spacing w:after="120" w:before="200"/>
      </w:pPr>
      <w:r>
        <w:rPr>
          <w:rFonts w:ascii="Arial" w:cs="Arial" w:eastAsia="Arial" w:hAnsi="Arial"/>
          <w:b/>
          <w:bCs/>
          <w:color w:val="444444"/>
          <w:sz w:val="22"/>
          <w:szCs w:val="22"/>
        </w:rPr>
        <w:t xml:space="preserve">Phase 3: Age-Gating for AI Features (2-3 days)</w:t>
      </w:r>
    </w:p>
    <w:p>
      <w:pPr>
        <w:pStyle w:val="ListParagraph"/>
        <w:numPr>
          <w:ilvl w:val="0"/>
          <w:numId w:val="6"/>
        </w:numPr>
        <w:spacing w:after="80"/>
      </w:pPr>
      <w:r>
        <w:rPr>
          <w:rFonts w:ascii="Arial" w:cs="Arial" w:eastAsia="Arial" w:hAnsi="Arial"/>
          <w:color w:val="333333"/>
          <w:sz w:val="22"/>
          <w:szCs w:val="22"/>
        </w:rPr>
        <w:t xml:space="preserve">Add age/year-level check to Design Assistant and toolkit AI endpoints</w:t>
      </w:r>
    </w:p>
    <w:p>
      <w:pPr>
        <w:pStyle w:val="ListParagraph"/>
        <w:numPr>
          <w:ilvl w:val="0"/>
          <w:numId w:val="6"/>
        </w:numPr>
        <w:spacing w:after="80"/>
      </w:pPr>
      <w:r>
        <w:rPr>
          <w:rFonts w:ascii="Arial" w:cs="Arial" w:eastAsia="Arial" w:hAnsi="Arial"/>
          <w:color w:val="333333"/>
          <w:sz w:val="22"/>
          <w:szCs w:val="22"/>
        </w:rPr>
        <w:t xml:space="preserve">For students under 12: restrict to pre-authored AI responses or require teacher approval before each AI interaction</w:t>
      </w:r>
    </w:p>
    <w:p>
      <w:pPr>
        <w:pStyle w:val="ListParagraph"/>
        <w:numPr>
          <w:ilvl w:val="0"/>
          <w:numId w:val="6"/>
        </w:numPr>
        <w:spacing w:after="80"/>
      </w:pPr>
      <w:r>
        <w:rPr>
          <w:rFonts w:ascii="Arial" w:cs="Arial" w:eastAsia="Arial" w:hAnsi="Arial"/>
          <w:color w:val="333333"/>
          <w:sz w:val="22"/>
          <w:szCs w:val="22"/>
        </w:rPr>
        <w:t xml:space="preserve">Document StudioLoom’s existing compliance features (effort-gating, read-only prompts, 300-token cap) for regulatory review</w:t>
      </w:r>
    </w:p>
    <w:p>
      <w:pPr>
        <w:pStyle w:val="Heading3"/>
        <w:spacing w:after="120" w:before="200"/>
      </w:pPr>
      <w:r>
        <w:rPr>
          <w:rFonts w:ascii="Arial" w:cs="Arial" w:eastAsia="Arial" w:hAnsi="Arial"/>
          <w:b/>
          <w:bCs/>
          <w:color w:val="444444"/>
          <w:sz w:val="22"/>
          <w:szCs w:val="22"/>
        </w:rPr>
        <w:t xml:space="preserve">Phase 4: Standard Contract with Anthropic (ongoing)</w:t>
      </w:r>
    </w:p>
    <w:p>
      <w:pPr>
        <w:pStyle w:val="ListParagraph"/>
        <w:numPr>
          <w:ilvl w:val="0"/>
          <w:numId w:val="6"/>
        </w:numPr>
        <w:spacing w:after="80"/>
      </w:pPr>
      <w:r>
        <w:rPr>
          <w:rFonts w:ascii="Arial" w:cs="Arial" w:eastAsia="Arial" w:hAnsi="Arial"/>
          <w:color w:val="333333"/>
          <w:sz w:val="22"/>
          <w:szCs w:val="22"/>
        </w:rPr>
        <w:t xml:space="preserve">Contact Anthropic about signing a PIPL Standard Contract for cross-border data processing</w:t>
      </w:r>
    </w:p>
    <w:p>
      <w:pPr>
        <w:pStyle w:val="ListParagraph"/>
        <w:numPr>
          <w:ilvl w:val="0"/>
          <w:numId w:val="6"/>
        </w:numPr>
        <w:spacing w:after="80"/>
      </w:pPr>
      <w:r>
        <w:rPr>
          <w:rFonts w:ascii="Arial" w:cs="Arial" w:eastAsia="Arial" w:hAnsi="Arial"/>
          <w:color w:val="333333"/>
          <w:sz w:val="22"/>
          <w:szCs w:val="22"/>
        </w:rPr>
        <w:t xml:space="preserve">Conduct Personal Information Protection Impact Assessment (PIPIA)</w:t>
      </w:r>
    </w:p>
    <w:p>
      <w:pPr>
        <w:pStyle w:val="ListParagraph"/>
        <w:numPr>
          <w:ilvl w:val="0"/>
          <w:numId w:val="6"/>
        </w:numPr>
        <w:spacing w:after="80"/>
      </w:pPr>
      <w:r>
        <w:rPr>
          <w:rFonts w:ascii="Arial" w:cs="Arial" w:eastAsia="Arial" w:hAnsi="Arial"/>
          <w:color w:val="333333"/>
          <w:sz w:val="22"/>
          <w:szCs w:val="22"/>
        </w:rPr>
        <w:t xml:space="preserve">If Anthropic cannot sign: evaluate routing China traffic through a China-based LLM provider (DeepSeek, Qwen) as a fallback</w:t>
      </w:r>
    </w:p>
    <w:p>
      <w:pPr>
        <w:pStyle w:val="Heading2"/>
        <w:spacing w:after="160" w:before="280"/>
      </w:pPr>
      <w:r>
        <w:rPr>
          <w:rFonts w:ascii="Arial" w:cs="Arial" w:eastAsia="Arial" w:hAnsi="Arial"/>
          <w:b/>
          <w:bCs/>
          <w:color w:val="2E5090"/>
          <w:sz w:val="26"/>
          <w:szCs w:val="26"/>
        </w:rPr>
        <w:t xml:space="preserve">4.2 Path B: Adding Local Schools (Future Phase)</w:t>
      </w:r>
    </w:p>
    <w:p>
      <w:pPr>
        <w:spacing w:after="160"/>
      </w:pPr>
      <w:r>
        <w:rPr>
          <w:rFonts w:ascii="Arial" w:cs="Arial" w:eastAsia="Arial" w:hAnsi="Arial"/>
          <w:color w:val="333333"/>
          <w:sz w:val="22"/>
          <w:szCs w:val="22"/>
        </w:rPr>
        <w:t xml:space="preserve">Only pursue this path once StudioLoom has revenue and validated product-market fit with international schools. The investment is substantial:</w:t>
      </w:r>
    </w:p>
    <w:p>
      <w:pPr>
        <w:pStyle w:val="Heading3"/>
        <w:spacing w:after="120" w:before="200"/>
      </w:pPr>
      <w:r>
        <w:rPr>
          <w:rFonts w:ascii="Arial" w:cs="Arial" w:eastAsia="Arial" w:hAnsi="Arial"/>
          <w:b/>
          <w:bCs/>
          <w:color w:val="444444"/>
          <w:sz w:val="22"/>
          <w:szCs w:val="22"/>
        </w:rPr>
        <w:t xml:space="preserve">Infrastructure Changes Required</w:t>
      </w:r>
    </w:p>
    <w:p>
      <w:pPr>
        <w:pStyle w:val="ListParagraph"/>
        <w:numPr>
          <w:ilvl w:val="0"/>
          <w:numId w:val="7"/>
        </w:numPr>
        <w:spacing w:after="80"/>
      </w:pPr>
      <w:r>
        <w:rPr>
          <w:rFonts w:ascii="Arial" w:cs="Arial" w:eastAsia="Arial" w:hAnsi="Arial"/>
          <w:color w:val="333333"/>
          <w:sz w:val="22"/>
          <w:szCs w:val="22"/>
        </w:rPr>
        <w:t xml:space="preserve">Register a Chinese business entity (WFOE or JV with local partner)</w:t>
      </w:r>
    </w:p>
    <w:p>
      <w:pPr>
        <w:pStyle w:val="ListParagraph"/>
        <w:numPr>
          <w:ilvl w:val="0"/>
          <w:numId w:val="7"/>
        </w:numPr>
        <w:spacing w:after="80"/>
      </w:pPr>
      <w:r>
        <w:rPr>
          <w:rFonts w:ascii="Arial" w:cs="Arial" w:eastAsia="Arial" w:hAnsi="Arial"/>
          <w:color w:val="333333"/>
          <w:sz w:val="22"/>
          <w:szCs w:val="22"/>
        </w:rPr>
        <w:t xml:space="preserve">Migrate database to China-hosted infrastructure (Alibaba Cloud RDS for PostgreSQL, or Tencent Cloud equivalent)</w:t>
      </w:r>
    </w:p>
    <w:p>
      <w:pPr>
        <w:pStyle w:val="ListParagraph"/>
        <w:numPr>
          <w:ilvl w:val="0"/>
          <w:numId w:val="7"/>
        </w:numPr>
        <w:spacing w:after="80"/>
      </w:pPr>
      <w:r>
        <w:rPr>
          <w:rFonts w:ascii="Arial" w:cs="Arial" w:eastAsia="Arial" w:hAnsi="Arial"/>
          <w:color w:val="333333"/>
          <w:sz w:val="22"/>
          <w:szCs w:val="22"/>
        </w:rPr>
        <w:t xml:space="preserve">Move API hosting to China cloud provider (no Vercel in China)</w:t>
      </w:r>
    </w:p>
    <w:p>
      <w:pPr>
        <w:pStyle w:val="ListParagraph"/>
        <w:numPr>
          <w:ilvl w:val="0"/>
          <w:numId w:val="7"/>
        </w:numPr>
        <w:spacing w:after="80"/>
      </w:pPr>
      <w:r>
        <w:rPr>
          <w:rFonts w:ascii="Arial" w:cs="Arial" w:eastAsia="Arial" w:hAnsi="Arial"/>
          <w:color w:val="333333"/>
          <w:sz w:val="22"/>
          <w:szCs w:val="22"/>
        </w:rPr>
        <w:t xml:space="preserve">Replace Anthropic Claude with China-approved LLM (DeepSeek V3, Qwen 2.5, or Moonshot — StudioLoom’s AI provider abstraction already supports this)</w:t>
      </w:r>
    </w:p>
    <w:p>
      <w:pPr>
        <w:pStyle w:val="ListParagraph"/>
        <w:numPr>
          <w:ilvl w:val="0"/>
          <w:numId w:val="7"/>
        </w:numPr>
        <w:spacing w:after="80"/>
      </w:pPr>
      <w:r>
        <w:rPr>
          <w:rFonts w:ascii="Arial" w:cs="Arial" w:eastAsia="Arial" w:hAnsi="Arial"/>
          <w:color w:val="333333"/>
          <w:sz w:val="22"/>
          <w:szCs w:val="22"/>
        </w:rPr>
        <w:t xml:space="preserve">Replace Voyage AI embeddings with local alternative</w:t>
      </w:r>
    </w:p>
    <w:p>
      <w:pPr>
        <w:pStyle w:val="ListParagraph"/>
        <w:numPr>
          <w:ilvl w:val="0"/>
          <w:numId w:val="7"/>
        </w:numPr>
        <w:spacing w:after="80"/>
      </w:pPr>
      <w:r>
        <w:rPr>
          <w:rFonts w:ascii="Arial" w:cs="Arial" w:eastAsia="Arial" w:hAnsi="Arial"/>
          <w:color w:val="333333"/>
          <w:sz w:val="22"/>
          <w:szCs w:val="22"/>
        </w:rPr>
        <w:t xml:space="preserve">Replace Sentry with local error tracking</w:t>
      </w:r>
    </w:p>
    <w:p>
      <w:pPr>
        <w:pStyle w:val="ListParagraph"/>
        <w:numPr>
          <w:ilvl w:val="0"/>
          <w:numId w:val="7"/>
        </w:numPr>
        <w:spacing w:after="80"/>
      </w:pPr>
      <w:r>
        <w:rPr>
          <w:rFonts w:ascii="Arial" w:cs="Arial" w:eastAsia="Arial" w:hAnsi="Arial"/>
          <w:color w:val="333333"/>
          <w:sz w:val="22"/>
          <w:szCs w:val="22"/>
        </w:rPr>
        <w:t xml:space="preserve">Build Chinese-language product (full localisation, not just translation)</w:t>
      </w:r>
    </w:p>
    <w:p>
      <w:pPr>
        <w:pStyle w:val="ListParagraph"/>
        <w:numPr>
          <w:ilvl w:val="0"/>
          <w:numId w:val="7"/>
        </w:numPr>
        <w:spacing w:after="80"/>
      </w:pPr>
      <w:r>
        <w:rPr>
          <w:rFonts w:ascii="Arial" w:cs="Arial" w:eastAsia="Arial" w:hAnsi="Arial"/>
          <w:color w:val="333333"/>
          <w:sz w:val="22"/>
          <w:szCs w:val="22"/>
        </w:rPr>
        <w:t xml:space="preserve">Submit product for government content review</w:t>
      </w:r>
    </w:p>
    <w:p>
      <w:pPr>
        <w:pStyle w:val="ListParagraph"/>
        <w:numPr>
          <w:ilvl w:val="0"/>
          <w:numId w:val="7"/>
        </w:numPr>
        <w:spacing w:after="80"/>
      </w:pPr>
      <w:r>
        <w:rPr>
          <w:rFonts w:ascii="Arial" w:cs="Arial" w:eastAsia="Arial" w:hAnsi="Arial"/>
          <w:color w:val="333333"/>
          <w:sz w:val="22"/>
          <w:szCs w:val="22"/>
        </w:rPr>
        <w:t xml:space="preserve">Build integration with provincial education platforms</w:t>
      </w:r>
    </w:p>
    <w:p>
      <w:pPr>
        <w:pStyle w:val="ListParagraph"/>
        <w:numPr>
          <w:ilvl w:val="0"/>
          <w:numId w:val="7"/>
        </w:numPr>
        <w:spacing w:after="80"/>
      </w:pPr>
      <w:r>
        <w:rPr>
          <w:rFonts w:ascii="Arial" w:cs="Arial" w:eastAsia="Arial" w:hAnsi="Arial"/>
          <w:color w:val="333333"/>
          <w:sz w:val="22"/>
          <w:szCs w:val="22"/>
        </w:rPr>
        <w:t xml:space="preserve">Hire local sales team with government/school relationships</w:t>
      </w:r>
    </w:p>
    <w:p>
      <w:pPr>
        <w:pStyle w:val="Heading3"/>
        <w:spacing w:after="120" w:before="200"/>
      </w:pPr>
      <w:r>
        <w:rPr>
          <w:rFonts w:ascii="Arial" w:cs="Arial" w:eastAsia="Arial" w:hAnsi="Arial"/>
          <w:b/>
          <w:bCs/>
          <w:color w:val="444444"/>
          <w:sz w:val="22"/>
          <w:szCs w:val="22"/>
        </w:rPr>
        <w:t xml:space="preserve">Cost Estimate</w:t>
      </w:r>
    </w:p>
    <w:p>
      <w:pPr>
        <w:spacing w:after="160"/>
      </w:pPr>
      <w:r>
        <w:rPr>
          <w:rFonts w:ascii="Arial" w:cs="Arial" w:eastAsia="Arial" w:hAnsi="Arial"/>
          <w:color w:val="333333"/>
          <w:sz w:val="22"/>
          <w:szCs w:val="22"/>
        </w:rPr>
        <w:t xml:space="preserve">Infrastructure migration: ¥200,000-500,000 initial + ¥50,000-100,000/year hosting. Business entity registration: ¥30,000-80,000. Legal compliance: ¥100,000-300,000. Local team: ¥500,000+/year. Total first year: ¥1-1.5M minimum.</w:t>
      </w:r>
    </w:p>
    <w:p>
      <w:r>
        <w:br w:type="page"/>
      </w:r>
    </w:p>
    <w:p>
      <w:pPr>
        <w:pStyle w:val="Heading1"/>
        <w:spacing w:after="200" w:before="360"/>
      </w:pPr>
      <w:r>
        <w:rPr>
          <w:rFonts w:ascii="Arial" w:cs="Arial" w:eastAsia="Arial" w:hAnsi="Arial"/>
          <w:b/>
          <w:bCs/>
          <w:color w:val="1B2A4A"/>
          <w:sz w:val="32"/>
          <w:szCs w:val="32"/>
        </w:rPr>
        <w:t xml:space="preserve">5. Strategic Recommendations</w:t>
      </w:r>
    </w:p>
    <w:p>
      <w:pPr>
        <w:pStyle w:val="Heading2"/>
        <w:spacing w:after="160" w:before="280"/>
      </w:pPr>
      <w:r>
        <w:rPr>
          <w:rFonts w:ascii="Arial" w:cs="Arial" w:eastAsia="Arial" w:hAnsi="Arial"/>
          <w:b/>
          <w:bCs/>
          <w:color w:val="2E5090"/>
          <w:sz w:val="26"/>
          <w:szCs w:val="26"/>
        </w:rPr>
        <w:t xml:space="preserve">5.1 Immediate Actions (Next 30 Days)</w:t>
      </w:r>
    </w:p>
    <w:p>
      <w:pPr>
        <w:pStyle w:val="ListParagraph"/>
        <w:numPr>
          <w:ilvl w:val="0"/>
          <w:numId w:val="8"/>
        </w:numPr>
        <w:spacing w:after="80"/>
      </w:pPr>
      <w:r>
        <w:rPr>
          <w:rFonts w:ascii="Arial" w:cs="Arial" w:eastAsia="Arial" w:hAnsi="Arial"/>
          <w:b/>
          <w:bCs/>
          <w:sz w:val="22"/>
          <w:szCs w:val="22"/>
        </w:rPr>
        <w:t xml:space="preserve">Draft Terms of Service and Privacy Policy</w:t>
      </w:r>
      <w:r>
        <w:rPr>
          <w:rFonts w:ascii="Arial" w:cs="Arial" w:eastAsia="Arial" w:hAnsi="Arial"/>
          <w:color w:val="333333"/>
          <w:sz w:val="22"/>
          <w:szCs w:val="22"/>
        </w:rPr>
        <w:t xml:space="preserve"> — bilingual, covering all JY/T 0643 requirements. This is the single highest-priority compliance task.</w:t>
      </w:r>
    </w:p>
    <w:p>
      <w:pPr>
        <w:pStyle w:val="ListParagraph"/>
        <w:numPr>
          <w:ilvl w:val="0"/>
          <w:numId w:val="8"/>
        </w:numPr>
        <w:spacing w:after="80"/>
      </w:pPr>
      <w:r>
        <w:rPr>
          <w:rFonts w:ascii="Arial" w:cs="Arial" w:eastAsia="Arial" w:hAnsi="Arial"/>
          <w:b/>
          <w:bCs/>
          <w:sz w:val="22"/>
          <w:szCs w:val="22"/>
        </w:rPr>
        <w:t xml:space="preserve">Audit AI data flows</w:t>
      </w:r>
      <w:r>
        <w:rPr>
          <w:rFonts w:ascii="Arial" w:cs="Arial" w:eastAsia="Arial" w:hAnsi="Arial"/>
          <w:color w:val="333333"/>
          <w:sz w:val="22"/>
          <w:szCs w:val="22"/>
        </w:rPr>
        <w:t xml:space="preserve"> — map every piece of student data that leaves China (Anthropic, Voyage, Sentry). Remove sensitive labels from AI prompts.</w:t>
      </w:r>
    </w:p>
    <w:p>
      <w:pPr>
        <w:pStyle w:val="ListParagraph"/>
        <w:numPr>
          <w:ilvl w:val="0"/>
          <w:numId w:val="8"/>
        </w:numPr>
        <w:spacing w:after="80"/>
      </w:pPr>
      <w:r>
        <w:rPr>
          <w:rFonts w:ascii="Arial" w:cs="Arial" w:eastAsia="Arial" w:hAnsi="Arial"/>
          <w:b/>
          <w:bCs/>
          <w:sz w:val="22"/>
          <w:szCs w:val="22"/>
        </w:rPr>
        <w:t xml:space="preserve">Build guardian consent mechanism</w:t>
      </w:r>
      <w:r>
        <w:rPr>
          <w:rFonts w:ascii="Arial" w:cs="Arial" w:eastAsia="Arial" w:hAnsi="Arial"/>
          <w:color w:val="333333"/>
          <w:sz w:val="22"/>
          <w:szCs w:val="22"/>
        </w:rPr>
        <w:t xml:space="preserve"> — even a simple teacher-mediated flow (teacher collects paper consent, records in system) satisfies JY/T 0643.</w:t>
      </w:r>
    </w:p>
    <w:p>
      <w:pPr>
        <w:pStyle w:val="ListParagraph"/>
        <w:numPr>
          <w:ilvl w:val="0"/>
          <w:numId w:val="8"/>
        </w:numPr>
        <w:spacing w:after="80"/>
      </w:pPr>
      <w:r>
        <w:rPr>
          <w:rFonts w:ascii="Arial" w:cs="Arial" w:eastAsia="Arial" w:hAnsi="Arial"/>
          <w:b/>
          <w:bCs/>
          <w:sz w:val="22"/>
          <w:szCs w:val="22"/>
        </w:rPr>
        <w:t xml:space="preserve">Document existing compliance features</w:t>
      </w:r>
      <w:r>
        <w:rPr>
          <w:rFonts w:ascii="Arial" w:cs="Arial" w:eastAsia="Arial" w:hAnsi="Arial"/>
          <w:color w:val="333333"/>
          <w:sz w:val="22"/>
          <w:szCs w:val="22"/>
        </w:rPr>
        <w:t xml:space="preserve"> — StudioLoom’s effort-gating, read-only prompts, Socratic approach, and 300-token cap are strengths. Write them up for regulatory review.</w:t>
      </w:r>
    </w:p>
    <w:p>
      <w:pPr>
        <w:pStyle w:val="Heading2"/>
        <w:spacing w:after="160" w:before="280"/>
      </w:pPr>
      <w:r>
        <w:rPr>
          <w:rFonts w:ascii="Arial" w:cs="Arial" w:eastAsia="Arial" w:hAnsi="Arial"/>
          <w:b/>
          <w:bCs/>
          <w:color w:val="2E5090"/>
          <w:sz w:val="26"/>
          <w:szCs w:val="26"/>
        </w:rPr>
        <w:t xml:space="preserve">5.2 Medium-Term (3-6 Months)</w:t>
      </w:r>
    </w:p>
    <w:p>
      <w:pPr>
        <w:pStyle w:val="ListParagraph"/>
        <w:numPr>
          <w:ilvl w:val="0"/>
          <w:numId w:val="5"/>
        </w:numPr>
        <w:spacing w:after="80"/>
      </w:pPr>
      <w:r>
        <w:rPr>
          <w:rFonts w:ascii="Arial" w:cs="Arial" w:eastAsia="Arial" w:hAnsi="Arial"/>
          <w:color w:val="333333"/>
          <w:sz w:val="22"/>
          <w:szCs w:val="22"/>
        </w:rPr>
        <w:t xml:space="preserve">Implement data retention and automated deletion/anonymisation policies</w:t>
      </w:r>
    </w:p>
    <w:p>
      <w:pPr>
        <w:pStyle w:val="ListParagraph"/>
        <w:numPr>
          <w:ilvl w:val="0"/>
          <w:numId w:val="5"/>
        </w:numPr>
        <w:spacing w:after="80"/>
      </w:pPr>
      <w:r>
        <w:rPr>
          <w:rFonts w:ascii="Arial" w:cs="Arial" w:eastAsia="Arial" w:hAnsi="Arial"/>
          <w:color w:val="333333"/>
          <w:sz w:val="22"/>
          <w:szCs w:val="22"/>
        </w:rPr>
        <w:t xml:space="preserve">Add age-gating for AI features (under-12 restrictions)</w:t>
      </w:r>
    </w:p>
    <w:p>
      <w:pPr>
        <w:pStyle w:val="ListParagraph"/>
        <w:numPr>
          <w:ilvl w:val="0"/>
          <w:numId w:val="5"/>
        </w:numPr>
        <w:spacing w:after="80"/>
      </w:pPr>
      <w:r>
        <w:rPr>
          <w:rFonts w:ascii="Arial" w:cs="Arial" w:eastAsia="Arial" w:hAnsi="Arial"/>
          <w:color w:val="333333"/>
          <w:sz w:val="22"/>
          <w:szCs w:val="22"/>
        </w:rPr>
        <w:t xml:space="preserve">Pursue Standard Contract pathway with Anthropic for cross-border transfers</w:t>
      </w:r>
    </w:p>
    <w:p>
      <w:pPr>
        <w:pStyle w:val="ListParagraph"/>
        <w:numPr>
          <w:ilvl w:val="0"/>
          <w:numId w:val="5"/>
        </w:numPr>
        <w:spacing w:after="80"/>
      </w:pPr>
      <w:r>
        <w:rPr>
          <w:rFonts w:ascii="Arial" w:cs="Arial" w:eastAsia="Arial" w:hAnsi="Arial"/>
          <w:color w:val="333333"/>
          <w:sz w:val="22"/>
          <w:szCs w:val="22"/>
        </w:rPr>
        <w:t xml:space="preserve">Test China-based LLM fallback (DeepSeek V3 or Qwen 2.5) for generation and student AI features. StudioLoom’s existing AI provider abstraction with fallback chain (Anthropic → Groq → Gemini) makes adding Chinese providers straightforward.</w:t>
      </w:r>
    </w:p>
    <w:p>
      <w:pPr>
        <w:pStyle w:val="ListParagraph"/>
        <w:numPr>
          <w:ilvl w:val="0"/>
          <w:numId w:val="5"/>
        </w:numPr>
        <w:spacing w:after="80"/>
      </w:pPr>
      <w:r>
        <w:rPr>
          <w:rFonts w:ascii="Arial" w:cs="Arial" w:eastAsia="Arial" w:hAnsi="Arial"/>
          <w:color w:val="333333"/>
          <w:sz w:val="22"/>
          <w:szCs w:val="22"/>
        </w:rPr>
        <w:t xml:space="preserve">Validate product-market fit with 3-5 international schools in China</w:t>
      </w:r>
    </w:p>
    <w:p>
      <w:pPr>
        <w:pStyle w:val="Heading2"/>
        <w:spacing w:after="160" w:before="280"/>
      </w:pPr>
      <w:r>
        <w:rPr>
          <w:rFonts w:ascii="Arial" w:cs="Arial" w:eastAsia="Arial" w:hAnsi="Arial"/>
          <w:b/>
          <w:bCs/>
          <w:color w:val="2E5090"/>
          <w:sz w:val="26"/>
          <w:szCs w:val="26"/>
        </w:rPr>
        <w:t xml:space="preserve">5.3 Long-Term (6-18 Months)</w:t>
      </w:r>
    </w:p>
    <w:p>
      <w:pPr>
        <w:pStyle w:val="ListParagraph"/>
        <w:numPr>
          <w:ilvl w:val="0"/>
          <w:numId w:val="5"/>
        </w:numPr>
        <w:spacing w:after="80"/>
      </w:pPr>
      <w:r>
        <w:rPr>
          <w:rFonts w:ascii="Arial" w:cs="Arial" w:eastAsia="Arial" w:hAnsi="Arial"/>
          <w:color w:val="333333"/>
          <w:sz w:val="22"/>
          <w:szCs w:val="22"/>
        </w:rPr>
        <w:t xml:space="preserve">If international school traction proves strong, begin Path B infrastructure planning</w:t>
      </w:r>
    </w:p>
    <w:p>
      <w:pPr>
        <w:pStyle w:val="ListParagraph"/>
        <w:numPr>
          <w:ilvl w:val="0"/>
          <w:numId w:val="5"/>
        </w:numPr>
        <w:spacing w:after="80"/>
      </w:pPr>
      <w:r>
        <w:rPr>
          <w:rFonts w:ascii="Arial" w:cs="Arial" w:eastAsia="Arial" w:hAnsi="Arial"/>
          <w:color w:val="333333"/>
          <w:sz w:val="22"/>
          <w:szCs w:val="22"/>
        </w:rPr>
        <w:t xml:space="preserve">Evaluate partnership with Chinese hardware distributor for institutional sales</w:t>
      </w:r>
    </w:p>
    <w:p>
      <w:pPr>
        <w:pStyle w:val="ListParagraph"/>
        <w:numPr>
          <w:ilvl w:val="0"/>
          <w:numId w:val="5"/>
        </w:numPr>
        <w:spacing w:after="80"/>
      </w:pPr>
      <w:r>
        <w:rPr>
          <w:rFonts w:ascii="Arial" w:cs="Arial" w:eastAsia="Arial" w:hAnsi="Arial"/>
          <w:color w:val="333333"/>
          <w:sz w:val="22"/>
          <w:szCs w:val="22"/>
        </w:rPr>
        <w:t xml:space="preserve">Consider Alibaba Cloud or Tencent Cloud for China-local data residency</w:t>
      </w:r>
    </w:p>
    <w:p>
      <w:pPr>
        <w:pStyle w:val="ListParagraph"/>
        <w:numPr>
          <w:ilvl w:val="0"/>
          <w:numId w:val="5"/>
        </w:numPr>
        <w:spacing w:after="80"/>
      </w:pPr>
      <w:r>
        <w:rPr>
          <w:rFonts w:ascii="Arial" w:cs="Arial" w:eastAsia="Arial" w:hAnsi="Arial"/>
          <w:color w:val="333333"/>
          <w:sz w:val="22"/>
          <w:szCs w:val="22"/>
        </w:rPr>
        <w:t xml:space="preserve">Explore “quality education” government programme alignment for local school access</w:t>
      </w:r>
    </w:p>
    <w:p>
      <w:pPr>
        <w:pStyle w:val="Heading2"/>
        <w:spacing w:after="160" w:before="280"/>
      </w:pPr>
      <w:r>
        <w:rPr>
          <w:rFonts w:ascii="Arial" w:cs="Arial" w:eastAsia="Arial" w:hAnsi="Arial"/>
          <w:b/>
          <w:bCs/>
          <w:color w:val="2E5090"/>
          <w:sz w:val="26"/>
          <w:szCs w:val="26"/>
        </w:rPr>
        <w:t xml:space="preserve">5.4 StudioLoom’s Competitive Advantages in China</w:t>
      </w:r>
    </w:p>
    <w:p>
      <w:pPr>
        <w:spacing w:after="160"/>
      </w:pPr>
      <w:r>
        <w:rPr>
          <w:rFonts w:ascii="Arial" w:cs="Arial" w:eastAsia="Arial" w:hAnsi="Arial"/>
          <w:color w:val="333333"/>
          <w:sz w:val="22"/>
          <w:szCs w:val="22"/>
        </w:rPr>
        <w:t xml:space="preserve">Despite the compliance challenges, StudioLoom has several unique advantages:</w:t>
      </w:r>
    </w:p>
    <w:p>
      <w:pPr>
        <w:pStyle w:val="ListParagraph"/>
        <w:numPr>
          <w:ilvl w:val="0"/>
          <w:numId w:val="5"/>
        </w:numPr>
        <w:spacing w:after="80"/>
      </w:pPr>
      <w:r>
        <w:rPr>
          <w:rFonts w:ascii="Arial" w:cs="Arial" w:eastAsia="Arial" w:hAnsi="Arial"/>
          <w:color w:val="333333"/>
          <w:sz w:val="22"/>
          <w:szCs w:val="22"/>
        </w:rPr>
        <w:t xml:space="preserve">No competitor in design education AI — the space is completely open</w:t>
      </w:r>
    </w:p>
    <w:p>
      <w:pPr>
        <w:pStyle w:val="ListParagraph"/>
        <w:numPr>
          <w:ilvl w:val="0"/>
          <w:numId w:val="5"/>
        </w:numPr>
        <w:spacing w:after="80"/>
      </w:pPr>
      <w:r>
        <w:rPr>
          <w:rFonts w:ascii="Arial" w:cs="Arial" w:eastAsia="Arial" w:hAnsi="Arial"/>
          <w:color w:val="333333"/>
          <w:sz w:val="22"/>
          <w:szCs w:val="22"/>
        </w:rPr>
        <w:t xml:space="preserve">Alignment with “quality education” policy direction — design thinking is government-encouraged</w:t>
      </w:r>
    </w:p>
    <w:p>
      <w:pPr>
        <w:pStyle w:val="ListParagraph"/>
        <w:numPr>
          <w:ilvl w:val="0"/>
          <w:numId w:val="5"/>
        </w:numPr>
        <w:spacing w:after="80"/>
      </w:pPr>
      <w:r>
        <w:rPr>
          <w:rFonts w:ascii="Arial" w:cs="Arial" w:eastAsia="Arial" w:hAnsi="Arial"/>
          <w:color w:val="333333"/>
          <w:sz w:val="22"/>
          <w:szCs w:val="22"/>
        </w:rPr>
        <w:t xml:space="preserve">Existing IB/IGCSE framework support — international schools already use these curricula</w:t>
      </w:r>
    </w:p>
    <w:p>
      <w:pPr>
        <w:pStyle w:val="ListParagraph"/>
        <w:numPr>
          <w:ilvl w:val="0"/>
          <w:numId w:val="5"/>
        </w:numPr>
        <w:spacing w:after="80"/>
      </w:pPr>
      <w:r>
        <w:rPr>
          <w:rFonts w:ascii="Arial" w:cs="Arial" w:eastAsia="Arial" w:hAnsi="Arial"/>
          <w:color w:val="333333"/>
          <w:sz w:val="22"/>
          <w:szCs w:val="22"/>
        </w:rPr>
        <w:t xml:space="preserve">Matt’s position in a Chinese international school provides direct access to the target market, teacher networks, and real classroom validation</w:t>
      </w:r>
    </w:p>
    <w:p>
      <w:pPr>
        <w:pStyle w:val="ListParagraph"/>
        <w:numPr>
          <w:ilvl w:val="0"/>
          <w:numId w:val="5"/>
        </w:numPr>
        <w:spacing w:after="80"/>
      </w:pPr>
      <w:r>
        <w:rPr>
          <w:rFonts w:ascii="Arial" w:cs="Arial" w:eastAsia="Arial" w:hAnsi="Arial"/>
          <w:color w:val="333333"/>
          <w:sz w:val="22"/>
          <w:szCs w:val="22"/>
        </w:rPr>
        <w:t xml:space="preserve">AI provider abstraction already supports model switching — adding Chinese LLMs is a configuration change, not an architecture change</w:t>
      </w:r>
    </w:p>
    <w:p>
      <w:pPr>
        <w:pStyle w:val="ListParagraph"/>
        <w:numPr>
          <w:ilvl w:val="0"/>
          <w:numId w:val="5"/>
        </w:numPr>
        <w:spacing w:after="80"/>
      </w:pPr>
      <w:r>
        <w:rPr>
          <w:rFonts w:ascii="Arial" w:cs="Arial" w:eastAsia="Arial" w:hAnsi="Arial"/>
          <w:color w:val="333333"/>
          <w:sz w:val="22"/>
          <w:szCs w:val="22"/>
        </w:rPr>
        <w:t xml:space="preserve">Anonymous student auth (class code + display name) already aligns with PIPL data minimisation principles</w:t>
      </w:r>
    </w:p>
    <w:p>
      <w:pPr>
        <w:spacing w:after="400"/>
      </w:pPr>
    </w:p>
    <w:p>
      <w:pPr>
        <w:pBdr>
          <w:top w:val="single" w:color="CCCCCC" w:sz="1" w:space="8"/>
        </w:pBdr>
        <w:spacing w:before="400"/>
      </w:pPr>
      <w:r>
        <w:rPr>
          <w:rFonts w:ascii="Arial" w:cs="Arial" w:eastAsia="Arial" w:hAnsi="Arial"/>
          <w:i/>
          <w:iCs/>
          <w:color w:val="999999"/>
          <w:sz w:val="18"/>
          <w:szCs w:val="18"/>
        </w:rPr>
        <w:t xml:space="preserve">Disclaimer: This analysis is for planning purposes and does not constitute legal advice. Consult a qualified Chinese data protection lawyer before implementing any compliance measures or entering the China market.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StudioLoom — China Market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2026-04-03T13:25:06.926Z</dcterms:created>
  <dcterms:modified xsi:type="dcterms:W3CDTF">2026-04-03T13:25:06.927Z</dcterms:modified>
</cp:coreProperties>
</file>

<file path=docProps/custom.xml><?xml version="1.0" encoding="utf-8"?>
<Properties xmlns="http://schemas.openxmlformats.org/officeDocument/2006/custom-properties" xmlns:vt="http://schemas.openxmlformats.org/officeDocument/2006/docPropsVTypes"/>
</file>