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40"/>
        <w:jc w:val="center"/>
      </w:pPr>
      <w:r>
        <w:rPr>
          <w:rFonts w:ascii="Arial" w:cs="Arial" w:eastAsia="Arial" w:hAnsi="Arial"/>
          <w:b/>
          <w:bCs/>
          <w:color w:val="C084FC"/>
          <w:spacing w:val="300"/>
          <w:sz w:val="20"/>
          <w:szCs w:val="20"/>
        </w:rPr>
        <w:t xml:space="preserve">STUDIOLOOM</w:t>
      </w:r>
    </w:p>
    <w:p>
      <w:pPr>
        <w:spacing w:after="200"/>
        <w:jc w:val="center"/>
      </w:pPr>
      <w:r>
        <w:rPr>
          <w:rFonts w:ascii="Arial" w:cs="Arial" w:eastAsia="Arial" w:hAnsi="Arial"/>
          <w:b/>
          <w:bCs/>
          <w:color w:val="111827"/>
          <w:sz w:val="56"/>
          <w:szCs w:val="56"/>
        </w:rPr>
        <w:t xml:space="preserve">Project Direction</w:t>
      </w:r>
    </w:p>
    <w:p>
      <w:pPr>
        <w:spacing w:after="120"/>
        <w:jc w:val="center"/>
      </w:pPr>
      <w:r>
        <w:rPr>
          <w:rFonts w:ascii="Arial" w:cs="Arial" w:eastAsia="Arial" w:hAnsi="Arial"/>
          <w:color w:val="6B7280"/>
          <w:sz w:val="26"/>
          <w:szCs w:val="26"/>
        </w:rPr>
        <w:t xml:space="preserve">Landing Page Positioning &amp; Messaging Strategy</w:t>
      </w:r>
    </w:p>
    <w:p>
      <w:pPr>
        <w:spacing w:after="200"/>
      </w:pPr>
    </w:p>
    <w:p>
      <w:pPr>
        <w:pBdr>
          <w:top w:val="single" w:color="6B21A8" w:sz="2" w:space="12"/>
          <w:bottom w:val="single" w:color="6B21A8" w:sz="2" w:space="12"/>
        </w:pBdr>
        <w:spacing w:after="0"/>
        <w:jc w:val="center"/>
      </w:pPr>
      <w:r>
        <w:rPr>
          <w:rFonts w:ascii="Arial" w:cs="Arial" w:eastAsia="Arial" w:hAnsi="Arial"/>
          <w:i/>
          <w:iCs/>
          <w:color w:val="6B21A8"/>
          <w:sz w:val="22"/>
          <w:szCs w:val="22"/>
        </w:rPr>
        <w:t xml:space="preserve">From “AI tools for Design teachers” to “The platform for classrooms where students make, solve, and create”</w:t>
      </w:r>
    </w:p>
    <w:p>
      <w:pPr>
        <w:spacing w:after="600"/>
      </w:pPr>
    </w:p>
    <w:p>
      <w:pPr>
        <w:spacing w:after="60"/>
        <w:jc w:val="center"/>
      </w:pPr>
      <w:r>
        <w:rPr>
          <w:rFonts w:ascii="Arial" w:cs="Arial" w:eastAsia="Arial" w:hAnsi="Arial"/>
          <w:color w:val="6B7280"/>
          <w:sz w:val="20"/>
          <w:szCs w:val="20"/>
        </w:rPr>
        <w:t xml:space="preserve">March 2026</w:t>
      </w:r>
    </w:p>
    <w:p>
      <w:pPr>
        <w:jc w:val="center"/>
      </w:pPr>
      <w:r>
        <w:rPr>
          <w:rFonts w:ascii="Arial" w:cs="Arial" w:eastAsia="Arial" w:hAnsi="Arial"/>
          <w:color w:val="6B7280"/>
          <w:sz w:val="20"/>
          <w:szCs w:val="20"/>
        </w:rPr>
        <w:t xml:space="preserve">Internal Strategy Document</w:t>
      </w:r>
    </w:p>
    <w:p>
      <w:r>
        <w:br w:type="page"/>
      </w:r>
    </w:p>
    <w:p>
      <w:pPr>
        <w:pStyle w:val="Heading1"/>
        <w:spacing w:after="160" w:before="360"/>
      </w:pPr>
      <w:r>
        <w:rPr>
          <w:rFonts w:ascii="Arial" w:cs="Arial" w:eastAsia="Arial" w:hAnsi="Arial"/>
          <w:b/>
          <w:bCs/>
          <w:color w:val="6B21A8"/>
          <w:sz w:val="36"/>
          <w:szCs w:val="36"/>
        </w:rPr>
        <w:t xml:space="preserve">1. The Positioning Problem</w:t>
      </w:r>
    </w:p>
    <w:p>
      <w:pPr>
        <w:spacing w:after="160"/>
        <w:jc w:val="left"/>
      </w:pPr>
      <w:r>
        <w:rPr>
          <w:rFonts w:ascii="Arial" w:cs="Arial" w:eastAsia="Arial" w:hAnsi="Arial"/>
          <w:b w:val="false"/>
          <w:bCs w:val="false"/>
          <w:i w:val="false"/>
          <w:iCs w:val="false"/>
          <w:color w:val="374151"/>
          <w:sz w:val="22"/>
          <w:szCs w:val="22"/>
        </w:rPr>
        <w:t xml:space="preserve">The current StudioLoom landing page has three compounding issues that limit its appeal and clarity.</w:t>
      </w:r>
    </w:p>
    <w:p>
      <w:pPr>
        <w:spacing w:after="60"/>
      </w:pPr>
    </w:p>
    <w:p>
      <w:pPr>
        <w:pStyle w:val="Heading2"/>
        <w:spacing w:after="160" w:before="240"/>
      </w:pPr>
      <w:r>
        <w:rPr>
          <w:rFonts w:ascii="Arial" w:cs="Arial" w:eastAsia="Arial" w:hAnsi="Arial"/>
          <w:b/>
          <w:bCs/>
          <w:color w:val="111827"/>
          <w:sz w:val="28"/>
          <w:szCs w:val="28"/>
        </w:rPr>
        <w:t xml:space="preserve">1.1 Too Design-Specific</w:t>
      </w:r>
    </w:p>
    <w:p>
      <w:pPr>
        <w:spacing w:after="160"/>
        <w:jc w:val="left"/>
      </w:pPr>
      <w:r>
        <w:rPr>
          <w:rFonts w:ascii="Arial" w:cs="Arial" w:eastAsia="Arial" w:hAnsi="Arial"/>
          <w:color w:val="374151"/>
          <w:sz w:val="22"/>
          <w:szCs w:val="22"/>
        </w:rPr>
        <w:t xml:space="preserve">The hero reads </w:t>
      </w:r>
      <w:r>
        <w:rPr>
          <w:rFonts w:ascii="Arial" w:cs="Arial" w:eastAsia="Arial" w:hAnsi="Arial"/>
          <w:b/>
          <w:bCs/>
          <w:color w:val="374151"/>
          <w:sz w:val="22"/>
          <w:szCs w:val="22"/>
        </w:rPr>
        <w:t xml:space="preserve">“You Teach Design. We Handle the Rest.”</w:t>
      </w:r>
      <w:r>
        <w:rPr>
          <w:rFonts w:ascii="Arial" w:cs="Arial" w:eastAsia="Arial" w:hAnsi="Arial"/>
          <w:color w:val="374151"/>
          <w:sz w:val="22"/>
          <w:szCs w:val="22"/>
        </w:rPr>
        <w:t xml:space="preserve"> — this immediately excludes service learning coordinators, capstone project supervisors, exhibition teachers, and anyone running inquiry-based or interdisciplinary units. StudioLoom now supports all of these via the 4-type wizard (Design, Service, PP, Inquiry) but the landing page doesn’t reflect this.</w:t>
      </w:r>
    </w:p>
    <w:p>
      <w:pPr>
        <w:spacing w:after="160"/>
        <w:jc w:val="left"/>
      </w:pPr>
      <w:r>
        <w:rPr>
          <w:rFonts w:ascii="Arial" w:cs="Arial" w:eastAsia="Arial" w:hAnsi="Arial"/>
          <w:b w:val="false"/>
          <w:bCs w:val="false"/>
          <w:i w:val="false"/>
          <w:iCs w:val="false"/>
          <w:color w:val="374151"/>
          <w:sz w:val="22"/>
          <w:szCs w:val="22"/>
        </w:rPr>
        <w:t xml:space="preserve">The stat badges say “Design Thinking Tools” and the Feature Explorer sections reference design-specific workflows. A Service coordinator landing on the page would leave within 5 seconds.</w:t>
      </w:r>
    </w:p>
    <w:p>
      <w:pPr>
        <w:spacing w:after="60"/>
      </w:pPr>
    </w:p>
    <w:p>
      <w:pPr>
        <w:pStyle w:val="Heading2"/>
        <w:spacing w:after="160" w:before="240"/>
      </w:pPr>
      <w:r>
        <w:rPr>
          <w:rFonts w:ascii="Arial" w:cs="Arial" w:eastAsia="Arial" w:hAnsi="Arial"/>
          <w:b/>
          <w:bCs/>
          <w:color w:val="111827"/>
          <w:sz w:val="28"/>
          <w:szCs w:val="28"/>
        </w:rPr>
        <w:t xml:space="preserve">1.2 All Logistics, No Agency</w:t>
      </w:r>
    </w:p>
    <w:p>
      <w:pPr>
        <w:spacing w:after="160"/>
        <w:jc w:val="left"/>
      </w:pPr>
      <w:r>
        <w:rPr>
          <w:rFonts w:ascii="Arial" w:cs="Arial" w:eastAsia="Arial" w:hAnsi="Arial"/>
          <w:b w:val="false"/>
          <w:bCs w:val="false"/>
          <w:i w:val="false"/>
          <w:iCs w:val="false"/>
          <w:color w:val="374151"/>
          <w:sz w:val="22"/>
          <w:szCs w:val="22"/>
        </w:rPr>
        <w:t xml:space="preserve">The current messaging is almost entirely about reducing teacher admin: lesson prep, safety checks, overdue work, project timelines. These are real pain points, but they position StudioLoom as a productivity tool rather than a pedagogical platform.</w:t>
      </w:r>
    </w:p>
    <w:p>
      <w:pPr>
        <w:spacing w:after="160"/>
        <w:jc w:val="left"/>
      </w:pPr>
      <w:r>
        <w:rPr>
          <w:rFonts w:ascii="Arial" w:cs="Arial" w:eastAsia="Arial" w:hAnsi="Arial"/>
          <w:b w:val="false"/>
          <w:bCs w:val="false"/>
          <w:i w:val="false"/>
          <w:iCs w:val="false"/>
          <w:color w:val="374151"/>
          <w:sz w:val="22"/>
          <w:szCs w:val="22"/>
        </w:rPr>
        <w:t xml:space="preserve">What’s missing is the student experience story: students working at their own pace with AI mentoring, discovering their own projects through the Discovery Engine, earning independence through Open Studio, showcasing work through Gallery peer review, and building a portfolio that demonstrates real growth. This is the part that makes teachers think “my students would actually engage with this” rather than just “this saves me time.”</w:t>
      </w:r>
    </w:p>
    <w:p>
      <w:pPr>
        <w:spacing w:after="60"/>
      </w:pPr>
    </w:p>
    <w:p>
      <w:pPr>
        <w:pStyle w:val="Heading2"/>
        <w:spacing w:after="160" w:before="240"/>
      </w:pPr>
      <w:r>
        <w:rPr>
          <w:rFonts w:ascii="Arial" w:cs="Arial" w:eastAsia="Arial" w:hAnsi="Arial"/>
          <w:b/>
          <w:bCs/>
          <w:color w:val="111827"/>
          <w:sz w:val="28"/>
          <w:szCs w:val="28"/>
        </w:rPr>
        <w:t xml:space="preserve">1.3 Feature Salad, Not a Platform</w:t>
      </w:r>
    </w:p>
    <w:p>
      <w:pPr>
        <w:spacing w:after="160"/>
        <w:jc w:val="left"/>
      </w:pPr>
      <w:r>
        <w:rPr>
          <w:rFonts w:ascii="Arial" w:cs="Arial" w:eastAsia="Arial" w:hAnsi="Arial"/>
          <w:b w:val="false"/>
          <w:bCs w:val="false"/>
          <w:i w:val="false"/>
          <w:iCs w:val="false"/>
          <w:color w:val="374151"/>
          <w:sz w:val="22"/>
          <w:szCs w:val="22"/>
        </w:rPr>
        <w:t xml:space="preserve">The page structure (hero → toolkit showcase → feature accordion → CTA) reads as a collection of separate tools. Visitors cannot tell that StudioLoom covers the entire teaching cycle from planning through to assessment and showcase. It doesn’t feel like a unified LMS alternative — it feels like a grab-bag of AI gadgets.</w:t>
      </w:r>
    </w:p>
    <w:p>
      <w:pPr>
        <w:spacing w:after="160"/>
        <w:jc w:val="left"/>
      </w:pPr>
      <w:r>
        <w:rPr>
          <w:rFonts w:ascii="Arial" w:cs="Arial" w:eastAsia="Arial" w:hAnsi="Arial"/>
          <w:b w:val="false"/>
          <w:bCs w:val="false"/>
          <w:i w:val="false"/>
          <w:iCs w:val="false"/>
          <w:color w:val="374151"/>
          <w:sz w:val="22"/>
          <w:szCs w:val="22"/>
        </w:rPr>
        <w:t xml:space="preserve">The competitive advantage isn’t any single feature. It’s that everything is connected: the AI that helps plan the unit is the same AI that mentors the student, the data captured during lessons feeds the grading dashboard, the toolkit tools are embedded in lessons and save to the student’s portfolio. No other platform does this end-to-end for project-based subjects.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6B21A8" w:val="clear"/>
          </w:tcPr>
          <w:p>
            <w:r>
              <w:t xml:space="preserve"/>
            </w:r>
          </w:p>
        </w:tc>
        <w:tc>
          <w:tcPr>
            <w:tcW w:type="dxa" w:w="9240"/>
            <w:tcBorders>
              <w:top w:val="none"/>
              <w:left w:val="none"/>
              <w:bottom w:val="none"/>
              <w:right w:val="none"/>
            </w:tcBorders>
            <w:shd w:fill="F3E8FF" w:val="clear"/>
            <w:tcMar>
              <w:top w:type="dxa" w:w="160"/>
              <w:left w:type="dxa" w:w="200"/>
              <w:bottom w:type="dxa" w:w="160"/>
              <w:right w:type="dxa" w:w="200"/>
            </w:tcMar>
          </w:tcPr>
          <w:p>
            <w:pPr>
              <w:spacing w:after="80"/>
            </w:pPr>
            <w:r>
              <w:rPr>
                <w:rFonts w:ascii="Arial" w:cs="Arial" w:eastAsia="Arial" w:hAnsi="Arial"/>
                <w:b/>
                <w:bCs/>
                <w:color w:val="6B21A8"/>
                <w:sz w:val="22"/>
                <w:szCs w:val="22"/>
              </w:rPr>
              <w:t xml:space="preserve">Core Insight</w:t>
            </w:r>
          </w:p>
          <w:p>
            <w:r>
              <w:rPr>
                <w:rFonts w:ascii="Arial" w:cs="Arial" w:eastAsia="Arial" w:hAnsi="Arial"/>
                <w:color w:val="374151"/>
                <w:sz w:val="20"/>
                <w:szCs w:val="20"/>
              </w:rPr>
              <w:t xml:space="preserve">StudioLoom is not a toolkit or a collection of AI tools. It’s a project-based learning operating system that handles the entire cycle — plan, build, deliver, monitor, assess, showcase — with AI and student agency woven through every stage. The landing page must communicate this in the first 3 seconds.</w:t>
            </w:r>
          </w:p>
        </w:tc>
      </w:tr>
    </w:tbl>
    <w:p>
      <w:r>
        <w:br w:type="page"/>
      </w:r>
    </w:p>
    <w:p>
      <w:pPr>
        <w:pStyle w:val="Heading1"/>
        <w:spacing w:after="160" w:before="360"/>
      </w:pPr>
      <w:r>
        <w:rPr>
          <w:rFonts w:ascii="Arial" w:cs="Arial" w:eastAsia="Arial" w:hAnsi="Arial"/>
          <w:b/>
          <w:bCs/>
          <w:color w:val="6B21A8"/>
          <w:sz w:val="36"/>
          <w:szCs w:val="36"/>
        </w:rPr>
        <w:t xml:space="preserve">2. Recommended Positioning</w:t>
      </w:r>
    </w:p>
    <w:p>
      <w:pPr>
        <w:pStyle w:val="Heading2"/>
        <w:spacing w:after="160" w:before="240"/>
      </w:pPr>
      <w:r>
        <w:rPr>
          <w:rFonts w:ascii="Arial" w:cs="Arial" w:eastAsia="Arial" w:hAnsi="Arial"/>
          <w:b/>
          <w:bCs/>
          <w:color w:val="111827"/>
          <w:sz w:val="28"/>
          <w:szCs w:val="28"/>
        </w:rPr>
        <w:t xml:space="preserve">2.1 The One-Line Answer</w:t>
      </w:r>
    </w:p>
    <w:p>
      <w:pPr>
        <w:spacing w:after="160"/>
        <w:jc w:val="left"/>
      </w:pPr>
      <w:r>
        <w:rPr>
          <w:rFonts w:ascii="Arial" w:cs="Arial" w:eastAsia="Arial" w:hAnsi="Arial"/>
          <w:b w:val="false"/>
          <w:bCs w:val="false"/>
          <w:i w:val="false"/>
          <w:iCs w:val="false"/>
          <w:color w:val="374151"/>
          <w:sz w:val="22"/>
          <w:szCs w:val="22"/>
        </w:rPr>
        <w:t xml:space="preserve">When a teacher asks “what is StudioLoom?” they need to be able to answer in one breath:</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6B21A8" w:val="clear"/>
          </w:tcPr>
          <w:p>
            <w:r>
              <w:t xml:space="preserve"/>
            </w:r>
          </w:p>
        </w:tc>
        <w:tc>
          <w:tcPr>
            <w:tcW w:type="dxa" w:w="9240"/>
            <w:tcBorders>
              <w:top w:val="none"/>
              <w:left w:val="none"/>
              <w:bottom w:val="none"/>
              <w:right w:val="none"/>
            </w:tcBorders>
            <w:shd w:fill="F3E8FF" w:val="clear"/>
            <w:tcMar>
              <w:top w:type="dxa" w:w="160"/>
              <w:left w:type="dxa" w:w="200"/>
              <w:bottom w:type="dxa" w:w="160"/>
              <w:right w:type="dxa" w:w="200"/>
            </w:tcMar>
          </w:tcPr>
          <w:p>
            <w:pPr>
              <w:spacing w:after="80"/>
            </w:pPr>
            <w:r>
              <w:rPr>
                <w:rFonts w:ascii="Arial" w:cs="Arial" w:eastAsia="Arial" w:hAnsi="Arial"/>
                <w:b/>
                <w:bCs/>
                <w:color w:val="6B21A8"/>
                <w:sz w:val="22"/>
                <w:szCs w:val="22"/>
              </w:rPr>
              <w:t xml:space="preserve">Positioning Statement</w:t>
            </w:r>
          </w:p>
          <w:p>
            <w:r>
              <w:rPr>
                <w:rFonts w:ascii="Arial" w:cs="Arial" w:eastAsia="Arial" w:hAnsi="Arial"/>
                <w:color w:val="374151"/>
                <w:sz w:val="20"/>
                <w:szCs w:val="20"/>
              </w:rPr>
              <w:t xml:space="preserve">StudioLoom is the platform for classrooms where students make, solve, and create. It handles the entire cycle — from unit plan to student portfolio — so teachers can teach and students can own their learning.</w:t>
            </w:r>
          </w:p>
        </w:tc>
      </w:tr>
    </w:tbl>
    <w:p>
      <w:pPr>
        <w:spacing w:after="80"/>
      </w:pPr>
    </w:p>
    <w:p>
      <w:pPr>
        <w:pStyle w:val="Heading2"/>
        <w:spacing w:after="160" w:before="240"/>
      </w:pPr>
      <w:r>
        <w:rPr>
          <w:rFonts w:ascii="Arial" w:cs="Arial" w:eastAsia="Arial" w:hAnsi="Arial"/>
          <w:b/>
          <w:bCs/>
          <w:color w:val="111827"/>
          <w:sz w:val="28"/>
          <w:szCs w:val="28"/>
        </w:rPr>
        <w:t xml:space="preserve">2.2 Dual Value Proposition</w:t>
      </w:r>
    </w:p>
    <w:p>
      <w:pPr>
        <w:spacing w:after="160"/>
        <w:jc w:val="left"/>
      </w:pPr>
      <w:r>
        <w:rPr>
          <w:rFonts w:ascii="Arial" w:cs="Arial" w:eastAsia="Arial" w:hAnsi="Arial"/>
          <w:b w:val="false"/>
          <w:bCs w:val="false"/>
          <w:i w:val="false"/>
          <w:iCs w:val="false"/>
          <w:color w:val="374151"/>
          <w:sz w:val="22"/>
          <w:szCs w:val="22"/>
        </w:rPr>
        <w:t xml:space="preserve">The positioning rests on two reinforcing promises: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780"/>
      </w:tblGrid>
      <w:tr>
        <w:tc>
          <w:tcPr>
            <w:tcW w:type="dxa" w:w="4580"/>
            <w:tcBorders>
              <w:top w:val="none"/>
              <w:left w:val="none"/>
              <w:bottom w:val="none"/>
              <w:right w:val="none"/>
            </w:tcBorders>
            <w:shd w:fill="CCFBF1" w:val="clear"/>
            <w:tcMar>
              <w:top w:type="dxa" w:w="200"/>
              <w:left w:type="dxa" w:w="200"/>
              <w:bottom w:type="dxa" w:w="200"/>
              <w:right w:type="dxa" w:w="200"/>
            </w:tcMar>
          </w:tcPr>
          <w:p>
            <w:pPr>
              <w:spacing w:after="80"/>
            </w:pPr>
            <w:r>
              <w:rPr>
                <w:rFonts w:ascii="Arial" w:cs="Arial" w:eastAsia="Arial" w:hAnsi="Arial"/>
                <w:b/>
                <w:bCs/>
                <w:color w:val="0D9488"/>
                <w:spacing w:val="100"/>
                <w:sz w:val="18"/>
                <w:szCs w:val="18"/>
              </w:rPr>
              <w:t xml:space="preserve">FOR THE TEACHER</w:t>
            </w:r>
          </w:p>
          <w:p>
            <w:pPr>
              <w:spacing w:after="100"/>
            </w:pPr>
            <w:r>
              <w:rPr>
                <w:rFonts w:ascii="Arial" w:cs="Arial" w:eastAsia="Arial" w:hAnsi="Arial"/>
                <w:b/>
                <w:bCs/>
                <w:color w:val="111827"/>
                <w:sz w:val="24"/>
                <w:szCs w:val="24"/>
              </w:rPr>
              <w:t xml:space="preserve">“You get your time back.”</w:t>
            </w:r>
          </w:p>
          <w:p>
            <w:pPr>
              <w:spacing w:after="0"/>
            </w:pPr>
            <w:r>
              <w:rPr>
                <w:rFonts w:ascii="Arial" w:cs="Arial" w:eastAsia="Arial" w:hAnsi="Arial"/>
                <w:color w:val="374151"/>
                <w:sz w:val="20"/>
                <w:szCs w:val="20"/>
              </w:rPr>
              <w:t xml:space="preserve">AI builds units in minutes. Live dashboard replaces circulating blind. Grading evidence is already collected. Safety badges handle compliance. No more juggling five platforms.</w:t>
            </w:r>
          </w:p>
        </w:tc>
        <w:tc>
          <w:tcPr>
            <w:tcW w:type="dxa" w:w="4780"/>
            <w:tcBorders>
              <w:top w:val="none"/>
              <w:left w:val="none"/>
              <w:bottom w:val="none"/>
              <w:right w:val="none"/>
            </w:tcBorders>
            <w:shd w:fill="F3E8FF" w:val="clear"/>
            <w:tcMar>
              <w:top w:type="dxa" w:w="200"/>
              <w:left w:type="dxa" w:w="200"/>
              <w:bottom w:type="dxa" w:w="200"/>
              <w:right w:type="dxa" w:w="200"/>
            </w:tcMar>
          </w:tcPr>
          <w:p>
            <w:pPr>
              <w:spacing w:after="80"/>
            </w:pPr>
            <w:r>
              <w:rPr>
                <w:rFonts w:ascii="Arial" w:cs="Arial" w:eastAsia="Arial" w:hAnsi="Arial"/>
                <w:b/>
                <w:bCs/>
                <w:color w:val="6B21A8"/>
                <w:spacing w:val="100"/>
                <w:sz w:val="18"/>
                <w:szCs w:val="18"/>
              </w:rPr>
              <w:t xml:space="preserve">FOR THE STUDENT</w:t>
            </w:r>
          </w:p>
          <w:p>
            <w:pPr>
              <w:spacing w:after="100"/>
            </w:pPr>
            <w:r>
              <w:rPr>
                <w:rFonts w:ascii="Arial" w:cs="Arial" w:eastAsia="Arial" w:hAnsi="Arial"/>
                <w:b/>
                <w:bCs/>
                <w:color w:val="111827"/>
                <w:sz w:val="24"/>
                <w:szCs w:val="24"/>
              </w:rPr>
              <w:t xml:space="preserve">“They own their learning.”</w:t>
            </w:r>
          </w:p>
          <w:p>
            <w:pPr>
              <w:spacing w:after="0"/>
            </w:pPr>
            <w:r>
              <w:rPr>
                <w:rFonts w:ascii="Arial" w:cs="Arial" w:eastAsia="Arial" w:hAnsi="Arial"/>
                <w:color w:val="374151"/>
                <w:sz w:val="20"/>
                <w:szCs w:val="20"/>
              </w:rPr>
              <w:t xml:space="preserve">Students work at their own pace. An AI mentor scaffolds without over-helping. They discover their own projects. They earn independence. They showcase work through peer review and portfolio.</w:t>
            </w:r>
          </w:p>
        </w:tc>
      </w:tr>
    </w:tbl>
    <w:p>
      <w:pPr>
        <w:spacing w:after="80"/>
      </w:pPr>
    </w:p>
    <w:p>
      <w:pPr>
        <w:spacing w:after="160"/>
        <w:jc w:val="left"/>
      </w:pPr>
      <w:r>
        <w:rPr>
          <w:rFonts w:ascii="Arial" w:cs="Arial" w:eastAsia="Arial" w:hAnsi="Arial"/>
          <w:b w:val="false"/>
          <w:bCs w:val="false"/>
          <w:i w:val="false"/>
          <w:iCs w:val="false"/>
          <w:color w:val="374151"/>
          <w:sz w:val="22"/>
          <w:szCs w:val="22"/>
        </w:rPr>
        <w:t xml:space="preserve">These two halves aren’t separate value props — they’re cause and effect. The platform handles logistics SO THAT the teacher can focus on mentoring and the student can focus on making.</w:t>
      </w:r>
    </w:p>
    <w:p>
      <w:pPr>
        <w:spacing w:after="60"/>
      </w:pPr>
    </w:p>
    <w:p>
      <w:pPr>
        <w:pStyle w:val="Heading2"/>
        <w:spacing w:after="160" w:before="240"/>
      </w:pPr>
      <w:r>
        <w:rPr>
          <w:rFonts w:ascii="Arial" w:cs="Arial" w:eastAsia="Arial" w:hAnsi="Arial"/>
          <w:b/>
          <w:bCs/>
          <w:color w:val="111827"/>
          <w:sz w:val="28"/>
          <w:szCs w:val="28"/>
        </w:rPr>
        <w:t xml:space="preserve">2.3 Broad-But-Specific Framing</w:t>
      </w:r>
    </w:p>
    <w:p>
      <w:pPr>
        <w:spacing w:after="160"/>
        <w:jc w:val="left"/>
      </w:pPr>
      <w:r>
        <w:rPr>
          <w:rFonts w:ascii="Arial" w:cs="Arial" w:eastAsia="Arial" w:hAnsi="Arial"/>
          <w:b w:val="false"/>
          <w:bCs w:val="false"/>
          <w:i w:val="false"/>
          <w:iCs w:val="false"/>
          <w:color w:val="374151"/>
          <w:sz w:val="22"/>
          <w:szCs w:val="22"/>
        </w:rPr>
        <w:t xml:space="preserve">The term “project-based learning” is well-known but narrower than it sounds — some teachers who run projects don’t identify with “PBL” as a methodology. A broader approach describes what these classrooms look like (“students make, solve, and create”) while immediately listing specific subjects so teachers see themselves.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FCE7F3" w:val="clear"/>
            <w:tcMar>
              <w:top w:type="dxa" w:w="100"/>
              <w:left w:type="dxa" w:w="140"/>
              <w:bottom w:type="dxa" w:w="100"/>
              <w:right w:type="dxa" w:w="140"/>
            </w:tcMar>
          </w:tcPr>
          <w:p>
            <w:pPr>
              <w:spacing w:after="60"/>
            </w:pPr>
            <w:r>
              <w:rPr>
                <w:rFonts w:ascii="Arial" w:cs="Arial" w:eastAsia="Arial" w:hAnsi="Arial"/>
                <w:b/>
                <w:bCs/>
                <w:color w:val="DB2777"/>
                <w:sz w:val="18"/>
                <w:szCs w:val="18"/>
              </w:rPr>
              <w:t xml:space="preserve">CURRENT (too narrow)</w:t>
            </w:r>
          </w:p>
          <w:p>
            <w:r>
              <w:rPr>
                <w:rFonts w:ascii="Arial" w:cs="Arial" w:eastAsia="Arial" w:hAnsi="Arial"/>
                <w:color w:val="111827"/>
                <w:sz w:val="22"/>
                <w:szCs w:val="22"/>
              </w:rPr>
              <w:t xml:space="preserve">“You Teach Design. We Handle the Rest.”</w:t>
            </w:r>
          </w:p>
        </w:tc>
        <w:tc>
          <w:tcPr>
            <w:tcW w:type="dxa" w:w="4680"/>
            <w:tcBorders>
              <w:top w:val="single" w:color="E5E7EB" w:sz="1"/>
              <w:left w:val="single" w:color="E5E7EB" w:sz="1"/>
              <w:bottom w:val="single" w:color="E5E7EB" w:sz="1"/>
              <w:right w:val="single" w:color="E5E7EB" w:sz="1"/>
            </w:tcBorders>
            <w:shd w:fill="CCFBF1" w:val="clear"/>
            <w:tcMar>
              <w:top w:type="dxa" w:w="100"/>
              <w:left w:type="dxa" w:w="140"/>
              <w:bottom w:type="dxa" w:w="100"/>
              <w:right w:type="dxa" w:w="140"/>
            </w:tcMar>
          </w:tcPr>
          <w:p>
            <w:pPr>
              <w:spacing w:after="60"/>
            </w:pPr>
            <w:r>
              <w:rPr>
                <w:rFonts w:ascii="Arial" w:cs="Arial" w:eastAsia="Arial" w:hAnsi="Arial"/>
                <w:b/>
                <w:bCs/>
                <w:color w:val="0D9488"/>
                <w:sz w:val="18"/>
                <w:szCs w:val="18"/>
              </w:rPr>
              <w:t xml:space="preserve">PROPOSED (universal + specific)</w:t>
            </w:r>
          </w:p>
          <w:p>
            <w:r>
              <w:rPr>
                <w:rFonts w:ascii="Arial" w:cs="Arial" w:eastAsia="Arial" w:hAnsi="Arial"/>
                <w:color w:val="111827"/>
                <w:sz w:val="22"/>
                <w:szCs w:val="22"/>
              </w:rPr>
              <w:t xml:space="preserve">“The platform for classrooms where students make, solve, and create.”</w:t>
            </w:r>
          </w:p>
        </w:tc>
      </w:tr>
    </w:tbl>
    <w:p>
      <w:pPr>
        <w:spacing w:after="60"/>
      </w:pPr>
    </w:p>
    <w:p>
      <w:pPr>
        <w:spacing w:after="160"/>
        <w:jc w:val="left"/>
      </w:pPr>
      <w:r>
        <w:rPr>
          <w:rFonts w:ascii="Arial" w:cs="Arial" w:eastAsia="Arial" w:hAnsi="Arial"/>
          <w:b w:val="false"/>
          <w:bCs w:val="false"/>
          <w:i w:val="false"/>
          <w:iCs w:val="false"/>
          <w:color w:val="374151"/>
          <w:sz w:val="22"/>
          <w:szCs w:val="22"/>
        </w:rPr>
        <w:t xml:space="preserve">The hero headline describes the classroom type broadly. The subhead or a line immediately below names the specific subjects: Design, Service, Capstone, Exhibition, and inquiry. Framework specificity (IB MYP, GCSE, ACARA, PLTW) stays in the badge row — confirming it works with their specific assessment system.</w:t>
      </w:r>
    </w:p>
    <w:p>
      <w:pPr>
        <w:spacing w:after="40"/>
      </w:pPr>
    </w:p>
    <w:p>
      <w:pPr>
        <w:spacing w:after="160"/>
        <w:jc w:val="left"/>
      </w:pPr>
      <w:r>
        <w:rPr>
          <w:rFonts w:ascii="Arial" w:cs="Arial" w:eastAsia="Arial" w:hAnsi="Arial"/>
          <w:b w:val="false"/>
          <w:bCs w:val="false"/>
          <w:i w:val="false"/>
          <w:iCs w:val="false"/>
          <w:color w:val="374151"/>
          <w:sz w:val="22"/>
          <w:szCs w:val="22"/>
        </w:rPr>
        <w:t xml:space="preserve">This two-layer approach (broad headline + specific subject names) means a Design teacher sees “make” and thinks “that’s me,” a Service coordinator sees the subject list and thinks “oh, it does Service too,” and a PYP homeroom teacher sees “create” and feels included. Nobody bounces because the headline was too niche.</w:t>
      </w:r>
    </w:p>
    <w:p>
      <w:r>
        <w:br w:type="page"/>
      </w:r>
    </w:p>
    <w:p>
      <w:pPr>
        <w:pStyle w:val="Heading1"/>
        <w:spacing w:after="160" w:before="360"/>
      </w:pPr>
      <w:r>
        <w:rPr>
          <w:rFonts w:ascii="Arial" w:cs="Arial" w:eastAsia="Arial" w:hAnsi="Arial"/>
          <w:b/>
          <w:bCs/>
          <w:color w:val="6B21A8"/>
          <w:sz w:val="36"/>
          <w:szCs w:val="36"/>
        </w:rPr>
        <w:t xml:space="preserve">3. Hero Copy Options</w:t>
      </w:r>
    </w:p>
    <w:p>
      <w:pPr>
        <w:spacing w:after="160"/>
        <w:jc w:val="left"/>
      </w:pPr>
      <w:r>
        <w:rPr>
          <w:rFonts w:ascii="Arial" w:cs="Arial" w:eastAsia="Arial" w:hAnsi="Arial"/>
          <w:b w:val="false"/>
          <w:bCs w:val="false"/>
          <w:i w:val="false"/>
          <w:iCs w:val="false"/>
          <w:color w:val="374151"/>
          <w:sz w:val="22"/>
          <w:szCs w:val="22"/>
        </w:rPr>
        <w:t xml:space="preserve">Three directions for the hero. Key principles applied: (1) broader than “project-based” — teachers who run projects don’t always identify with “PBL” so we use language they already think in (“my classroom,” “my students”), (2) human-centred — the teacher and student shine, the platform enables, AI is never the headline, (3) specific subjects named in subhead for instant recognition (Design, Service, Capstone, Exhibition, inquiry), (4) the “one platform” message from Section 5.2 is elevated into the hero framing itself.</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6B21A8" w:val="clear"/>
          </w:tcPr>
          <w:p>
            <w:r>
              <w:t xml:space="preserve"/>
            </w:r>
          </w:p>
        </w:tc>
        <w:tc>
          <w:tcPr>
            <w:tcW w:type="dxa" w:w="9240"/>
            <w:tcBorders>
              <w:top w:val="none"/>
              <w:left w:val="none"/>
              <w:bottom w:val="none"/>
              <w:right w:val="none"/>
            </w:tcBorders>
            <w:shd w:fill="F3E8FF" w:val="clear"/>
            <w:tcMar>
              <w:top w:type="dxa" w:w="160"/>
              <w:left w:type="dxa" w:w="200"/>
              <w:bottom w:type="dxa" w:w="160"/>
              <w:right w:type="dxa" w:w="200"/>
            </w:tcMar>
          </w:tcPr>
          <w:p>
            <w:pPr>
              <w:spacing w:after="80"/>
            </w:pPr>
            <w:r>
              <w:rPr>
                <w:rFonts w:ascii="Arial" w:cs="Arial" w:eastAsia="Arial" w:hAnsi="Arial"/>
                <w:b/>
                <w:bCs/>
                <w:color w:val="6B21A8"/>
                <w:sz w:val="22"/>
                <w:szCs w:val="22"/>
              </w:rPr>
              <w:t xml:space="preserve">OPTION A — “One Platform” (RECOMMENDED)</w:t>
            </w:r>
          </w:p>
          <w:p>
            <w:r>
              <w:rPr>
                <w:rFonts w:ascii="Arial" w:cs="Arial" w:eastAsia="Arial" w:hAnsi="Arial"/>
                <w:color w:val="374151"/>
                <w:sz w:val="20"/>
                <w:szCs w:val="20"/>
              </w:rPr>
              <w:t xml:space="preserve">Headline: The platform for classrooms where students make, solve, and create.
Subhead: Unit planning. Lesson delivery. Student mentoring. Thinking tools. Grading. Portfolio. One place — for Design, Service, Capstone, Exhibition, and inquiry.
CTAs: Get Started | Browse Free Toolkit
Below hero: “Built for how teachers actually teach and how students actually learn.”</w:t>
            </w:r>
          </w:p>
        </w:tc>
      </w:tr>
    </w:tbl>
    <w:p>
      <w:pPr>
        <w:spacing w:after="40"/>
      </w:pPr>
    </w:p>
    <w:p>
      <w:pPr>
        <w:spacing w:after="160"/>
        <w:jc w:val="left"/>
      </w:pPr>
      <w:r>
        <w:rPr>
          <w:rFonts w:ascii="Arial" w:cs="Arial" w:eastAsia="Arial" w:hAnsi="Arial"/>
          <w:b/>
          <w:bCs/>
          <w:color w:val="374151"/>
          <w:sz w:val="22"/>
          <w:szCs w:val="22"/>
        </w:rPr>
        <w:t xml:space="preserve">Why this works: </w:t>
      </w:r>
      <w:r>
        <w:rPr>
          <w:rFonts w:ascii="Arial" w:cs="Arial" w:eastAsia="Arial" w:hAnsi="Arial"/>
          <w:color w:val="374151"/>
          <w:sz w:val="22"/>
          <w:szCs w:val="22"/>
        </w:rPr>
        <w:t xml:space="preserve">“Classrooms where students make, solve, and create” is broader than PBL — every Design teacher, Service coordinator, PP supervisor, and PYP homeroom teacher instantly sees their classroom. The subhead elevates the 5.2 “one platform” list directly into the hero. Naming subjects provides instant recognition. No AI in the headline. The humans (teacher + student) are the subject of every verb.</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0D9488" w:val="clear"/>
          </w:tcPr>
          <w:p>
            <w:r>
              <w:t xml:space="preserve"/>
            </w:r>
          </w:p>
        </w:tc>
        <w:tc>
          <w:tcPr>
            <w:tcW w:type="dxa" w:w="9240"/>
            <w:tcBorders>
              <w:top w:val="none"/>
              <w:left w:val="none"/>
              <w:bottom w:val="none"/>
              <w:right w:val="none"/>
            </w:tcBorders>
            <w:shd w:fill="CCFBF1" w:val="clear"/>
            <w:tcMar>
              <w:top w:type="dxa" w:w="160"/>
              <w:left w:type="dxa" w:w="200"/>
              <w:bottom w:type="dxa" w:w="160"/>
              <w:right w:type="dxa" w:w="200"/>
            </w:tcMar>
          </w:tcPr>
          <w:p>
            <w:pPr>
              <w:spacing w:after="80"/>
            </w:pPr>
            <w:r>
              <w:rPr>
                <w:rFonts w:ascii="Arial" w:cs="Arial" w:eastAsia="Arial" w:hAnsi="Arial"/>
                <w:b/>
                <w:bCs/>
                <w:color w:val="0D9488"/>
                <w:sz w:val="22"/>
                <w:szCs w:val="22"/>
              </w:rPr>
              <w:t xml:space="preserve">OPTION B — “Teacher + Student”</w:t>
            </w:r>
          </w:p>
          <w:p>
            <w:r>
              <w:rPr>
                <w:rFonts w:ascii="Arial" w:cs="Arial" w:eastAsia="Arial" w:hAnsi="Arial"/>
                <w:color w:val="374151"/>
                <w:sz w:val="20"/>
                <w:szCs w:val="20"/>
              </w:rPr>
              <w:t xml:space="preserve">Headline: You teach better. They learn deeper.
Subhead: The platform that handles unit planning, lesson delivery, and grading — so you can mentor, and your students can own their projects.
Below: For Design, Service, Capstone, Exhibition, and inquiry classrooms.
CTAs: Get Started | Browse Free Toolkit</w:t>
            </w:r>
          </w:p>
        </w:tc>
      </w:tr>
    </w:tbl>
    <w:p>
      <w:pPr>
        <w:spacing w:after="40"/>
      </w:pPr>
    </w:p>
    <w:p>
      <w:pPr>
        <w:spacing w:after="160"/>
        <w:jc w:val="left"/>
      </w:pPr>
      <w:r>
        <w:rPr>
          <w:rFonts w:ascii="Arial" w:cs="Arial" w:eastAsia="Arial" w:hAnsi="Arial"/>
          <w:b/>
          <w:bCs/>
          <w:color w:val="374151"/>
          <w:sz w:val="22"/>
          <w:szCs w:val="22"/>
        </w:rPr>
        <w:t xml:space="preserve">Why this works: </w:t>
      </w:r>
      <w:r>
        <w:rPr>
          <w:rFonts w:ascii="Arial" w:cs="Arial" w:eastAsia="Arial" w:hAnsi="Arial"/>
          <w:color w:val="374151"/>
          <w:sz w:val="22"/>
          <w:szCs w:val="22"/>
        </w:rPr>
        <w:t xml:space="preserve">The two halves of the headline mirror the dual value prop. “Teach better” is the teacher outcome (not “plan less” which could sound like lower quality). “Learn deeper” is the student outcome (not just “learn more”). The subhead names the logistics the platform handles, then pivots to what matters: mentoring and student ownership. Subjects listed below as a trust line. Zero AI language. Risk: slightly generic — could be any edtech platform’s tagline.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D97706" w:val="clear"/>
          </w:tcPr>
          <w:p>
            <w:r>
              <w:t xml:space="preserve"/>
            </w:r>
          </w:p>
        </w:tc>
        <w:tc>
          <w:tcPr>
            <w:tcW w:type="dxa" w:w="9240"/>
            <w:tcBorders>
              <w:top w:val="none"/>
              <w:left w:val="none"/>
              <w:bottom w:val="none"/>
              <w:right w:val="none"/>
            </w:tcBorders>
            <w:shd w:fill="FEF3C7" w:val="clear"/>
            <w:tcMar>
              <w:top w:type="dxa" w:w="160"/>
              <w:left w:type="dxa" w:w="200"/>
              <w:bottom w:type="dxa" w:w="160"/>
              <w:right w:type="dxa" w:w="200"/>
            </w:tcMar>
          </w:tcPr>
          <w:p>
            <w:pPr>
              <w:spacing w:after="80"/>
            </w:pPr>
            <w:r>
              <w:rPr>
                <w:rFonts w:ascii="Arial" w:cs="Arial" w:eastAsia="Arial" w:hAnsi="Arial"/>
                <w:b/>
                <w:bCs/>
                <w:color w:val="D97706"/>
                <w:sz w:val="22"/>
                <w:szCs w:val="22"/>
              </w:rPr>
              <w:t xml:space="preserve">OPTION C — “The Whole Process”</w:t>
            </w:r>
          </w:p>
          <w:p>
            <w:r>
              <w:rPr>
                <w:rFonts w:ascii="Arial" w:cs="Arial" w:eastAsia="Arial" w:hAnsi="Arial"/>
                <w:color w:val="374151"/>
                <w:sz w:val="20"/>
                <w:szCs w:val="20"/>
              </w:rPr>
              <w:t xml:space="preserve">Headline: From your unit plan to their portfolio. Everything in between.
Subhead: Plan, deliver, mentor, assess, and let students work at their own pace with built-in tools and guidance — all in one platform built for Design, Service, Capstone, Exhibition, and inquiry classrooms.
CTAs: Get Started | Browse Free Toolkit</w:t>
            </w:r>
          </w:p>
        </w:tc>
      </w:tr>
    </w:tbl>
    <w:p>
      <w:pPr>
        <w:spacing w:after="40"/>
      </w:pPr>
    </w:p>
    <w:p>
      <w:pPr>
        <w:spacing w:after="160"/>
        <w:jc w:val="left"/>
      </w:pPr>
      <w:r>
        <w:rPr>
          <w:rFonts w:ascii="Arial" w:cs="Arial" w:eastAsia="Arial" w:hAnsi="Arial"/>
          <w:b/>
          <w:bCs/>
          <w:color w:val="374151"/>
          <w:sz w:val="22"/>
          <w:szCs w:val="22"/>
        </w:rPr>
        <w:t xml:space="preserve">Why this works: </w:t>
      </w:r>
      <w:r>
        <w:rPr>
          <w:rFonts w:ascii="Arial" w:cs="Arial" w:eastAsia="Arial" w:hAnsi="Arial"/>
          <w:color w:val="374151"/>
          <w:sz w:val="22"/>
          <w:szCs w:val="22"/>
        </w:rPr>
        <w:t xml:space="preserve">“Your unit plan” and “their portfolio” puts teacher and student as the owners from the first line. “Everything in between” is the LMS-replacement signal without naming any competitor. The subhead weaves both teacher actions (plan, deliver, assess) and student experience (own pace, built-in tools, guidance) together. Risk: two-line headline is slightly longer to process.</w:t>
      </w:r>
    </w:p>
    <w:p>
      <w:pPr>
        <w:spacing w:after="80"/>
      </w:pPr>
    </w:p>
    <w:p>
      <w:pPr>
        <w:pStyle w:val="Heading3"/>
        <w:spacing w:after="160" w:before="240"/>
      </w:pPr>
      <w:r>
        <w:rPr>
          <w:rFonts w:ascii="Arial" w:cs="Arial" w:eastAsia="Arial" w:hAnsi="Arial"/>
          <w:b/>
          <w:bCs/>
          <w:color w:val="111827"/>
          <w:sz w:val="24"/>
          <w:szCs w:val="24"/>
        </w:rPr>
        <w:t xml:space="preserve">3.1 Recommended Stat Badges</w:t>
      </w:r>
    </w:p>
    <w:p>
      <w:pPr>
        <w:spacing w:after="160"/>
        <w:jc w:val="left"/>
      </w:pPr>
      <w:r>
        <w:rPr>
          <w:rFonts w:ascii="Arial" w:cs="Arial" w:eastAsia="Arial" w:hAnsi="Arial"/>
          <w:b w:val="false"/>
          <w:bCs w:val="false"/>
          <w:i w:val="false"/>
          <w:iCs w:val="false"/>
          <w:color w:val="374151"/>
          <w:sz w:val="22"/>
          <w:szCs w:val="22"/>
        </w:rPr>
        <w:t xml:space="preserve">Replace the current Design-specific badges with universal metrics: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FCE7F3" w:val="clear"/>
            <w:tcMar>
              <w:top w:type="dxa" w:w="100"/>
              <w:left w:type="dxa" w:w="140"/>
              <w:bottom w:type="dxa" w:w="100"/>
              <w:right w:type="dxa" w:w="140"/>
            </w:tcMar>
          </w:tcPr>
          <w:p>
            <w:pPr>
              <w:spacing w:after="60"/>
            </w:pPr>
            <w:r>
              <w:rPr>
                <w:rFonts w:ascii="Arial" w:cs="Arial" w:eastAsia="Arial" w:hAnsi="Arial"/>
                <w:b/>
                <w:bCs/>
                <w:color w:val="DB2777"/>
                <w:sz w:val="18"/>
                <w:szCs w:val="18"/>
              </w:rPr>
              <w:t xml:space="preserve">CURRENT</w:t>
            </w:r>
          </w:p>
          <w:p>
            <w:r>
              <w:rPr>
                <w:rFonts w:ascii="Arial" w:cs="Arial" w:eastAsia="Arial" w:hAnsi="Arial"/>
                <w:color w:val="111827"/>
                <w:sz w:val="20"/>
                <w:szCs w:val="20"/>
              </w:rPr>
              <w:t xml:space="preserve">42 Design Thinking Tools | 8+ Curriculum Frameworks | 27 AI-Powered Interactive Tools</w:t>
            </w:r>
          </w:p>
        </w:tc>
        <w:tc>
          <w:tcPr>
            <w:tcW w:type="dxa" w:w="4680"/>
            <w:tcBorders>
              <w:top w:val="single" w:color="E5E7EB" w:sz="1"/>
              <w:left w:val="single" w:color="E5E7EB" w:sz="1"/>
              <w:bottom w:val="single" w:color="E5E7EB" w:sz="1"/>
              <w:right w:val="single" w:color="E5E7EB" w:sz="1"/>
            </w:tcBorders>
            <w:shd w:fill="CCFBF1" w:val="clear"/>
            <w:tcMar>
              <w:top w:type="dxa" w:w="100"/>
              <w:left w:type="dxa" w:w="140"/>
              <w:bottom w:type="dxa" w:w="100"/>
              <w:right w:type="dxa" w:w="140"/>
            </w:tcMar>
          </w:tcPr>
          <w:p>
            <w:pPr>
              <w:spacing w:after="60"/>
            </w:pPr>
            <w:r>
              <w:rPr>
                <w:rFonts w:ascii="Arial" w:cs="Arial" w:eastAsia="Arial" w:hAnsi="Arial"/>
                <w:b/>
                <w:bCs/>
                <w:color w:val="0D9488"/>
                <w:sz w:val="18"/>
                <w:szCs w:val="18"/>
              </w:rPr>
              <w:t xml:space="preserve">PROPOSED</w:t>
            </w:r>
          </w:p>
          <w:p>
            <w:r>
              <w:rPr>
                <w:rFonts w:ascii="Arial" w:cs="Arial" w:eastAsia="Arial" w:hAnsi="Arial"/>
                <w:color w:val="111827"/>
                <w:sz w:val="20"/>
                <w:szCs w:val="20"/>
              </w:rPr>
              <w:t xml:space="preserve">Plan → Deliver → Assess → Showcase | 8+ Frameworks Supported | 42 Built-In Thinking Tools</w:t>
            </w:r>
          </w:p>
        </w:tc>
      </w:tr>
    </w:tbl>
    <w:p>
      <w:r>
        <w:br w:type="page"/>
      </w:r>
    </w:p>
    <w:p>
      <w:pPr>
        <w:pStyle w:val="Heading1"/>
        <w:spacing w:after="160" w:before="360"/>
      </w:pPr>
      <w:r>
        <w:rPr>
          <w:rFonts w:ascii="Arial" w:cs="Arial" w:eastAsia="Arial" w:hAnsi="Arial"/>
          <w:b/>
          <w:bCs/>
          <w:color w:val="6B21A8"/>
          <w:sz w:val="36"/>
          <w:szCs w:val="36"/>
        </w:rPr>
        <w:t xml:space="preserve">4. Proposed Page Structure</w:t>
      </w:r>
    </w:p>
    <w:p>
      <w:pPr>
        <w:spacing w:after="160"/>
        <w:jc w:val="left"/>
      </w:pPr>
      <w:r>
        <w:rPr>
          <w:rFonts w:ascii="Arial" w:cs="Arial" w:eastAsia="Arial" w:hAnsi="Arial"/>
          <w:b w:val="false"/>
          <w:bCs w:val="false"/>
          <w:i w:val="false"/>
          <w:iCs w:val="false"/>
          <w:color w:val="374151"/>
          <w:sz w:val="22"/>
          <w:szCs w:val="22"/>
        </w:rPr>
        <w:t xml:space="preserve">Replace the current structure (hero → toolkit showcase → feature accordion → CTA) with a journey-based narrative that shows StudioLoom as a complete system, not a feature collection.</w:t>
      </w:r>
    </w:p>
    <w:p>
      <w:pPr>
        <w:spacing w:after="60"/>
      </w:pPr>
    </w:p>
    <w:p>
      <w:pPr>
        <w:pStyle w:val="Heading2"/>
        <w:spacing w:after="160" w:before="240"/>
      </w:pPr>
      <w:r>
        <w:rPr>
          <w:rFonts w:ascii="Arial" w:cs="Arial" w:eastAsia="Arial" w:hAnsi="Arial"/>
          <w:b/>
          <w:bCs/>
          <w:color w:val="111827"/>
          <w:sz w:val="28"/>
          <w:szCs w:val="28"/>
        </w:rPr>
        <w:t xml:space="preserve">4.1 Current vs. Proposed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spacing w:after="80"/>
            </w:pPr>
            <w:r>
              <w:rPr>
                <w:rFonts w:ascii="Arial" w:cs="Arial" w:eastAsia="Arial" w:hAnsi="Arial"/>
                <w:b/>
                <w:bCs/>
                <w:color w:val="6B7280"/>
                <w:sz w:val="18"/>
                <w:szCs w:val="18"/>
              </w:rPr>
              <w:t xml:space="preserve">CURRENT STRUCTURE</w:t>
            </w:r>
          </w:p>
          <w:p>
            <w:pPr>
              <w:spacing w:after="60"/>
            </w:pPr>
            <w:r>
              <w:rPr>
                <w:rFonts w:ascii="Arial" w:cs="Arial" w:eastAsia="Arial" w:hAnsi="Arial"/>
                <w:color w:val="111827"/>
                <w:sz w:val="20"/>
                <w:szCs w:val="20"/>
              </w:rPr>
              <w:t xml:space="preserve">1. Hero (“You Teach Design”)</w:t>
            </w:r>
          </w:p>
          <w:p>
            <w:pPr>
              <w:spacing w:after="60"/>
            </w:pPr>
            <w:r>
              <w:rPr>
                <w:rFonts w:ascii="Arial" w:cs="Arial" w:eastAsia="Arial" w:hAnsi="Arial"/>
                <w:color w:val="111827"/>
                <w:sz w:val="20"/>
                <w:szCs w:val="20"/>
              </w:rPr>
              <w:t xml:space="preserve">2. Toolkit Showcase (42 tools)</w:t>
            </w:r>
          </w:p>
          <w:p>
            <w:pPr>
              <w:spacing w:after="60"/>
            </w:pPr>
            <w:r>
              <w:rPr>
                <w:rFonts w:ascii="Arial" w:cs="Arial" w:eastAsia="Arial" w:hAnsi="Arial"/>
                <w:color w:val="111827"/>
                <w:sz w:val="20"/>
                <w:szCs w:val="20"/>
              </w:rPr>
              <w:t xml:space="preserve">3. Feature Explorer (6 cards)</w:t>
            </w:r>
          </w:p>
          <w:p>
            <w:pPr>
              <w:spacing w:after="0"/>
            </w:pPr>
            <w:r>
              <w:rPr>
                <w:rFonts w:ascii="Arial" w:cs="Arial" w:eastAsia="Arial" w:hAnsi="Arial"/>
                <w:color w:val="111827"/>
                <w:sz w:val="20"/>
                <w:szCs w:val="20"/>
              </w:rPr>
              <w:t xml:space="preserve">4. CTA</w:t>
            </w:r>
          </w:p>
        </w:tc>
        <w:tc>
          <w:tcPr>
            <w:tcW w:type="dxa" w:w="4680"/>
            <w:tcBorders>
              <w:top w:val="single" w:color="E5E7EB" w:sz="1"/>
              <w:left w:val="single" w:color="E5E7EB" w:sz="1"/>
              <w:bottom w:val="single" w:color="E5E7EB" w:sz="1"/>
              <w:right w:val="single" w:color="E5E7EB" w:sz="1"/>
            </w:tcBorders>
            <w:shd w:fill="F3E8FF" w:val="clear"/>
            <w:tcMar>
              <w:top w:type="dxa" w:w="100"/>
              <w:left w:type="dxa" w:w="140"/>
              <w:bottom w:type="dxa" w:w="100"/>
              <w:right w:type="dxa" w:w="140"/>
            </w:tcMar>
          </w:tcPr>
          <w:p>
            <w:pPr>
              <w:spacing w:after="80"/>
            </w:pPr>
            <w:r>
              <w:rPr>
                <w:rFonts w:ascii="Arial" w:cs="Arial" w:eastAsia="Arial" w:hAnsi="Arial"/>
                <w:b/>
                <w:bCs/>
                <w:color w:val="6B21A8"/>
                <w:sz w:val="18"/>
                <w:szCs w:val="18"/>
              </w:rPr>
              <w:t xml:space="preserve">PROPOSED STRUCTURE</w:t>
            </w:r>
          </w:p>
          <w:p>
            <w:pPr>
              <w:spacing w:after="60"/>
            </w:pPr>
            <w:r>
              <w:rPr>
                <w:rFonts w:ascii="Arial" w:cs="Arial" w:eastAsia="Arial" w:hAnsi="Arial"/>
                <w:color w:val="111827"/>
                <w:sz w:val="20"/>
                <w:szCs w:val="20"/>
              </w:rPr>
              <w:t xml:space="preserve">1. Hero (project-based platform)</w:t>
            </w:r>
          </w:p>
          <w:p>
            <w:pPr>
              <w:spacing w:after="60"/>
            </w:pPr>
            <w:r>
              <w:rPr>
                <w:rFonts w:ascii="Arial" w:cs="Arial" w:eastAsia="Arial" w:hAnsi="Arial"/>
                <w:color w:val="111827"/>
                <w:sz w:val="20"/>
                <w:szCs w:val="20"/>
              </w:rPr>
              <w:t xml:space="preserve">2. The Journey (5 cycle phases)</w:t>
            </w:r>
          </w:p>
          <w:p>
            <w:pPr>
              <w:spacing w:after="60"/>
            </w:pPr>
            <w:r>
              <w:rPr>
                <w:rFonts w:ascii="Arial" w:cs="Arial" w:eastAsia="Arial" w:hAnsi="Arial"/>
                <w:color w:val="111827"/>
                <w:sz w:val="20"/>
                <w:szCs w:val="20"/>
              </w:rPr>
              <w:t xml:space="preserve">3. Student Agency section</w:t>
            </w:r>
          </w:p>
          <w:p>
            <w:pPr>
              <w:spacing w:after="60"/>
            </w:pPr>
            <w:r>
              <w:rPr>
                <w:rFonts w:ascii="Arial" w:cs="Arial" w:eastAsia="Arial" w:hAnsi="Arial"/>
                <w:color w:val="111827"/>
                <w:sz w:val="20"/>
                <w:szCs w:val="20"/>
              </w:rPr>
              <w:t xml:space="preserve">4. Free Toolkit callout (compact)</w:t>
            </w:r>
          </w:p>
          <w:p>
            <w:pPr>
              <w:spacing w:after="60"/>
            </w:pPr>
            <w:r>
              <w:rPr>
                <w:rFonts w:ascii="Arial" w:cs="Arial" w:eastAsia="Arial" w:hAnsi="Arial"/>
                <w:color w:val="111827"/>
                <w:sz w:val="20"/>
                <w:szCs w:val="20"/>
              </w:rPr>
              <w:t xml:space="preserve">5. Framework trust bar</w:t>
            </w:r>
          </w:p>
          <w:p>
            <w:pPr>
              <w:spacing w:after="0"/>
            </w:pPr>
            <w:r>
              <w:rPr>
                <w:rFonts w:ascii="Arial" w:cs="Arial" w:eastAsia="Arial" w:hAnsi="Arial"/>
                <w:color w:val="111827"/>
                <w:sz w:val="20"/>
                <w:szCs w:val="20"/>
              </w:rPr>
              <w:t xml:space="preserve">6. CTA</w:t>
            </w:r>
          </w:p>
        </w:tc>
      </w:tr>
    </w:tbl>
    <w:p>
      <w:pPr>
        <w:spacing w:after="80"/>
      </w:pPr>
    </w:p>
    <w:p>
      <w:pPr>
        <w:pStyle w:val="Heading2"/>
        <w:spacing w:after="160" w:before="240"/>
      </w:pPr>
      <w:r>
        <w:rPr>
          <w:rFonts w:ascii="Arial" w:cs="Arial" w:eastAsia="Arial" w:hAnsi="Arial"/>
          <w:b/>
          <w:bCs/>
          <w:color w:val="111827"/>
          <w:sz w:val="28"/>
          <w:szCs w:val="28"/>
        </w:rPr>
        <w:t xml:space="preserve">4.2 The Journey Sections (Detail)</w:t>
      </w:r>
    </w:p>
    <w:p>
      <w:pPr>
        <w:spacing w:after="160"/>
        <w:jc w:val="left"/>
      </w:pPr>
      <w:r>
        <w:rPr>
          <w:rFonts w:ascii="Arial" w:cs="Arial" w:eastAsia="Arial" w:hAnsi="Arial"/>
          <w:b w:val="false"/>
          <w:bCs w:val="false"/>
          <w:i w:val="false"/>
          <w:iCs w:val="false"/>
          <w:color w:val="374151"/>
          <w:sz w:val="22"/>
          <w:szCs w:val="22"/>
        </w:rPr>
        <w:t xml:space="preserve">Each section represents one phase of the teaching cycle. Together they tell the story: “This is everything you need, in one place.” Alternating left-right layouts with rich mockup visuals.</w:t>
      </w:r>
    </w:p>
    <w:p>
      <w:pPr>
        <w:spacing w:after="40"/>
      </w:pPr>
    </w:p>
    <w:p>
      <w:pPr>
        <w:pStyle w:val="Heading3"/>
        <w:spacing w:after="160" w:before="240"/>
      </w:pPr>
      <w:r>
        <w:rPr>
          <w:rFonts w:ascii="Arial" w:cs="Arial" w:eastAsia="Arial" w:hAnsi="Arial"/>
          <w:b/>
          <w:bCs/>
          <w:color w:val="111827"/>
          <w:sz w:val="24"/>
          <w:szCs w:val="24"/>
        </w:rPr>
        <w:t xml:space="preserve">Phase 1: Plan</w:t>
      </w:r>
    </w:p>
    <w:p>
      <w:pPr>
        <w:spacing w:after="160"/>
        <w:jc w:val="left"/>
      </w:pPr>
      <w:r>
        <w:rPr>
          <w:rFonts w:ascii="Arial" w:cs="Arial" w:eastAsia="Arial" w:hAnsi="Arial"/>
          <w:b/>
          <w:bCs/>
          <w:color w:val="374151"/>
          <w:sz w:val="22"/>
          <w:szCs w:val="22"/>
        </w:rPr>
        <w:t xml:space="preserve">Headline: </w:t>
      </w:r>
      <w:r>
        <w:rPr>
          <w:rFonts w:ascii="Arial" w:cs="Arial" w:eastAsia="Arial" w:hAnsi="Arial"/>
          <w:color w:val="374151"/>
          <w:sz w:val="22"/>
          <w:szCs w:val="22"/>
        </w:rPr>
        <w:t xml:space="preserve">“AI builds your unit in minutes, not hours.”</w:t>
      </w:r>
    </w:p>
    <w:p>
      <w:pPr>
        <w:pStyle w:val="ListParagraph"/>
        <w:numPr>
          <w:ilvl w:val="0"/>
          <w:numId w:val="2"/>
        </w:numPr>
        <w:spacing w:after="80"/>
      </w:pPr>
      <w:r>
        <w:rPr>
          <w:rFonts w:ascii="Arial" w:cs="Arial" w:eastAsia="Arial" w:hAnsi="Arial"/>
          <w:color w:val="374151"/>
          <w:sz w:val="22"/>
          <w:szCs w:val="22"/>
        </w:rPr>
        <w:t xml:space="preserve">Show the 3-lane wizard (Express / Guided / Architect) with type selector (Design, Service, PP, Inquiry)</w:t>
      </w:r>
    </w:p>
    <w:p>
      <w:pPr>
        <w:pStyle w:val="ListParagraph"/>
        <w:numPr>
          <w:ilvl w:val="0"/>
          <w:numId w:val="2"/>
        </w:numPr>
        <w:spacing w:after="80"/>
      </w:pPr>
      <w:r>
        <w:rPr>
          <w:rFonts w:ascii="Arial" w:cs="Arial" w:eastAsia="Arial" w:hAnsi="Arial"/>
          <w:color w:val="374151"/>
          <w:sz w:val="22"/>
          <w:szCs w:val="22"/>
        </w:rPr>
        <w:t xml:space="preserve">Emphasise: Workshop Model phases auto-generated, ELL scaffolding included, lesson timing research-backed</w:t>
      </w:r>
    </w:p>
    <w:p>
      <w:pPr>
        <w:pStyle w:val="ListParagraph"/>
        <w:numPr>
          <w:ilvl w:val="0"/>
          <w:numId w:val="2"/>
        </w:numPr>
        <w:spacing w:after="80"/>
      </w:pPr>
      <w:r>
        <w:rPr>
          <w:rFonts w:ascii="Arial" w:cs="Arial" w:eastAsia="Arial" w:hAnsi="Arial"/>
          <w:color w:val="374151"/>
          <w:sz w:val="22"/>
          <w:szCs w:val="22"/>
        </w:rPr>
        <w:t xml:space="preserve">Key message: “Plan for any project-based subject — Design, service learning, capstone projects, exhibitions, or your own inquiry units.”</w:t>
      </w:r>
    </w:p>
    <w:p>
      <w:pPr>
        <w:pStyle w:val="ListParagraph"/>
        <w:numPr>
          <w:ilvl w:val="0"/>
          <w:numId w:val="2"/>
        </w:numPr>
        <w:spacing w:after="80"/>
      </w:pPr>
      <w:r>
        <w:rPr>
          <w:rFonts w:ascii="Arial" w:cs="Arial" w:eastAsia="Arial" w:hAnsi="Arial"/>
          <w:color w:val="374151"/>
          <w:sz w:val="22"/>
          <w:szCs w:val="22"/>
        </w:rPr>
        <w:t xml:space="preserve">Visual: MockUnitBuilder component showing the wizard with unit type cards</w:t>
      </w:r>
    </w:p>
    <w:p>
      <w:pPr>
        <w:spacing w:after="60"/>
      </w:pPr>
    </w:p>
    <w:p>
      <w:pPr>
        <w:pStyle w:val="Heading3"/>
        <w:spacing w:after="160" w:before="240"/>
      </w:pPr>
      <w:r>
        <w:rPr>
          <w:rFonts w:ascii="Arial" w:cs="Arial" w:eastAsia="Arial" w:hAnsi="Arial"/>
          <w:b/>
          <w:bCs/>
          <w:color w:val="111827"/>
          <w:sz w:val="24"/>
          <w:szCs w:val="24"/>
        </w:rPr>
        <w:t xml:space="preserve">Phase 2: Teach</w:t>
      </w:r>
    </w:p>
    <w:p>
      <w:pPr>
        <w:spacing w:after="160"/>
        <w:jc w:val="left"/>
      </w:pPr>
      <w:r>
        <w:rPr>
          <w:rFonts w:ascii="Arial" w:cs="Arial" w:eastAsia="Arial" w:hAnsi="Arial"/>
          <w:b/>
          <w:bCs/>
          <w:color w:val="374151"/>
          <w:sz w:val="22"/>
          <w:szCs w:val="22"/>
        </w:rPr>
        <w:t xml:space="preserve">Headline: </w:t>
      </w:r>
      <w:r>
        <w:rPr>
          <w:rFonts w:ascii="Arial" w:cs="Arial" w:eastAsia="Arial" w:hAnsi="Arial"/>
          <w:color w:val="374151"/>
          <w:sz w:val="22"/>
          <w:szCs w:val="22"/>
        </w:rPr>
        <w:t xml:space="preserve">“Teach with a live dashboard, not a stack of printouts.”</w:t>
      </w:r>
    </w:p>
    <w:p>
      <w:pPr>
        <w:pStyle w:val="ListParagraph"/>
        <w:numPr>
          <w:ilvl w:val="0"/>
          <w:numId w:val="2"/>
        </w:numPr>
        <w:spacing w:after="80"/>
      </w:pPr>
      <w:r>
        <w:rPr>
          <w:rFonts w:ascii="Arial" w:cs="Arial" w:eastAsia="Arial" w:hAnsi="Arial"/>
          <w:color w:val="374151"/>
          <w:sz w:val="22"/>
          <w:szCs w:val="22"/>
        </w:rPr>
        <w:t xml:space="preserve">Teaching Mode: 3-column cockpit with phase timer, live student grid, projector view</w:t>
      </w:r>
    </w:p>
    <w:p>
      <w:pPr>
        <w:pStyle w:val="ListParagraph"/>
        <w:numPr>
          <w:ilvl w:val="0"/>
          <w:numId w:val="2"/>
        </w:numPr>
        <w:spacing w:after="80"/>
      </w:pPr>
      <w:r>
        <w:rPr>
          <w:rFonts w:ascii="Arial" w:cs="Arial" w:eastAsia="Arial" w:hAnsi="Arial"/>
          <w:color w:val="374151"/>
          <w:sz w:val="22"/>
          <w:szCs w:val="22"/>
        </w:rPr>
        <w:t xml:space="preserve">Workshop Model enforced: Opening → Mini-Lesson → Work Time → Debrief</w:t>
      </w:r>
    </w:p>
    <w:p>
      <w:pPr>
        <w:pStyle w:val="ListParagraph"/>
        <w:numPr>
          <w:ilvl w:val="0"/>
          <w:numId w:val="2"/>
        </w:numPr>
        <w:spacing w:after="80"/>
      </w:pPr>
      <w:r>
        <w:rPr>
          <w:rFonts w:ascii="Arial" w:cs="Arial" w:eastAsia="Arial" w:hAnsi="Arial"/>
          <w:color w:val="374151"/>
          <w:sz w:val="22"/>
          <w:szCs w:val="22"/>
        </w:rPr>
        <w:t xml:space="preserve">Key message: “See who’s stuck, who’s flying, and who needs help — in real time.”</w:t>
      </w:r>
    </w:p>
    <w:p>
      <w:pPr>
        <w:pStyle w:val="ListParagraph"/>
        <w:numPr>
          <w:ilvl w:val="0"/>
          <w:numId w:val="2"/>
        </w:numPr>
        <w:spacing w:after="80"/>
      </w:pPr>
      <w:r>
        <w:rPr>
          <w:rFonts w:ascii="Arial" w:cs="Arial" w:eastAsia="Arial" w:hAnsi="Arial"/>
          <w:color w:val="374151"/>
          <w:sz w:val="22"/>
          <w:szCs w:val="22"/>
        </w:rPr>
        <w:t xml:space="preserve">Visual: MockTeachingDashboard (already built, reuse)</w:t>
      </w:r>
    </w:p>
    <w:p>
      <w:pPr>
        <w:spacing w:after="60"/>
      </w:pPr>
    </w:p>
    <w:p>
      <w:pPr>
        <w:pStyle w:val="Heading3"/>
        <w:spacing w:after="160" w:before="240"/>
      </w:pPr>
      <w:r>
        <w:rPr>
          <w:rFonts w:ascii="Arial" w:cs="Arial" w:eastAsia="Arial" w:hAnsi="Arial"/>
          <w:b/>
          <w:bCs/>
          <w:color w:val="111827"/>
          <w:sz w:val="24"/>
          <w:szCs w:val="24"/>
        </w:rPr>
        <w:t xml:space="preserve">Phase 3: Students Work (Agency Section)</w:t>
      </w:r>
    </w:p>
    <w:p>
      <w:pPr>
        <w:spacing w:after="160"/>
        <w:jc w:val="left"/>
      </w:pPr>
      <w:r>
        <w:rPr>
          <w:rFonts w:ascii="Arial" w:cs="Arial" w:eastAsia="Arial" w:hAnsi="Arial"/>
          <w:b/>
          <w:bCs/>
          <w:color w:val="374151"/>
          <w:sz w:val="22"/>
          <w:szCs w:val="22"/>
        </w:rPr>
        <w:t xml:space="preserve">Headline: </w:t>
      </w:r>
      <w:r>
        <w:rPr>
          <w:rFonts w:ascii="Arial" w:cs="Arial" w:eastAsia="Arial" w:hAnsi="Arial"/>
          <w:color w:val="374151"/>
          <w:sz w:val="22"/>
          <w:szCs w:val="22"/>
        </w:rPr>
        <w:t xml:space="preserve">“Students don’t just follow instructions. They own their learning.”</w:t>
      </w:r>
    </w:p>
    <w:p>
      <w:pPr>
        <w:spacing w:after="160"/>
        <w:jc w:val="left"/>
      </w:pPr>
      <w:r>
        <w:rPr>
          <w:rFonts w:ascii="Arial" w:cs="Arial" w:eastAsia="Arial" w:hAnsi="Arial"/>
          <w:i/>
          <w:iCs/>
          <w:color w:val="374151"/>
          <w:sz w:val="22"/>
          <w:szCs w:val="22"/>
        </w:rPr>
        <w:t xml:space="preserve">This is the emotional centrepiece of the page. </w:t>
      </w:r>
      <w:r>
        <w:rPr>
          <w:rFonts w:ascii="Arial" w:cs="Arial" w:eastAsia="Arial" w:hAnsi="Arial"/>
          <w:color w:val="374151"/>
          <w:sz w:val="22"/>
          <w:szCs w:val="22"/>
        </w:rPr>
        <w:t xml:space="preserve">This is where a teacher goes from “useful tool” to “I need this.” It’s also the section that distinguishes StudioLoom from ManageBac (admin tooling students tolerate) and Khanmigo (a chatbot bolted onto content).</w:t>
      </w:r>
    </w:p>
    <w:p>
      <w:pPr>
        <w:spacing w:after="20"/>
      </w:pPr>
    </w:p>
    <w:p>
      <w:pPr>
        <w:pStyle w:val="ListParagraph"/>
        <w:numPr>
          <w:ilvl w:val="0"/>
          <w:numId w:val="2"/>
        </w:numPr>
        <w:spacing w:after="80"/>
      </w:pPr>
      <w:r>
        <w:rPr>
          <w:rFonts w:ascii="Arial" w:cs="Arial" w:eastAsia="Arial" w:hAnsi="Arial"/>
          <w:color w:val="374151"/>
          <w:sz w:val="22"/>
          <w:szCs w:val="22"/>
        </w:rPr>
        <w:t xml:space="preserve">AI Mentor: scaffolds without over-helping (effort-gated, Socratic, 300-token cap)</w:t>
      </w:r>
    </w:p>
    <w:p>
      <w:pPr>
        <w:pStyle w:val="ListParagraph"/>
        <w:numPr>
          <w:ilvl w:val="0"/>
          <w:numId w:val="2"/>
        </w:numPr>
        <w:spacing w:after="80"/>
      </w:pPr>
      <w:r>
        <w:rPr>
          <w:rFonts w:ascii="Arial" w:cs="Arial" w:eastAsia="Arial" w:hAnsi="Arial"/>
          <w:color w:val="374151"/>
          <w:sz w:val="22"/>
          <w:szCs w:val="22"/>
        </w:rPr>
        <w:t xml:space="preserve">Own Pace: students move through pages independently, project management tools built in</w:t>
      </w:r>
    </w:p>
    <w:p>
      <w:pPr>
        <w:pStyle w:val="ListParagraph"/>
        <w:numPr>
          <w:ilvl w:val="0"/>
          <w:numId w:val="2"/>
        </w:numPr>
        <w:spacing w:after="80"/>
      </w:pPr>
      <w:r>
        <w:rPr>
          <w:rFonts w:ascii="Arial" w:cs="Arial" w:eastAsia="Arial" w:hAnsi="Arial"/>
          <w:color w:val="374151"/>
          <w:sz w:val="22"/>
          <w:szCs w:val="22"/>
        </w:rPr>
        <w:t xml:space="preserve">Discovery Engine: 8 interactive stations help students find their own project (Service/PP/PYP)</w:t>
      </w:r>
    </w:p>
    <w:p>
      <w:pPr>
        <w:pStyle w:val="ListParagraph"/>
        <w:numPr>
          <w:ilvl w:val="0"/>
          <w:numId w:val="2"/>
        </w:numPr>
        <w:spacing w:after="80"/>
      </w:pPr>
      <w:r>
        <w:rPr>
          <w:rFonts w:ascii="Arial" w:cs="Arial" w:eastAsia="Arial" w:hAnsi="Arial"/>
          <w:color w:val="374151"/>
          <w:sz w:val="22"/>
          <w:szCs w:val="22"/>
        </w:rPr>
        <w:t xml:space="preserve">Open Studio: students earn independence, work on self-directed projects with drift detection</w:t>
      </w:r>
    </w:p>
    <w:p>
      <w:pPr>
        <w:pStyle w:val="ListParagraph"/>
        <w:numPr>
          <w:ilvl w:val="0"/>
          <w:numId w:val="2"/>
        </w:numPr>
        <w:spacing w:after="80"/>
      </w:pPr>
      <w:r>
        <w:rPr>
          <w:rFonts w:ascii="Arial" w:cs="Arial" w:eastAsia="Arial" w:hAnsi="Arial"/>
          <w:color w:val="374151"/>
          <w:sz w:val="22"/>
          <w:szCs w:val="22"/>
        </w:rPr>
        <w:t xml:space="preserve">42 built-in thinking tools: available inside lessons as embedded activities, no context switching</w:t>
      </w:r>
    </w:p>
    <w:p>
      <w:pPr>
        <w:pStyle w:val="ListParagraph"/>
        <w:numPr>
          <w:ilvl w:val="0"/>
          <w:numId w:val="2"/>
        </w:numPr>
        <w:spacing w:after="80"/>
      </w:pPr>
      <w:r>
        <w:rPr>
          <w:rFonts w:ascii="Arial" w:cs="Arial" w:eastAsia="Arial" w:hAnsi="Arial"/>
          <w:color w:val="374151"/>
          <w:sz w:val="22"/>
          <w:szCs w:val="22"/>
        </w:rPr>
        <w:t xml:space="preserve">Automatic data capture: writing behaviour, time on task, attempt history — zero teacher effort</w:t>
      </w:r>
    </w:p>
    <w:p>
      <w:pPr>
        <w:pStyle w:val="ListParagraph"/>
        <w:numPr>
          <w:ilvl w:val="0"/>
          <w:numId w:val="2"/>
        </w:numPr>
        <w:spacing w:after="80"/>
      </w:pPr>
      <w:r>
        <w:rPr>
          <w:rFonts w:ascii="Arial" w:cs="Arial" w:eastAsia="Arial" w:hAnsi="Arial"/>
          <w:color w:val="374151"/>
          <w:sz w:val="22"/>
          <w:szCs w:val="22"/>
        </w:rPr>
        <w:t xml:space="preserve">Key message: “Every student gets an AI mentor that knows when to push and when to step back. They work at their own pace. They discover their own projects. They build a real portfolio.”</w:t>
      </w:r>
    </w:p>
    <w:p>
      <w:pPr>
        <w:spacing w:after="60"/>
      </w:pPr>
    </w:p>
    <w:p>
      <w:pPr>
        <w:pStyle w:val="Heading3"/>
        <w:spacing w:after="160" w:before="240"/>
      </w:pPr>
      <w:r>
        <w:rPr>
          <w:rFonts w:ascii="Arial" w:cs="Arial" w:eastAsia="Arial" w:hAnsi="Arial"/>
          <w:b/>
          <w:bCs/>
          <w:color w:val="111827"/>
          <w:sz w:val="24"/>
          <w:szCs w:val="24"/>
        </w:rPr>
        <w:t xml:space="preserve">Phase 4: See Everything</w:t>
      </w:r>
    </w:p>
    <w:p>
      <w:pPr>
        <w:spacing w:after="160"/>
        <w:jc w:val="left"/>
      </w:pPr>
      <w:r>
        <w:rPr>
          <w:rFonts w:ascii="Arial" w:cs="Arial" w:eastAsia="Arial" w:hAnsi="Arial"/>
          <w:b/>
          <w:bCs/>
          <w:color w:val="374151"/>
          <w:sz w:val="22"/>
          <w:szCs w:val="22"/>
        </w:rPr>
        <w:t xml:space="preserve">Headline: </w:t>
      </w:r>
      <w:r>
        <w:rPr>
          <w:rFonts w:ascii="Arial" w:cs="Arial" w:eastAsia="Arial" w:hAnsi="Arial"/>
          <w:color w:val="374151"/>
          <w:sz w:val="22"/>
          <w:szCs w:val="22"/>
        </w:rPr>
        <w:t xml:space="preserve">“The data collects itself.”</w:t>
      </w:r>
    </w:p>
    <w:p>
      <w:pPr>
        <w:pStyle w:val="ListParagraph"/>
        <w:numPr>
          <w:ilvl w:val="0"/>
          <w:numId w:val="2"/>
        </w:numPr>
        <w:spacing w:after="80"/>
      </w:pPr>
      <w:r>
        <w:rPr>
          <w:rFonts w:ascii="Arial" w:cs="Arial" w:eastAsia="Arial" w:hAnsi="Arial"/>
          <w:color w:val="374151"/>
          <w:sz w:val="22"/>
          <w:szCs w:val="22"/>
        </w:rPr>
        <w:t xml:space="preserve">Integrity monitoring: writing behaviour captured silently (paste detection, typing speed, focus loss)</w:t>
      </w:r>
    </w:p>
    <w:p>
      <w:pPr>
        <w:pStyle w:val="ListParagraph"/>
        <w:numPr>
          <w:ilvl w:val="0"/>
          <w:numId w:val="2"/>
        </w:numPr>
        <w:spacing w:after="80"/>
      </w:pPr>
      <w:r>
        <w:rPr>
          <w:rFonts w:ascii="Arial" w:cs="Arial" w:eastAsia="Arial" w:hAnsi="Arial"/>
          <w:color w:val="374151"/>
          <w:sz w:val="22"/>
          <w:szCs w:val="22"/>
        </w:rPr>
        <w:t xml:space="preserve">Activity tracking: time spent, attempts, effort signals — per activity, per student</w:t>
      </w:r>
    </w:p>
    <w:p>
      <w:pPr>
        <w:pStyle w:val="ListParagraph"/>
        <w:numPr>
          <w:ilvl w:val="0"/>
          <w:numId w:val="2"/>
        </w:numPr>
        <w:spacing w:after="80"/>
      </w:pPr>
      <w:r>
        <w:rPr>
          <w:rFonts w:ascii="Arial" w:cs="Arial" w:eastAsia="Arial" w:hAnsi="Arial"/>
          <w:color w:val="374151"/>
          <w:sz w:val="22"/>
          <w:szCs w:val="22"/>
        </w:rPr>
        <w:t xml:space="preserve">Pace feedback: students tap one emoji after each lesson, feeds timing model</w:t>
      </w:r>
    </w:p>
    <w:p>
      <w:pPr>
        <w:pStyle w:val="ListParagraph"/>
        <w:numPr>
          <w:ilvl w:val="0"/>
          <w:numId w:val="2"/>
        </w:numPr>
        <w:spacing w:after="80"/>
      </w:pPr>
      <w:r>
        <w:rPr>
          <w:rFonts w:ascii="Arial" w:cs="Arial" w:eastAsia="Arial" w:hAnsi="Arial"/>
          <w:color w:val="374151"/>
          <w:sz w:val="22"/>
          <w:szCs w:val="22"/>
        </w:rPr>
        <w:t xml:space="preserve">Smart Insights: teacher dashboard surfaces “stuck students”, “stale unmarked work”, integrity flags</w:t>
      </w:r>
    </w:p>
    <w:p>
      <w:pPr>
        <w:pStyle w:val="ListParagraph"/>
        <w:numPr>
          <w:ilvl w:val="0"/>
          <w:numId w:val="2"/>
        </w:numPr>
        <w:spacing w:after="80"/>
      </w:pPr>
      <w:r>
        <w:rPr>
          <w:rFonts w:ascii="Arial" w:cs="Arial" w:eastAsia="Arial" w:hAnsi="Arial"/>
          <w:color w:val="374151"/>
          <w:sz w:val="22"/>
          <w:szCs w:val="22"/>
        </w:rPr>
        <w:t xml:space="preserve">Melbourne Metrics: competency self-assessment + teacher observation (pop art visual identity)</w:t>
      </w:r>
    </w:p>
    <w:p>
      <w:pPr>
        <w:pStyle w:val="ListParagraph"/>
        <w:numPr>
          <w:ilvl w:val="0"/>
          <w:numId w:val="2"/>
        </w:numPr>
        <w:spacing w:after="80"/>
      </w:pPr>
      <w:r>
        <w:rPr>
          <w:rFonts w:ascii="Arial" w:cs="Arial" w:eastAsia="Arial" w:hAnsi="Arial"/>
          <w:color w:val="374151"/>
          <w:sz w:val="22"/>
          <w:szCs w:val="22"/>
        </w:rPr>
        <w:t xml:space="preserve">Key message: “No spreadsheets. No manual data entry. The platform watches so you don’t have to.”</w:t>
      </w:r>
    </w:p>
    <w:p>
      <w:pPr>
        <w:spacing w:after="60"/>
      </w:pPr>
    </w:p>
    <w:p>
      <w:pPr>
        <w:pStyle w:val="Heading3"/>
        <w:spacing w:after="160" w:before="240"/>
      </w:pPr>
      <w:r>
        <w:rPr>
          <w:rFonts w:ascii="Arial" w:cs="Arial" w:eastAsia="Arial" w:hAnsi="Arial"/>
          <w:b/>
          <w:bCs/>
          <w:color w:val="111827"/>
          <w:sz w:val="24"/>
          <w:szCs w:val="24"/>
        </w:rPr>
        <w:t xml:space="preserve">Phase 5: Assess &amp; Showcase</w:t>
      </w:r>
    </w:p>
    <w:p>
      <w:pPr>
        <w:spacing w:after="160"/>
        <w:jc w:val="left"/>
      </w:pPr>
      <w:r>
        <w:rPr>
          <w:rFonts w:ascii="Arial" w:cs="Arial" w:eastAsia="Arial" w:hAnsi="Arial"/>
          <w:b/>
          <w:bCs/>
          <w:color w:val="374151"/>
          <w:sz w:val="22"/>
          <w:szCs w:val="22"/>
        </w:rPr>
        <w:t xml:space="preserve">Headline: </w:t>
      </w:r>
      <w:r>
        <w:rPr>
          <w:rFonts w:ascii="Arial" w:cs="Arial" w:eastAsia="Arial" w:hAnsi="Arial"/>
          <w:color w:val="374151"/>
          <w:sz w:val="22"/>
          <w:szCs w:val="22"/>
        </w:rPr>
        <w:t xml:space="preserve">“From grading to gallery — the evidence is already there.”</w:t>
      </w:r>
    </w:p>
    <w:p>
      <w:pPr>
        <w:pStyle w:val="ListParagraph"/>
        <w:numPr>
          <w:ilvl w:val="0"/>
          <w:numId w:val="2"/>
        </w:numPr>
        <w:spacing w:after="80"/>
      </w:pPr>
      <w:r>
        <w:rPr>
          <w:rFonts w:ascii="Arial" w:cs="Arial" w:eastAsia="Arial" w:hAnsi="Arial"/>
          <w:color w:val="374151"/>
          <w:sz w:val="22"/>
          <w:szCs w:val="22"/>
        </w:rPr>
        <w:t xml:space="preserve">Grading: criterion-based (any framework), evidence panel shows student work + integrity report</w:t>
      </w:r>
    </w:p>
    <w:p>
      <w:pPr>
        <w:pStyle w:val="ListParagraph"/>
        <w:numPr>
          <w:ilvl w:val="0"/>
          <w:numId w:val="2"/>
        </w:numPr>
        <w:spacing w:after="80"/>
      </w:pPr>
      <w:r>
        <w:rPr>
          <w:rFonts w:ascii="Arial" w:cs="Arial" w:eastAsia="Arial" w:hAnsi="Arial"/>
          <w:color w:val="374151"/>
          <w:sz w:val="22"/>
          <w:szCs w:val="22"/>
        </w:rPr>
        <w:t xml:space="preserve">Portfolio: auto-captures responses, reflections, toolkit outputs into timeline view</w:t>
      </w:r>
    </w:p>
    <w:p>
      <w:pPr>
        <w:pStyle w:val="ListParagraph"/>
        <w:numPr>
          <w:ilvl w:val="0"/>
          <w:numId w:val="2"/>
        </w:numPr>
        <w:spacing w:after="80"/>
      </w:pPr>
      <w:r>
        <w:rPr>
          <w:rFonts w:ascii="Arial" w:cs="Arial" w:eastAsia="Arial" w:hAnsi="Arial"/>
          <w:color w:val="374151"/>
          <w:sz w:val="22"/>
          <w:szCs w:val="22"/>
        </w:rPr>
        <w:t xml:space="preserve">Gallery: teacher-created peer review rounds with structured formats (PMI, Two Stars &amp; a Wish)</w:t>
      </w:r>
    </w:p>
    <w:p>
      <w:pPr>
        <w:pStyle w:val="ListParagraph"/>
        <w:numPr>
          <w:ilvl w:val="0"/>
          <w:numId w:val="2"/>
        </w:numPr>
        <w:spacing w:after="80"/>
      </w:pPr>
      <w:r>
        <w:rPr>
          <w:rFonts w:ascii="Arial" w:cs="Arial" w:eastAsia="Arial" w:hAnsi="Arial"/>
          <w:color w:val="374151"/>
          <w:sz w:val="22"/>
          <w:szCs w:val="22"/>
        </w:rPr>
        <w:t xml:space="preserve">Key message: “Grade with the evidence the platform already collected. Students showcase through peer review, not just submission.”</w:t>
      </w:r>
    </w:p>
    <w:p>
      <w:r>
        <w:br w:type="page"/>
      </w:r>
    </w:p>
    <w:p>
      <w:pPr>
        <w:pStyle w:val="Heading1"/>
        <w:spacing w:after="160" w:before="360"/>
      </w:pPr>
      <w:r>
        <w:rPr>
          <w:rFonts w:ascii="Arial" w:cs="Arial" w:eastAsia="Arial" w:hAnsi="Arial"/>
          <w:b/>
          <w:bCs/>
          <w:color w:val="6B21A8"/>
          <w:sz w:val="36"/>
          <w:szCs w:val="36"/>
        </w:rPr>
        <w:t xml:space="preserve">5. The LMS-Replacement Narrative</w:t>
      </w:r>
    </w:p>
    <w:p>
      <w:pPr>
        <w:spacing w:after="160"/>
        <w:jc w:val="left"/>
      </w:pPr>
      <w:r>
        <w:rPr>
          <w:rFonts w:ascii="Arial" w:cs="Arial" w:eastAsia="Arial" w:hAnsi="Arial"/>
          <w:b w:val="false"/>
          <w:bCs w:val="false"/>
          <w:i w:val="false"/>
          <w:iCs w:val="false"/>
          <w:color w:val="374151"/>
          <w:sz w:val="22"/>
          <w:szCs w:val="22"/>
        </w:rPr>
        <w:t xml:space="preserve">StudioLoom shouldn’t explicitly say “replace ManageBac.” But the page structure should make the comparison obvious. Here’s the implicit narrative:</w:t>
      </w:r>
    </w:p>
    <w:p>
      <w:pPr>
        <w:spacing w:after="40"/>
      </w:pPr>
    </w:p>
    <w:p>
      <w:pPr>
        <w:pStyle w:val="Heading2"/>
        <w:spacing w:after="160" w:before="240"/>
      </w:pPr>
      <w:r>
        <w:rPr>
          <w:rFonts w:ascii="Arial" w:cs="Arial" w:eastAsia="Arial" w:hAnsi="Arial"/>
          <w:b/>
          <w:bCs/>
          <w:color w:val="111827"/>
          <w:sz w:val="28"/>
          <w:szCs w:val="28"/>
        </w:rPr>
        <w:t xml:space="preserve">5.1 What Teachers Currently Juggle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6B21A8" w:val="clear"/>
            <w:tcMar>
              <w:top w:type="dxa" w:w="100"/>
              <w:left w:type="dxa" w:w="140"/>
              <w:bottom w:type="dxa" w:w="100"/>
              <w:right w:type="dxa" w:w="140"/>
            </w:tcMar>
          </w:tcPr>
          <w:p>
            <w:r>
              <w:rPr>
                <w:rFonts w:ascii="Arial" w:cs="Arial" w:eastAsia="Arial" w:hAnsi="Arial"/>
                <w:b/>
                <w:bCs/>
                <w:color w:val="FFFFFF"/>
                <w:sz w:val="20"/>
                <w:szCs w:val="20"/>
              </w:rPr>
              <w:t xml:space="preserve">Platform</w:t>
            </w:r>
          </w:p>
        </w:tc>
        <w:tc>
          <w:tcPr>
            <w:tcW w:type="dxa" w:w="3120"/>
            <w:tcBorders>
              <w:top w:val="single" w:color="E5E7EB" w:sz="1"/>
              <w:left w:val="single" w:color="E5E7EB" w:sz="1"/>
              <w:bottom w:val="single" w:color="E5E7EB" w:sz="1"/>
              <w:right w:val="single" w:color="E5E7EB" w:sz="1"/>
            </w:tcBorders>
            <w:shd w:fill="6B21A8"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c>
          <w:tcPr>
            <w:tcW w:type="dxa" w:w="3120"/>
            <w:tcBorders>
              <w:top w:val="single" w:color="E5E7EB" w:sz="1"/>
              <w:left w:val="single" w:color="E5E7EB" w:sz="1"/>
              <w:bottom w:val="single" w:color="E5E7EB" w:sz="1"/>
              <w:right w:val="single" w:color="E5E7EB" w:sz="1"/>
            </w:tcBorders>
            <w:shd w:fill="6B21A8" w:val="clear"/>
            <w:tcMar>
              <w:top w:type="dxa" w:w="100"/>
              <w:left w:type="dxa" w:w="140"/>
              <w:bottom w:type="dxa" w:w="100"/>
              <w:right w:type="dxa" w:w="140"/>
            </w:tcMar>
          </w:tcPr>
          <w:p>
            <w:r>
              <w:rPr>
                <w:rFonts w:ascii="Arial" w:cs="Arial" w:eastAsia="Arial" w:hAnsi="Arial"/>
                <w:b/>
                <w:bCs/>
                <w:color w:val="FFFFFF"/>
                <w:sz w:val="20"/>
                <w:szCs w:val="20"/>
              </w:rPr>
              <w:t xml:space="preserve">What’s missing</w:t>
            </w:r>
          </w:p>
        </w:tc>
      </w:tr>
      <w:tr>
        <w:tc>
          <w:tcPr>
            <w:tcW w:type="dxa" w:w="312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ManageBac</w:t>
            </w:r>
          </w:p>
        </w:tc>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Unit planning, reporting, calendar</w:t>
            </w:r>
          </w:p>
        </w:tc>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Live teaching, student agency, AI, built-in tools</w:t>
            </w:r>
          </w:p>
        </w:tc>
      </w:tr>
      <w:tr>
        <w:tc>
          <w:tcPr>
            <w:tcW w:type="dxa" w:w="312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Google Classroom</w:t>
            </w:r>
          </w:p>
        </w:tc>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Assignment distribution, collection</w:t>
            </w:r>
          </w:p>
        </w:tc>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Unit structure, thinking tools, live monitoring</w:t>
            </w:r>
          </w:p>
        </w:tc>
      </w:tr>
      <w:tr>
        <w:tc>
          <w:tcPr>
            <w:tcW w:type="dxa" w:w="312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Khanmigo / ChatGPT</w:t>
            </w:r>
          </w:p>
        </w:tc>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Generic AI tutoring</w:t>
            </w:r>
          </w:p>
        </w:tc>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Pedagogical AI, effort-gating, per-step rules, portfolio</w:t>
            </w:r>
          </w:p>
        </w:tc>
      </w:tr>
      <w:tr>
        <w:tc>
          <w:tcPr>
            <w:tcW w:type="dxa" w:w="312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r>
              <w:rPr>
                <w:rFonts w:ascii="Arial" w:cs="Arial" w:eastAsia="Arial" w:hAnsi="Arial"/>
                <w:b/>
                <w:bCs/>
                <w:color w:val="111827"/>
                <w:sz w:val="20"/>
                <w:szCs w:val="20"/>
              </w:rPr>
              <w:t xml:space="preserve">Standalone toolkit</w:t>
            </w:r>
          </w:p>
        </w:tc>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Individual thinking tools</w:t>
            </w:r>
          </w:p>
        </w:tc>
        <w:tc>
          <w:tcPr>
            <w:tcW w:type="dxa" w:w="312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11827"/>
                <w:sz w:val="20"/>
                <w:szCs w:val="20"/>
              </w:rPr>
              <w:t xml:space="preserve">Lesson integration, persistence, automatic data capture</w:t>
            </w:r>
          </w:p>
        </w:tc>
      </w:tr>
    </w:tbl>
    <w:p>
      <w:pPr>
        <w:spacing w:after="80"/>
      </w:pPr>
    </w:p>
    <w:p>
      <w:pPr>
        <w:pStyle w:val="Heading2"/>
        <w:spacing w:after="160" w:before="240"/>
      </w:pPr>
      <w:r>
        <w:rPr>
          <w:rFonts w:ascii="Arial" w:cs="Arial" w:eastAsia="Arial" w:hAnsi="Arial"/>
          <w:b/>
          <w:bCs/>
          <w:color w:val="111827"/>
          <w:sz w:val="28"/>
          <w:szCs w:val="28"/>
        </w:rPr>
        <w:t xml:space="preserve">5.2 The “One Platform” Message</w:t>
      </w:r>
    </w:p>
    <w:p>
      <w:pPr>
        <w:spacing w:after="160"/>
        <w:jc w:val="left"/>
      </w:pPr>
      <w:r>
        <w:rPr>
          <w:rFonts w:ascii="Arial" w:cs="Arial" w:eastAsia="Arial" w:hAnsi="Arial"/>
          <w:b w:val="false"/>
          <w:bCs w:val="false"/>
          <w:i w:val="false"/>
          <w:iCs w:val="false"/>
          <w:color w:val="374151"/>
          <w:sz w:val="22"/>
          <w:szCs w:val="22"/>
        </w:rPr>
        <w:t xml:space="preserve">Somewhere on the page (likely a compact strip between the journey sections and the CTA), a single line: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left w:val="none"/>
              <w:bottom w:val="none"/>
              <w:right w:val="none"/>
            </w:tcBorders>
            <w:shd w:fill="6B21A8" w:val="clear"/>
          </w:tcPr>
          <w:p>
            <w:r>
              <w:t xml:space="preserve"/>
            </w:r>
          </w:p>
        </w:tc>
        <w:tc>
          <w:tcPr>
            <w:tcW w:type="dxa" w:w="9240"/>
            <w:tcBorders>
              <w:top w:val="none"/>
              <w:left w:val="none"/>
              <w:bottom w:val="none"/>
              <w:right w:val="none"/>
            </w:tcBorders>
            <w:shd w:fill="F3E8FF" w:val="clear"/>
            <w:tcMar>
              <w:top w:type="dxa" w:w="160"/>
              <w:left w:type="dxa" w:w="200"/>
              <w:bottom w:type="dxa" w:w="160"/>
              <w:right w:type="dxa" w:w="200"/>
            </w:tcMar>
          </w:tcPr>
          <w:p>
            <w:pPr>
              <w:spacing w:after="80"/>
            </w:pPr>
            <w:r>
              <w:rPr>
                <w:rFonts w:ascii="Arial" w:cs="Arial" w:eastAsia="Arial" w:hAnsi="Arial"/>
                <w:b/>
                <w:bCs/>
                <w:color w:val="6B21A8"/>
                <w:sz w:val="22"/>
                <w:szCs w:val="22"/>
              </w:rPr>
              <w:t xml:space="preserve">Suggested Copy</w:t>
            </w:r>
          </w:p>
          <w:p>
            <w:r>
              <w:rPr>
                <w:rFonts w:ascii="Arial" w:cs="Arial" w:eastAsia="Arial" w:hAnsi="Arial"/>
                <w:color w:val="374151"/>
                <w:sz w:val="20"/>
                <w:szCs w:val="20"/>
              </w:rPr>
              <w:t xml:space="preserve">Unit planning. Lesson delivery. Live monitoring. Student mentoring. Thinking tools. Data collection. Grading. Portfolio. Peer review.
One platform. Built for how project-based teaching actually works.</w:t>
            </w:r>
          </w:p>
        </w:tc>
      </w:tr>
    </w:tbl>
    <w:p>
      <w:pPr>
        <w:spacing w:after="40"/>
      </w:pPr>
    </w:p>
    <w:p>
      <w:pPr>
        <w:spacing w:after="160"/>
        <w:jc w:val="left"/>
      </w:pPr>
      <w:r>
        <w:rPr>
          <w:rFonts w:ascii="Arial" w:cs="Arial" w:eastAsia="Arial" w:hAnsi="Arial"/>
          <w:b w:val="false"/>
          <w:bCs w:val="false"/>
          <w:i w:val="false"/>
          <w:iCs w:val="false"/>
          <w:color w:val="374151"/>
          <w:sz w:val="22"/>
          <w:szCs w:val="22"/>
        </w:rPr>
        <w:t xml:space="preserve">This is the ManageBac killer line. It doesn’t name any competitor — it just lists everything a project-based teacher currently does across 3-5 separate tools, then says “one platform.” Teachers will fill in the comparison themselves.</w:t>
      </w:r>
    </w:p>
    <w:p>
      <w:r>
        <w:br w:type="page"/>
      </w:r>
    </w:p>
    <w:p>
      <w:pPr>
        <w:pStyle w:val="Heading1"/>
        <w:spacing w:after="160" w:before="360"/>
      </w:pPr>
      <w:r>
        <w:rPr>
          <w:rFonts w:ascii="Arial" w:cs="Arial" w:eastAsia="Arial" w:hAnsi="Arial"/>
          <w:b/>
          <w:bCs/>
          <w:color w:val="6B21A8"/>
          <w:sz w:val="36"/>
          <w:szCs w:val="36"/>
        </w:rPr>
        <w:t xml:space="preserve">6. Language &amp; Tone Guidelines</w:t>
      </w:r>
    </w:p>
    <w:p>
      <w:pPr>
        <w:spacing w:after="40"/>
      </w:pPr>
    </w:p>
    <w:p>
      <w:pPr>
        <w:pStyle w:val="Heading2"/>
        <w:spacing w:after="160" w:before="240"/>
      </w:pPr>
      <w:r>
        <w:rPr>
          <w:rFonts w:ascii="Arial" w:cs="Arial" w:eastAsia="Arial" w:hAnsi="Arial"/>
          <w:b/>
          <w:bCs/>
          <w:color w:val="111827"/>
          <w:sz w:val="28"/>
          <w:szCs w:val="28"/>
        </w:rPr>
        <w:t xml:space="preserve">6.1 Words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5E7EB" w:sz="1"/>
              <w:left w:val="single" w:color="E5E7EB" w:sz="1"/>
              <w:bottom w:val="single" w:color="E5E7EB" w:sz="1"/>
              <w:right w:val="single" w:color="E5E7EB" w:sz="1"/>
            </w:tcBorders>
            <w:shd w:fill="0D9488" w:val="clear"/>
            <w:tcMar>
              <w:top w:type="dxa" w:w="100"/>
              <w:left w:type="dxa" w:w="140"/>
              <w:bottom w:type="dxa" w:w="100"/>
              <w:right w:type="dxa" w:w="140"/>
            </w:tcMar>
          </w:tcPr>
          <w:p>
            <w:r>
              <w:rPr>
                <w:rFonts w:ascii="Arial" w:cs="Arial" w:eastAsia="Arial" w:hAnsi="Arial"/>
                <w:b/>
                <w:bCs/>
                <w:color w:val="FFFFFF"/>
                <w:sz w:val="20"/>
                <w:szCs w:val="20"/>
              </w:rPr>
              <w:t xml:space="preserve">Word / Phrase</w:t>
            </w:r>
          </w:p>
        </w:tc>
        <w:tc>
          <w:tcPr>
            <w:tcW w:type="dxa" w:w="6240"/>
            <w:tcBorders>
              <w:top w:val="single" w:color="E5E7EB" w:sz="1"/>
              <w:left w:val="single" w:color="E5E7EB" w:sz="1"/>
              <w:bottom w:val="single" w:color="E5E7EB" w:sz="1"/>
              <w:right w:val="single" w:color="E5E7EB" w:sz="1"/>
            </w:tcBorders>
            <w:shd w:fill="0D9488" w:val="clear"/>
            <w:tcMar>
              <w:top w:type="dxa" w:w="100"/>
              <w:left w:type="dxa" w:w="140"/>
              <w:bottom w:type="dxa" w:w="100"/>
              <w:right w:type="dxa" w:w="140"/>
            </w:tcMar>
          </w:tcPr>
          <w:p>
            <w:r>
              <w:rPr>
                <w:rFonts w:ascii="Arial" w:cs="Arial" w:eastAsia="Arial" w:hAnsi="Arial"/>
                <w:b/>
                <w:bCs/>
                <w:color w:val="FFFFFF"/>
                <w:sz w:val="20"/>
                <w:szCs w:val="20"/>
              </w:rPr>
              <w:t xml:space="preserve">Why</w:t>
            </w:r>
          </w:p>
        </w:tc>
      </w:tr>
      <w:tr>
        <w:tc>
          <w:tcPr>
            <w:tcW w:type="dxa" w:w="312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bCs/>
                <w:color w:val="111827"/>
                <w:sz w:val="20"/>
                <w:szCs w:val="20"/>
              </w:rPr>
              <w:t xml:space="preserve">Project-based</w:t>
            </w:r>
          </w:p>
        </w:tc>
        <w:tc>
          <w:tcPr>
            <w:tcW w:type="dxa" w:w="624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374151"/>
                <w:sz w:val="20"/>
                <w:szCs w:val="20"/>
              </w:rPr>
              <w:t xml:space="preserve">Universal umbrella — covers Design, Service, PP, PYP, inquiry</w:t>
            </w:r>
          </w:p>
        </w:tc>
      </w:tr>
      <w:tr>
        <w:tc>
          <w:tcPr>
            <w:tcW w:type="dxa" w:w="312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bCs/>
                <w:color w:val="111827"/>
                <w:sz w:val="20"/>
                <w:szCs w:val="20"/>
              </w:rPr>
              <w:t xml:space="preserve">Student agency / ownership</w:t>
            </w:r>
          </w:p>
        </w:tc>
        <w:tc>
          <w:tcPr>
            <w:tcW w:type="dxa" w:w="624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374151"/>
                <w:sz w:val="20"/>
                <w:szCs w:val="20"/>
              </w:rPr>
              <w:t xml:space="preserve">The emotional hook — what teachers aspire to but struggle to achieve</w:t>
            </w:r>
          </w:p>
        </w:tc>
      </w:tr>
      <w:tr>
        <w:tc>
          <w:tcPr>
            <w:tcW w:type="dxa" w:w="312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bCs/>
                <w:color w:val="111827"/>
                <w:sz w:val="20"/>
                <w:szCs w:val="20"/>
              </w:rPr>
              <w:t xml:space="preserve">Circulate / mentor</w:t>
            </w:r>
          </w:p>
        </w:tc>
        <w:tc>
          <w:tcPr>
            <w:tcW w:type="dxa" w:w="624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374151"/>
                <w:sz w:val="20"/>
                <w:szCs w:val="20"/>
              </w:rPr>
              <w:t xml:space="preserve">What teachers want to do instead of presenting and monitoring</w:t>
            </w:r>
          </w:p>
        </w:tc>
      </w:tr>
      <w:tr>
        <w:tc>
          <w:tcPr>
            <w:tcW w:type="dxa" w:w="312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bCs/>
                <w:color w:val="111827"/>
                <w:sz w:val="20"/>
                <w:szCs w:val="20"/>
              </w:rPr>
              <w:t xml:space="preserve">Built-in / embedded</w:t>
            </w:r>
          </w:p>
        </w:tc>
        <w:tc>
          <w:tcPr>
            <w:tcW w:type="dxa" w:w="624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374151"/>
                <w:sz w:val="20"/>
                <w:szCs w:val="20"/>
              </w:rPr>
              <w:t xml:space="preserve">Emphasises integration over collection of tools</w:t>
            </w:r>
          </w:p>
        </w:tc>
      </w:tr>
      <w:tr>
        <w:tc>
          <w:tcPr>
            <w:tcW w:type="dxa" w:w="312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bCs/>
                <w:color w:val="111827"/>
                <w:sz w:val="20"/>
                <w:szCs w:val="20"/>
              </w:rPr>
              <w:t xml:space="preserve">Automatically / already collected</w:t>
            </w:r>
          </w:p>
        </w:tc>
        <w:tc>
          <w:tcPr>
            <w:tcW w:type="dxa" w:w="624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374151"/>
                <w:sz w:val="20"/>
                <w:szCs w:val="20"/>
              </w:rPr>
              <w:t xml:space="preserve">The “zero extra work” promise for data capture</w:t>
            </w:r>
          </w:p>
        </w:tc>
      </w:tr>
      <w:tr>
        <w:tc>
          <w:tcPr>
            <w:tcW w:type="dxa" w:w="312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bCs/>
                <w:color w:val="111827"/>
                <w:sz w:val="20"/>
                <w:szCs w:val="20"/>
              </w:rPr>
              <w:t xml:space="preserve">Scaffolds / guides</w:t>
            </w:r>
          </w:p>
        </w:tc>
        <w:tc>
          <w:tcPr>
            <w:tcW w:type="dxa" w:w="624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374151"/>
                <w:sz w:val="20"/>
                <w:szCs w:val="20"/>
              </w:rPr>
              <w:t xml:space="preserve">How the AI helps without doing the work for students</w:t>
            </w:r>
          </w:p>
        </w:tc>
      </w:tr>
      <w:tr>
        <w:tc>
          <w:tcPr>
            <w:tcW w:type="dxa" w:w="312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bCs/>
                <w:color w:val="111827"/>
                <w:sz w:val="20"/>
                <w:szCs w:val="20"/>
              </w:rPr>
              <w:t xml:space="preserve">Earn independence</w:t>
            </w:r>
          </w:p>
        </w:tc>
        <w:tc>
          <w:tcPr>
            <w:tcW w:type="dxa" w:w="624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374151"/>
                <w:sz w:val="20"/>
                <w:szCs w:val="20"/>
              </w:rPr>
              <w:t xml:space="preserve">Open Studio framing — agency as something students grow into</w:t>
            </w:r>
          </w:p>
        </w:tc>
      </w:tr>
      <w:tr>
        <w:tc>
          <w:tcPr>
            <w:tcW w:type="dxa" w:w="312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bCs/>
                <w:color w:val="111827"/>
                <w:sz w:val="20"/>
                <w:szCs w:val="20"/>
              </w:rPr>
              <w:t xml:space="preserve">One platform / one place</w:t>
            </w:r>
          </w:p>
        </w:tc>
        <w:tc>
          <w:tcPr>
            <w:tcW w:type="dxa" w:w="624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374151"/>
                <w:sz w:val="20"/>
                <w:szCs w:val="20"/>
              </w:rPr>
              <w:t xml:space="preserve">The LMS-replacement signal</w:t>
            </w:r>
          </w:p>
        </w:tc>
      </w:tr>
      <w:tr>
        <w:tc>
          <w:tcPr>
            <w:tcW w:type="dxa" w:w="312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bCs/>
                <w:color w:val="111827"/>
                <w:sz w:val="20"/>
                <w:szCs w:val="20"/>
              </w:rPr>
              <w:t xml:space="preserve">Any framework</w:t>
            </w:r>
          </w:p>
        </w:tc>
        <w:tc>
          <w:tcPr>
            <w:tcW w:type="dxa" w:w="624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374151"/>
                <w:sz w:val="20"/>
                <w:szCs w:val="20"/>
              </w:rPr>
              <w:t xml:space="preserve">Avoids naming a specific curriculum system in headlines</w:t>
            </w:r>
          </w:p>
        </w:tc>
      </w:tr>
    </w:tbl>
    <w:p>
      <w:pPr>
        <w:spacing w:after="80"/>
      </w:pPr>
    </w:p>
    <w:p>
      <w:pPr>
        <w:pStyle w:val="Heading2"/>
        <w:spacing w:after="160" w:before="240"/>
      </w:pPr>
      <w:r>
        <w:rPr>
          <w:rFonts w:ascii="Arial" w:cs="Arial" w:eastAsia="Arial" w:hAnsi="Arial"/>
          <w:b/>
          <w:bCs/>
          <w:color w:val="111827"/>
          <w:sz w:val="28"/>
          <w:szCs w:val="28"/>
        </w:rPr>
        <w:t xml:space="preserve">6.2 Words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5E7EB" w:sz="1"/>
              <w:left w:val="single" w:color="E5E7EB" w:sz="1"/>
              <w:bottom w:val="single" w:color="E5E7EB" w:sz="1"/>
              <w:right w:val="single" w:color="E5E7EB" w:sz="1"/>
            </w:tcBorders>
            <w:shd w:fill="DB2777" w:val="clear"/>
            <w:tcMar>
              <w:top w:type="dxa" w:w="100"/>
              <w:left w:type="dxa" w:w="140"/>
              <w:bottom w:type="dxa" w:w="100"/>
              <w:right w:type="dxa" w:w="140"/>
            </w:tcMar>
          </w:tcPr>
          <w:p>
            <w:r>
              <w:rPr>
                <w:rFonts w:ascii="Arial" w:cs="Arial" w:eastAsia="Arial" w:hAnsi="Arial"/>
                <w:b/>
                <w:bCs/>
                <w:color w:val="FFFFFF"/>
                <w:sz w:val="20"/>
                <w:szCs w:val="20"/>
              </w:rPr>
              <w:t xml:space="preserve">Avoid</w:t>
            </w:r>
          </w:p>
        </w:tc>
        <w:tc>
          <w:tcPr>
            <w:tcW w:type="dxa" w:w="6240"/>
            <w:tcBorders>
              <w:top w:val="single" w:color="E5E7EB" w:sz="1"/>
              <w:left w:val="single" w:color="E5E7EB" w:sz="1"/>
              <w:bottom w:val="single" w:color="E5E7EB" w:sz="1"/>
              <w:right w:val="single" w:color="E5E7EB" w:sz="1"/>
            </w:tcBorders>
            <w:shd w:fill="DB2777" w:val="clear"/>
            <w:tcMar>
              <w:top w:type="dxa" w:w="100"/>
              <w:left w:type="dxa" w:w="140"/>
              <w:bottom w:type="dxa" w:w="100"/>
              <w:right w:type="dxa" w:w="140"/>
            </w:tcMar>
          </w:tcPr>
          <w:p>
            <w:r>
              <w:rPr>
                <w:rFonts w:ascii="Arial" w:cs="Arial" w:eastAsia="Arial" w:hAnsi="Arial"/>
                <w:b/>
                <w:bCs/>
                <w:color w:val="FFFFFF"/>
                <w:sz w:val="20"/>
                <w:szCs w:val="20"/>
              </w:rPr>
              <w:t xml:space="preserve">Why</w:t>
            </w:r>
          </w:p>
        </w:tc>
      </w:tr>
      <w:tr>
        <w:tc>
          <w:tcPr>
            <w:tcW w:type="dxa" w:w="312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bCs/>
                <w:color w:val="111827"/>
                <w:sz w:val="20"/>
                <w:szCs w:val="20"/>
              </w:rPr>
              <w:t xml:space="preserve">“Design” in headlines</w:t>
            </w:r>
          </w:p>
        </w:tc>
        <w:tc>
          <w:tcPr>
            <w:tcW w:type="dxa" w:w="624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374151"/>
                <w:sz w:val="20"/>
                <w:szCs w:val="20"/>
              </w:rPr>
              <w:t xml:space="preserve">Too narrow — keep in body copy when relevant</w:t>
            </w:r>
          </w:p>
        </w:tc>
      </w:tr>
      <w:tr>
        <w:tc>
          <w:tcPr>
            <w:tcW w:type="dxa" w:w="312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bCs/>
                <w:color w:val="111827"/>
                <w:sz w:val="20"/>
                <w:szCs w:val="20"/>
              </w:rPr>
              <w:t xml:space="preserve">“AI-powered” as lead adjective</w:t>
            </w:r>
          </w:p>
        </w:tc>
        <w:tc>
          <w:tcPr>
            <w:tcW w:type="dxa" w:w="624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374151"/>
                <w:sz w:val="20"/>
                <w:szCs w:val="20"/>
              </w:rPr>
              <w:t xml:space="preserve">Teachers are AI-wary. Lead with outcomes, mention AI as the how</w:t>
            </w:r>
          </w:p>
        </w:tc>
      </w:tr>
      <w:tr>
        <w:tc>
          <w:tcPr>
            <w:tcW w:type="dxa" w:w="312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bCs/>
                <w:color w:val="111827"/>
                <w:sz w:val="20"/>
                <w:szCs w:val="20"/>
              </w:rPr>
              <w:t xml:space="preserve">“Revolutionary / game-changing”</w:t>
            </w:r>
          </w:p>
        </w:tc>
        <w:tc>
          <w:tcPr>
            <w:tcW w:type="dxa" w:w="624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374151"/>
                <w:sz w:val="20"/>
                <w:szCs w:val="20"/>
              </w:rPr>
              <w:t xml:space="preserve">Overused edtech marketing. Be specific instead.</w:t>
            </w:r>
          </w:p>
        </w:tc>
      </w:tr>
      <w:tr>
        <w:tc>
          <w:tcPr>
            <w:tcW w:type="dxa" w:w="312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bCs/>
                <w:color w:val="111827"/>
                <w:sz w:val="20"/>
                <w:szCs w:val="20"/>
              </w:rPr>
              <w:t xml:space="preserve">“LMS” or “replace ManageBac”</w:t>
            </w:r>
          </w:p>
        </w:tc>
        <w:tc>
          <w:tcPr>
            <w:tcW w:type="dxa" w:w="624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374151"/>
                <w:sz w:val="20"/>
                <w:szCs w:val="20"/>
              </w:rPr>
              <w:t xml:space="preserve">Don’t name competitors. Let the feature list speak for itself.</w:t>
            </w:r>
          </w:p>
        </w:tc>
      </w:tr>
      <w:tr>
        <w:tc>
          <w:tcPr>
            <w:tcW w:type="dxa" w:w="312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bCs/>
                <w:color w:val="111827"/>
                <w:sz w:val="20"/>
                <w:szCs w:val="20"/>
              </w:rPr>
              <w:t xml:space="preserve">“Free” in the hero</w:t>
            </w:r>
          </w:p>
        </w:tc>
        <w:tc>
          <w:tcPr>
            <w:tcW w:type="dxa" w:w="624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374151"/>
                <w:sz w:val="20"/>
                <w:szCs w:val="20"/>
              </w:rPr>
              <w:t xml:space="preserve">Confuses the value prop. Keep “free toolkit” as a secondary CTA, not the lead message.</w:t>
            </w:r>
          </w:p>
        </w:tc>
      </w:tr>
      <w:tr>
        <w:tc>
          <w:tcPr>
            <w:tcW w:type="dxa" w:w="312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b/>
                <w:bCs/>
                <w:color w:val="111827"/>
                <w:sz w:val="20"/>
                <w:szCs w:val="20"/>
              </w:rPr>
              <w:t xml:space="preserve">“Admin” as primary framing</w:t>
            </w:r>
          </w:p>
        </w:tc>
        <w:tc>
          <w:tcPr>
            <w:tcW w:type="dxa" w:w="6240"/>
            <w:tcBorders>
              <w:top w:val="single" w:color="E5E7EB" w:sz="1"/>
              <w:left w:val="single" w:color="E5E7EB" w:sz="1"/>
              <w:bottom w:val="single" w:color="E5E7EB" w:sz="1"/>
              <w:right w:val="single" w:color="E5E7EB" w:sz="1"/>
            </w:tcBorders>
            <w:tcMar>
              <w:top w:type="dxa" w:w="100"/>
              <w:left w:type="dxa" w:w="140"/>
              <w:bottom w:type="dxa" w:w="100"/>
              <w:right w:type="dxa" w:w="140"/>
            </w:tcMar>
          </w:tcPr>
          <w:p>
            <w:r>
              <w:rPr>
                <w:rFonts w:ascii="Arial" w:cs="Arial" w:eastAsia="Arial" w:hAnsi="Arial"/>
                <w:color w:val="374151"/>
                <w:sz w:val="20"/>
                <w:szCs w:val="20"/>
              </w:rPr>
              <w:t xml:space="preserve">Leads to “productivity tool” category. Frame as teaching + learning platform.</w:t>
            </w:r>
          </w:p>
        </w:tc>
      </w:tr>
    </w:tbl>
    <w:p>
      <w:pPr>
        <w:spacing w:after="80"/>
      </w:pPr>
    </w:p>
    <w:p>
      <w:pPr>
        <w:pStyle w:val="Heading2"/>
        <w:spacing w:after="160" w:before="240"/>
      </w:pPr>
      <w:r>
        <w:rPr>
          <w:rFonts w:ascii="Arial" w:cs="Arial" w:eastAsia="Arial" w:hAnsi="Arial"/>
          <w:b/>
          <w:bCs/>
          <w:color w:val="111827"/>
          <w:sz w:val="28"/>
          <w:szCs w:val="28"/>
        </w:rPr>
        <w:t xml:space="preserve">6.3 AI Framing — Humans First</w:t>
      </w:r>
    </w:p>
    <w:p>
      <w:pPr>
        <w:spacing w:after="160"/>
        <w:jc w:val="left"/>
      </w:pPr>
      <w:r>
        <w:rPr>
          <w:rFonts w:ascii="Arial" w:cs="Arial" w:eastAsia="Arial" w:hAnsi="Arial"/>
          <w:b w:val="false"/>
          <w:bCs w:val="false"/>
          <w:i w:val="false"/>
          <w:iCs w:val="false"/>
          <w:color w:val="374151"/>
          <w:sz w:val="22"/>
          <w:szCs w:val="22"/>
        </w:rPr>
        <w:t xml:space="preserve">Teachers (especially IB teachers) are sceptical of AI in education. The landing page must make the teacher and student the heroes, with the platform (and its AI) as the enabler. Key principles:</w:t>
      </w:r>
    </w:p>
    <w:p>
      <w:pPr>
        <w:pStyle w:val="ListParagraph"/>
        <w:numPr>
          <w:ilvl w:val="0"/>
          <w:numId w:val="2"/>
        </w:numPr>
        <w:spacing w:after="80"/>
      </w:pPr>
      <w:r>
        <w:rPr>
          <w:rFonts w:ascii="Arial" w:cs="Arial" w:eastAsia="Arial" w:hAnsi="Arial"/>
          <w:color w:val="374151"/>
          <w:sz w:val="22"/>
          <w:szCs w:val="22"/>
        </w:rPr>
        <w:t xml:space="preserve">The teacher and student are always the subject of the sentence. “You build units in minutes” not “AI builds your units.” “Students get a mentor that scaffolds” not “AI mentors students.”</w:t>
      </w:r>
    </w:p>
    <w:p>
      <w:pPr>
        <w:pStyle w:val="ListParagraph"/>
        <w:numPr>
          <w:ilvl w:val="0"/>
          <w:numId w:val="2"/>
        </w:numPr>
        <w:spacing w:after="80"/>
      </w:pPr>
      <w:r>
        <w:rPr>
          <w:rFonts w:ascii="Arial" w:cs="Arial" w:eastAsia="Arial" w:hAnsi="Arial"/>
          <w:color w:val="374151"/>
          <w:sz w:val="22"/>
          <w:szCs w:val="22"/>
        </w:rPr>
        <w:t xml:space="preserve">AI is never in the headline. It can appear in subtext or feature details, framed as the mechanism, never the hero.</w:t>
      </w:r>
    </w:p>
    <w:p>
      <w:pPr>
        <w:pStyle w:val="ListParagraph"/>
        <w:numPr>
          <w:ilvl w:val="0"/>
          <w:numId w:val="2"/>
        </w:numPr>
        <w:spacing w:after="80"/>
      </w:pPr>
      <w:r>
        <w:rPr>
          <w:rFonts w:ascii="Arial" w:cs="Arial" w:eastAsia="Arial" w:hAnsi="Arial"/>
          <w:color w:val="374151"/>
          <w:sz w:val="22"/>
          <w:szCs w:val="22"/>
        </w:rPr>
        <w:t xml:space="preserve">The platform allows humans to shine. “Spend your time mentoring, not managing” not “AI handles everything.”</w:t>
      </w:r>
    </w:p>
    <w:p>
      <w:pPr>
        <w:pStyle w:val="ListParagraph"/>
        <w:numPr>
          <w:ilvl w:val="0"/>
          <w:numId w:val="2"/>
        </w:numPr>
        <w:spacing w:after="80"/>
      </w:pPr>
      <w:r>
        <w:rPr>
          <w:rFonts w:ascii="Arial" w:cs="Arial" w:eastAsia="Arial" w:hAnsi="Arial"/>
          <w:color w:val="374151"/>
          <w:sz w:val="22"/>
          <w:szCs w:val="22"/>
        </w:rPr>
        <w:t xml:space="preserve">Effort and ownership are student verbs. “Students earn independence” not “AI personalises learning.”</w:t>
      </w:r>
    </w:p>
    <w:p>
      <w:pPr>
        <w:pStyle w:val="ListParagraph"/>
        <w:numPr>
          <w:ilvl w:val="0"/>
          <w:numId w:val="2"/>
        </w:numPr>
        <w:spacing w:after="80"/>
      </w:pPr>
      <w:r>
        <w:rPr>
          <w:rFonts w:ascii="Arial" w:cs="Arial" w:eastAsia="Arial" w:hAnsi="Arial"/>
          <w:color w:val="374151"/>
          <w:sz w:val="22"/>
          <w:szCs w:val="22"/>
        </w:rPr>
        <w:t xml:space="preserve">When AI is mentioned, it’s pedagogically grounded. “Scaffolds without over-helping” and “pushes for specifics before giving praise” — these describe behaviour a good teacher would recognise, not tech features.</w:t>
      </w:r>
    </w:p>
    <w:p>
      <w:r>
        <w:br w:type="page"/>
      </w:r>
    </w:p>
    <w:p>
      <w:pPr>
        <w:pStyle w:val="Heading1"/>
        <w:spacing w:after="160" w:before="360"/>
      </w:pPr>
      <w:r>
        <w:rPr>
          <w:rFonts w:ascii="Arial" w:cs="Arial" w:eastAsia="Arial" w:hAnsi="Arial"/>
          <w:b/>
          <w:bCs/>
          <w:color w:val="6B21A8"/>
          <w:sz w:val="36"/>
          <w:szCs w:val="36"/>
        </w:rPr>
        <w:t xml:space="preserve">7. Implementation Plan</w:t>
      </w:r>
    </w:p>
    <w:p>
      <w:pPr>
        <w:spacing w:after="160"/>
        <w:jc w:val="left"/>
      </w:pPr>
      <w:r>
        <w:rPr>
          <w:rFonts w:ascii="Arial" w:cs="Arial" w:eastAsia="Arial" w:hAnsi="Arial"/>
          <w:b w:val="false"/>
          <w:bCs w:val="false"/>
          <w:i w:val="false"/>
          <w:iCs w:val="false"/>
          <w:color w:val="374151"/>
          <w:sz w:val="22"/>
          <w:szCs w:val="22"/>
        </w:rPr>
        <w:t xml:space="preserve">A phased approach to rewriting the landing page, starting with quick wins and progressing to the full journey-based structure.</w:t>
      </w:r>
    </w:p>
    <w:p>
      <w:pPr>
        <w:spacing w:after="40"/>
      </w:pPr>
    </w:p>
    <w:p>
      <w:pPr>
        <w:pStyle w:val="Heading2"/>
        <w:spacing w:after="160" w:before="240"/>
      </w:pPr>
      <w:r>
        <w:rPr>
          <w:rFonts w:ascii="Arial" w:cs="Arial" w:eastAsia="Arial" w:hAnsi="Arial"/>
          <w:b/>
          <w:bCs/>
          <w:color w:val="111827"/>
          <w:sz w:val="28"/>
          <w:szCs w:val="28"/>
        </w:rPr>
        <w:t xml:space="preserve">Phase 1: Quick Wins (1 session)</w:t>
      </w:r>
    </w:p>
    <w:p>
      <w:pPr>
        <w:spacing w:after="160"/>
        <w:jc w:val="left"/>
      </w:pPr>
      <w:r>
        <w:rPr>
          <w:rFonts w:ascii="Arial" w:cs="Arial" w:eastAsia="Arial" w:hAnsi="Arial"/>
          <w:b w:val="false"/>
          <w:bCs w:val="false"/>
          <w:i w:val="false"/>
          <w:iCs w:val="false"/>
          <w:color w:val="374151"/>
          <w:sz w:val="22"/>
          <w:szCs w:val="22"/>
        </w:rPr>
        <w:t xml:space="preserve">Minimal code changes with maximum positioning impact:</w:t>
      </w:r>
    </w:p>
    <w:p>
      <w:pPr>
        <w:pStyle w:val="ListParagraph"/>
        <w:numPr>
          <w:ilvl w:val="0"/>
          <w:numId w:val="2"/>
        </w:numPr>
        <w:spacing w:after="80"/>
      </w:pPr>
      <w:r>
        <w:rPr>
          <w:rFonts w:ascii="Arial" w:cs="Arial" w:eastAsia="Arial" w:hAnsi="Arial"/>
          <w:color w:val="374151"/>
          <w:sz w:val="22"/>
          <w:szCs w:val="22"/>
        </w:rPr>
        <w:t xml:space="preserve">Rewrite hero headline and subhead (pick from Options A/B/C)</w:t>
      </w:r>
    </w:p>
    <w:p>
      <w:pPr>
        <w:pStyle w:val="ListParagraph"/>
        <w:numPr>
          <w:ilvl w:val="0"/>
          <w:numId w:val="2"/>
        </w:numPr>
        <w:spacing w:after="80"/>
      </w:pPr>
      <w:r>
        <w:rPr>
          <w:rFonts w:ascii="Arial" w:cs="Arial" w:eastAsia="Arial" w:hAnsi="Arial"/>
          <w:color w:val="374151"/>
          <w:sz w:val="22"/>
          <w:szCs w:val="22"/>
        </w:rPr>
        <w:t xml:space="preserve">Update stat badges to subject-agnostic versions</w:t>
      </w:r>
    </w:p>
    <w:p>
      <w:pPr>
        <w:pStyle w:val="ListParagraph"/>
        <w:numPr>
          <w:ilvl w:val="0"/>
          <w:numId w:val="2"/>
        </w:numPr>
        <w:spacing w:after="80"/>
      </w:pPr>
      <w:r>
        <w:rPr>
          <w:rFonts w:ascii="Arial" w:cs="Arial" w:eastAsia="Arial" w:hAnsi="Arial"/>
          <w:color w:val="374151"/>
          <w:sz w:val="22"/>
          <w:szCs w:val="22"/>
        </w:rPr>
        <w:t xml:space="preserve">Change “Design Thinking Toolkit” section title to “Thinking Toolkit” or “Built-In Toolkit”</w:t>
      </w:r>
    </w:p>
    <w:p>
      <w:pPr>
        <w:pStyle w:val="ListParagraph"/>
        <w:numPr>
          <w:ilvl w:val="0"/>
          <w:numId w:val="2"/>
        </w:numPr>
        <w:spacing w:after="80"/>
      </w:pPr>
      <w:r>
        <w:rPr>
          <w:rFonts w:ascii="Arial" w:cs="Arial" w:eastAsia="Arial" w:hAnsi="Arial"/>
          <w:color w:val="374151"/>
          <w:sz w:val="22"/>
          <w:szCs w:val="22"/>
        </w:rPr>
        <w:t xml:space="preserve">Update footer tagline from “Design Process Platform” to “Project-Based Learning Platform”</w:t>
      </w:r>
    </w:p>
    <w:p>
      <w:pPr>
        <w:pStyle w:val="ListParagraph"/>
        <w:numPr>
          <w:ilvl w:val="0"/>
          <w:numId w:val="2"/>
        </w:numPr>
        <w:spacing w:after="80"/>
      </w:pPr>
      <w:r>
        <w:rPr>
          <w:rFonts w:ascii="Arial" w:cs="Arial" w:eastAsia="Arial" w:hAnsi="Arial"/>
          <w:color w:val="374151"/>
          <w:sz w:val="22"/>
          <w:szCs w:val="22"/>
        </w:rPr>
        <w:t xml:space="preserve">Update subhead copy to mention Service, PP, PYP alongside Design</w:t>
      </w:r>
    </w:p>
    <w:p>
      <w:pPr>
        <w:spacing w:after="40"/>
      </w:pPr>
    </w:p>
    <w:p>
      <w:pPr>
        <w:pStyle w:val="Heading2"/>
        <w:spacing w:after="160" w:before="240"/>
      </w:pPr>
      <w:r>
        <w:rPr>
          <w:rFonts w:ascii="Arial" w:cs="Arial" w:eastAsia="Arial" w:hAnsi="Arial"/>
          <w:b/>
          <w:bCs/>
          <w:color w:val="111827"/>
          <w:sz w:val="28"/>
          <w:szCs w:val="28"/>
        </w:rPr>
        <w:t xml:space="preserve">Phase 2: Journey Restructure (2-3 sessions)</w:t>
      </w:r>
    </w:p>
    <w:p>
      <w:pPr>
        <w:spacing w:after="160"/>
        <w:jc w:val="left"/>
      </w:pPr>
      <w:r>
        <w:rPr>
          <w:rFonts w:ascii="Arial" w:cs="Arial" w:eastAsia="Arial" w:hAnsi="Arial"/>
          <w:b w:val="false"/>
          <w:bCs w:val="false"/>
          <w:i w:val="false"/>
          <w:iCs w:val="false"/>
          <w:color w:val="374151"/>
          <w:sz w:val="22"/>
          <w:szCs w:val="22"/>
        </w:rPr>
        <w:t xml:space="preserve">Replace feature accordion with journey-based narrative:</w:t>
      </w:r>
    </w:p>
    <w:p>
      <w:pPr>
        <w:pStyle w:val="ListParagraph"/>
        <w:numPr>
          <w:ilvl w:val="0"/>
          <w:numId w:val="2"/>
        </w:numPr>
        <w:spacing w:after="80"/>
      </w:pPr>
      <w:r>
        <w:rPr>
          <w:rFonts w:ascii="Arial" w:cs="Arial" w:eastAsia="Arial" w:hAnsi="Arial"/>
          <w:color w:val="374151"/>
          <w:sz w:val="22"/>
          <w:szCs w:val="22"/>
        </w:rPr>
        <w:t xml:space="preserve">Build 5 journey sections (Plan, Teach, Students Work, See Everything, Assess &amp; Showcase)</w:t>
      </w:r>
    </w:p>
    <w:p>
      <w:pPr>
        <w:pStyle w:val="ListParagraph"/>
        <w:numPr>
          <w:ilvl w:val="0"/>
          <w:numId w:val="2"/>
        </w:numPr>
        <w:spacing w:after="80"/>
      </w:pPr>
      <w:r>
        <w:rPr>
          <w:rFonts w:ascii="Arial" w:cs="Arial" w:eastAsia="Arial" w:hAnsi="Arial"/>
          <w:color w:val="374151"/>
          <w:sz w:val="22"/>
          <w:szCs w:val="22"/>
        </w:rPr>
        <w:t xml:space="preserve">Each section: headline + 3-4 bullet points + rich visual mockup + optional CTA</w:t>
      </w:r>
    </w:p>
    <w:p>
      <w:pPr>
        <w:pStyle w:val="ListParagraph"/>
        <w:numPr>
          <w:ilvl w:val="0"/>
          <w:numId w:val="2"/>
        </w:numPr>
        <w:spacing w:after="80"/>
      </w:pPr>
      <w:r>
        <w:rPr>
          <w:rFonts w:ascii="Arial" w:cs="Arial" w:eastAsia="Arial" w:hAnsi="Arial"/>
          <w:color w:val="374151"/>
          <w:sz w:val="22"/>
          <w:szCs w:val="22"/>
        </w:rPr>
        <w:t xml:space="preserve">Alternating left/right layout with parallax scroll (reuse existing Framer Motion patterns)</w:t>
      </w:r>
    </w:p>
    <w:p>
      <w:pPr>
        <w:pStyle w:val="ListParagraph"/>
        <w:numPr>
          <w:ilvl w:val="0"/>
          <w:numId w:val="2"/>
        </w:numPr>
        <w:spacing w:after="80"/>
      </w:pPr>
      <w:r>
        <w:rPr>
          <w:rFonts w:ascii="Arial" w:cs="Arial" w:eastAsia="Arial" w:hAnsi="Arial"/>
          <w:color w:val="374151"/>
          <w:sz w:val="22"/>
          <w:szCs w:val="22"/>
        </w:rPr>
        <w:t xml:space="preserve">Student Agency section gets special treatment — larger, more visual, emotional tone</w:t>
      </w:r>
    </w:p>
    <w:p>
      <w:pPr>
        <w:pStyle w:val="ListParagraph"/>
        <w:numPr>
          <w:ilvl w:val="0"/>
          <w:numId w:val="2"/>
        </w:numPr>
        <w:spacing w:after="80"/>
      </w:pPr>
      <w:r>
        <w:rPr>
          <w:rFonts w:ascii="Arial" w:cs="Arial" w:eastAsia="Arial" w:hAnsi="Arial"/>
          <w:color w:val="374151"/>
          <w:sz w:val="22"/>
          <w:szCs w:val="22"/>
        </w:rPr>
        <w:t xml:space="preserve">Add “one platform” strip between journey and CTA</w:t>
      </w:r>
    </w:p>
    <w:p>
      <w:pPr>
        <w:spacing w:after="40"/>
      </w:pPr>
    </w:p>
    <w:p>
      <w:pPr>
        <w:pStyle w:val="Heading2"/>
        <w:spacing w:after="160" w:before="240"/>
      </w:pPr>
      <w:r>
        <w:rPr>
          <w:rFonts w:ascii="Arial" w:cs="Arial" w:eastAsia="Arial" w:hAnsi="Arial"/>
          <w:b/>
          <w:bCs/>
          <w:color w:val="111827"/>
          <w:sz w:val="28"/>
          <w:szCs w:val="28"/>
        </w:rPr>
        <w:t xml:space="preserve">Phase 3: Polish (1 session)</w:t>
      </w:r>
    </w:p>
    <w:p>
      <w:pPr>
        <w:pStyle w:val="ListParagraph"/>
        <w:numPr>
          <w:ilvl w:val="0"/>
          <w:numId w:val="2"/>
        </w:numPr>
        <w:spacing w:after="80"/>
      </w:pPr>
      <w:r>
        <w:rPr>
          <w:rFonts w:ascii="Arial" w:cs="Arial" w:eastAsia="Arial" w:hAnsi="Arial"/>
          <w:color w:val="374151"/>
          <w:sz w:val="22"/>
          <w:szCs w:val="22"/>
        </w:rPr>
        <w:t xml:space="preserve">Compact toolkit callout (pills + CTA, no longer the primary showcase)</w:t>
      </w:r>
    </w:p>
    <w:p>
      <w:pPr>
        <w:pStyle w:val="ListParagraph"/>
        <w:numPr>
          <w:ilvl w:val="0"/>
          <w:numId w:val="2"/>
        </w:numPr>
        <w:spacing w:after="80"/>
      </w:pPr>
      <w:r>
        <w:rPr>
          <w:rFonts w:ascii="Arial" w:cs="Arial" w:eastAsia="Arial" w:hAnsi="Arial"/>
          <w:color w:val="374151"/>
          <w:sz w:val="22"/>
          <w:szCs w:val="22"/>
        </w:rPr>
        <w:t xml:space="preserve">Framework trust bar (8+ framework logos/badges in a horizontal strip)</w:t>
      </w:r>
    </w:p>
    <w:p>
      <w:pPr>
        <w:pStyle w:val="ListParagraph"/>
        <w:numPr>
          <w:ilvl w:val="0"/>
          <w:numId w:val="2"/>
        </w:numPr>
        <w:spacing w:after="80"/>
      </w:pPr>
      <w:r>
        <w:rPr>
          <w:rFonts w:ascii="Arial" w:cs="Arial" w:eastAsia="Arial" w:hAnsi="Arial"/>
          <w:color w:val="374151"/>
          <w:sz w:val="22"/>
          <w:szCs w:val="22"/>
        </w:rPr>
        <w:t xml:space="preserve">Testimonial placeholder section (for when teachers start using it)</w:t>
      </w:r>
    </w:p>
    <w:p>
      <w:pPr>
        <w:pStyle w:val="ListParagraph"/>
        <w:numPr>
          <w:ilvl w:val="0"/>
          <w:numId w:val="2"/>
        </w:numPr>
        <w:spacing w:after="80"/>
      </w:pPr>
      <w:r>
        <w:rPr>
          <w:rFonts w:ascii="Arial" w:cs="Arial" w:eastAsia="Arial" w:hAnsi="Arial"/>
          <w:color w:val="374151"/>
          <w:sz w:val="22"/>
          <w:szCs w:val="22"/>
        </w:rPr>
        <w:t xml:space="preserve">“Built by a teacher” credibility note (compact, not a badge)</w:t>
      </w:r>
    </w:p>
    <w:p>
      <w:pPr>
        <w:pStyle w:val="ListParagraph"/>
        <w:numPr>
          <w:ilvl w:val="0"/>
          <w:numId w:val="2"/>
        </w:numPr>
        <w:spacing w:after="80"/>
      </w:pPr>
      <w:r>
        <w:rPr>
          <w:rFonts w:ascii="Arial" w:cs="Arial" w:eastAsia="Arial" w:hAnsi="Arial"/>
          <w:color w:val="374151"/>
          <w:sz w:val="22"/>
          <w:szCs w:val="22"/>
        </w:rPr>
        <w:t xml:space="preserve">Mobile responsive testing and refinement</w:t>
      </w:r>
    </w:p>
    <w:p>
      <w:pPr>
        <w:spacing w:after="120"/>
      </w:pPr>
    </w:p>
    <w:p>
      <w:pPr>
        <w:pStyle w:val="Heading1"/>
        <w:spacing w:after="160" w:before="360"/>
      </w:pPr>
      <w:r>
        <w:rPr>
          <w:rFonts w:ascii="Arial" w:cs="Arial" w:eastAsia="Arial" w:hAnsi="Arial"/>
          <w:b/>
          <w:bCs/>
          <w:color w:val="6B21A8"/>
          <w:sz w:val="36"/>
          <w:szCs w:val="36"/>
        </w:rPr>
        <w:t xml:space="preserve">8. Decisions</w:t>
      </w:r>
    </w:p>
    <w:p>
      <w:pPr>
        <w:spacing w:after="160"/>
        <w:jc w:val="left"/>
      </w:pPr>
      <w:r>
        <w:rPr>
          <w:rFonts w:ascii="Arial" w:cs="Arial" w:eastAsia="Arial" w:hAnsi="Arial"/>
          <w:b w:val="false"/>
          <w:bCs w:val="false"/>
          <w:i w:val="false"/>
          <w:iCs w:val="false"/>
          <w:color w:val="374151"/>
          <w:sz w:val="22"/>
          <w:szCs w:val="22"/>
        </w:rPr>
        <w:t xml:space="preserve">Decisions resolved and remaining:</w:t>
      </w:r>
    </w:p>
    <w:p>
      <w:pPr>
        <w:spacing w:after="40"/>
      </w:pPr>
    </w:p>
    <w:p>
      <w:pPr>
        <w:pStyle w:val="Heading3"/>
        <w:spacing w:after="160" w:before="240"/>
      </w:pPr>
      <w:r>
        <w:rPr>
          <w:rFonts w:ascii="Arial" w:cs="Arial" w:eastAsia="Arial" w:hAnsi="Arial"/>
          <w:b/>
          <w:bCs/>
          <w:color w:val="111827"/>
          <w:sz w:val="24"/>
          <w:szCs w:val="24"/>
        </w:rPr>
        <w:t xml:space="preserve">8.1 Resolved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tcMar>
              <w:top w:type="dxa" w:w="80"/>
              <w:left w:type="dxa" w:w="0"/>
              <w:bottom w:type="dxa" w:w="80"/>
              <w:right w:type="dxa" w:w="80"/>
            </w:tcMar>
          </w:tcPr>
          <w:p>
            <w:pPr>
              <w:jc w:val="center"/>
            </w:pPr>
            <w:r>
              <w:rPr>
                <w:rFonts w:ascii="Arial" w:cs="Arial" w:eastAsia="Arial" w:hAnsi="Arial"/>
                <w:b/>
                <w:bCs/>
                <w:color w:val="0D9488"/>
                <w:sz w:val="24"/>
                <w:szCs w:val="24"/>
              </w:rPr>
              <w:t xml:space="preserve">✓</w:t>
            </w:r>
          </w:p>
        </w:tc>
        <w:tc>
          <w:tcPr>
            <w:tcW w:type="dxa" w:w="8760"/>
            <w:tcBorders>
              <w:top w:val="none"/>
              <w:left w:val="none"/>
              <w:bottom w:val="none"/>
              <w:right w:val="none"/>
            </w:tcBorders>
            <w:tcMar>
              <w:top w:type="dxa" w:w="80"/>
              <w:left w:type="dxa" w:w="0"/>
              <w:bottom w:type="dxa" w:w="80"/>
              <w:right w:type="dxa" w:w="0"/>
            </w:tcMar>
          </w:tcPr>
          <w:p>
            <w:pPr>
              <w:pBdr>
                <w:bottom w:val="single" w:color="E5E7EB" w:sz="1" w:space="8"/>
              </w:pBdr>
            </w:pPr>
            <w:r>
              <w:rPr>
                <w:rFonts w:ascii="Arial" w:cs="Arial" w:eastAsia="Arial" w:hAnsi="Arial"/>
                <w:color w:val="374151"/>
                <w:sz w:val="22"/>
                <w:szCs w:val="22"/>
              </w:rPr>
              <w:t xml:space="preserve">Toolkit section: SHRINK to compact callout with updated copy. No longer the primary showcase — the journey sections tell the story.</w:t>
            </w:r>
          </w:p>
        </w:tc>
      </w:tr>
      <w:tr>
        <w:tc>
          <w:tcPr>
            <w:tcW w:type="dxa" w:w="600"/>
            <w:tcBorders>
              <w:top w:val="none"/>
              <w:left w:val="none"/>
              <w:bottom w:val="none"/>
              <w:right w:val="none"/>
            </w:tcBorders>
            <w:tcMar>
              <w:top w:type="dxa" w:w="80"/>
              <w:left w:type="dxa" w:w="0"/>
              <w:bottom w:type="dxa" w:w="80"/>
              <w:right w:type="dxa" w:w="80"/>
            </w:tcMar>
          </w:tcPr>
          <w:p>
            <w:pPr>
              <w:jc w:val="center"/>
            </w:pPr>
            <w:r>
              <w:rPr>
                <w:rFonts w:ascii="Arial" w:cs="Arial" w:eastAsia="Arial" w:hAnsi="Arial"/>
                <w:b/>
                <w:bCs/>
                <w:color w:val="0D9488"/>
                <w:sz w:val="24"/>
                <w:szCs w:val="24"/>
              </w:rPr>
              <w:t xml:space="preserve">✓</w:t>
            </w:r>
          </w:p>
        </w:tc>
        <w:tc>
          <w:tcPr>
            <w:tcW w:type="dxa" w:w="8760"/>
            <w:tcBorders>
              <w:top w:val="none"/>
              <w:left w:val="none"/>
              <w:bottom w:val="none"/>
              <w:right w:val="none"/>
            </w:tcBorders>
            <w:tcMar>
              <w:top w:type="dxa" w:w="80"/>
              <w:left w:type="dxa" w:w="0"/>
              <w:bottom w:type="dxa" w:w="80"/>
              <w:right w:type="dxa" w:w="0"/>
            </w:tcMar>
          </w:tcPr>
          <w:p>
            <w:pPr>
              <w:pBdr>
                <w:bottom w:val="single" w:color="E5E7EB" w:sz="1" w:space="8"/>
              </w:pBdr>
            </w:pPr>
            <w:r>
              <w:rPr>
                <w:rFonts w:ascii="Arial" w:cs="Arial" w:eastAsia="Arial" w:hAnsi="Arial"/>
                <w:color w:val="374151"/>
                <w:sz w:val="22"/>
                <w:szCs w:val="22"/>
              </w:rPr>
              <w:t xml:space="preserve">Product name in hero: Lead with category (“The platform for…”) and let the logo carry the brand. Future-proofs against a name change.</w:t>
            </w:r>
          </w:p>
        </w:tc>
      </w:tr>
      <w:tr>
        <w:tc>
          <w:tcPr>
            <w:tcW w:type="dxa" w:w="600"/>
            <w:tcBorders>
              <w:top w:val="none"/>
              <w:left w:val="none"/>
              <w:bottom w:val="none"/>
              <w:right w:val="none"/>
            </w:tcBorders>
            <w:tcMar>
              <w:top w:type="dxa" w:w="80"/>
              <w:left w:type="dxa" w:w="0"/>
              <w:bottom w:type="dxa" w:w="80"/>
              <w:right w:type="dxa" w:w="80"/>
            </w:tcMar>
          </w:tcPr>
          <w:p>
            <w:pPr>
              <w:jc w:val="center"/>
            </w:pPr>
            <w:r>
              <w:rPr>
                <w:rFonts w:ascii="Arial" w:cs="Arial" w:eastAsia="Arial" w:hAnsi="Arial"/>
                <w:b/>
                <w:bCs/>
                <w:color w:val="0D9488"/>
                <w:sz w:val="24"/>
                <w:szCs w:val="24"/>
              </w:rPr>
              <w:t xml:space="preserve">✓</w:t>
            </w:r>
          </w:p>
        </w:tc>
        <w:tc>
          <w:tcPr>
            <w:tcW w:type="dxa" w:w="8760"/>
            <w:tcBorders>
              <w:top w:val="none"/>
              <w:left w:val="none"/>
              <w:bottom w:val="none"/>
              <w:right w:val="none"/>
            </w:tcBorders>
            <w:tcMar>
              <w:top w:type="dxa" w:w="80"/>
              <w:left w:type="dxa" w:w="0"/>
              <w:bottom w:type="dxa" w:w="80"/>
              <w:right w:type="dxa" w:w="0"/>
            </w:tcMar>
          </w:tcPr>
          <w:p>
            <w:pPr>
              <w:pBdr>
                <w:bottom w:val="single" w:color="E5E7EB" w:sz="1" w:space="8"/>
              </w:pBdr>
            </w:pPr>
            <w:r>
              <w:rPr>
                <w:rFonts w:ascii="Arial" w:cs="Arial" w:eastAsia="Arial" w:hAnsi="Arial"/>
                <w:color w:val="374151"/>
                <w:sz w:val="22"/>
                <w:szCs w:val="22"/>
              </w:rPr>
              <w:t xml:space="preserve">Subject callout: YES, list specific subjects (Design, Service, Capstone, Exhibition, inquiry) in the hero subhead or immediately below. Frameworks (IB MYP, GCSE, ACARA, PLTW) stay in the badge row.</w:t>
            </w:r>
          </w:p>
        </w:tc>
      </w:tr>
    </w:tbl>
    <w:p>
      <w:pPr>
        <w:spacing w:after="80"/>
      </w:pPr>
    </w:p>
    <w:p>
      <w:pPr>
        <w:pStyle w:val="Heading3"/>
        <w:spacing w:after="160" w:before="240"/>
      </w:pPr>
      <w:r>
        <w:rPr>
          <w:rFonts w:ascii="Arial" w:cs="Arial" w:eastAsia="Arial" w:hAnsi="Arial"/>
          <w:b/>
          <w:bCs/>
          <w:color w:val="111827"/>
          <w:sz w:val="24"/>
          <w:szCs w:val="24"/>
        </w:rPr>
        <w:t xml:space="preserve">8.2 Still To Decide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left w:val="none"/>
              <w:bottom w:val="none"/>
              <w:right w:val="none"/>
            </w:tcBorders>
            <w:tcMar>
              <w:top w:type="dxa" w:w="80"/>
              <w:left w:type="dxa" w:w="0"/>
              <w:bottom w:type="dxa" w:w="80"/>
              <w:right w:type="dxa" w:w="80"/>
            </w:tcMar>
          </w:tcPr>
          <w:p>
            <w:pPr>
              <w:jc w:val="center"/>
            </w:pPr>
            <w:r>
              <w:rPr>
                <w:rFonts w:ascii="Arial" w:cs="Arial" w:eastAsia="Arial" w:hAnsi="Arial"/>
                <w:b/>
                <w:bCs/>
                <w:color w:val="6B21A8"/>
                <w:sz w:val="24"/>
                <w:szCs w:val="24"/>
              </w:rPr>
              <w:t xml:space="preserve">1</w:t>
            </w:r>
          </w:p>
        </w:tc>
        <w:tc>
          <w:tcPr>
            <w:tcW w:type="dxa" w:w="8760"/>
            <w:tcBorders>
              <w:top w:val="none"/>
              <w:left w:val="none"/>
              <w:bottom w:val="none"/>
              <w:right w:val="none"/>
            </w:tcBorders>
            <w:tcMar>
              <w:top w:type="dxa" w:w="80"/>
              <w:left w:type="dxa" w:w="0"/>
              <w:bottom w:type="dxa" w:w="80"/>
              <w:right w:type="dxa" w:w="0"/>
            </w:tcMar>
          </w:tcPr>
          <w:p>
            <w:pPr>
              <w:pBdr>
                <w:bottom w:val="single" w:color="E5E7EB" w:sz="1" w:space="8"/>
              </w:pBdr>
            </w:pPr>
            <w:r>
              <w:rPr>
                <w:rFonts w:ascii="Arial" w:cs="Arial" w:eastAsia="Arial" w:hAnsi="Arial"/>
                <w:color w:val="374151"/>
                <w:sz w:val="22"/>
                <w:szCs w:val="22"/>
              </w:rPr>
              <w:t xml:space="preserve">Hero direction: Option A (“make, solve, create” + one-platform list), Option B (“Teach better. Learn deeper.”), or Option C (“Unit plan to portfolio”)? Option A is recommended.</w:t>
            </w:r>
          </w:p>
        </w:tc>
      </w:tr>
    </w:tbl>
    <w:p>
      <w:pPr>
        <w:spacing w:after="200"/>
      </w:pPr>
    </w:p>
    <w:p>
      <w:pPr>
        <w:jc w:val="center"/>
      </w:pPr>
      <w:r>
        <w:rPr>
          <w:rFonts w:ascii="Arial" w:cs="Arial" w:eastAsia="Arial" w:hAnsi="Arial"/>
          <w:i/>
          <w:iCs/>
          <w:color w:val="6B7280"/>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1" w:space="8"/>
      </w:pBdr>
      <w:jc w:val="center"/>
    </w:pPr>
    <w:r>
      <w:rPr>
        <w:rFonts w:ascii="Arial" w:cs="Arial" w:eastAsia="Arial" w:hAnsi="Arial"/>
        <w:color w:val="6B7280"/>
        <w:sz w:val="16"/>
        <w:szCs w:val="16"/>
      </w:rPr>
      <w:t xml:space="preserve">Confidential — StudioLoom Landing Page Strategy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6B21A8"/>
        <w:sz w:val="16"/>
        <w:szCs w:val="16"/>
      </w:rPr>
      <w:t xml:space="preserve">StudioLoom </w:t>
    </w:r>
    <w:r>
      <w:rPr>
        <w:rFonts w:ascii="Arial" w:cs="Arial" w:eastAsia="Arial" w:hAnsi="Arial"/>
        <w:color w:val="6B7280"/>
        <w:sz w:val="16"/>
        <w:szCs w:val="16"/>
      </w:rPr>
      <w:t xml:space="preserve">Project Direction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6B21A8"/>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1182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2026-03-30T23:26:54.530Z</dcterms:created>
  <dcterms:modified xsi:type="dcterms:W3CDTF">2026-03-30T23:26:54.530Z</dcterms:modified>
</cp:coreProperties>
</file>

<file path=docProps/custom.xml><?xml version="1.0" encoding="utf-8"?>
<Properties xmlns="http://schemas.openxmlformats.org/officeDocument/2006/custom-properties" xmlns:vt="http://schemas.openxmlformats.org/officeDocument/2006/docPropsVTypes"/>
</file>