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D8C36" w14:textId="77777777" w:rsidR="00A87FE7" w:rsidRDefault="00000000">
      <w:pPr>
        <w:spacing w:after="60"/>
      </w:pPr>
      <w:r>
        <w:rPr>
          <w:rFonts w:ascii="Arial" w:eastAsia="Arial" w:hAnsi="Arial" w:cs="Arial"/>
          <w:b/>
          <w:bCs/>
          <w:color w:val="1F4E79"/>
          <w:sz w:val="36"/>
          <w:szCs w:val="36"/>
        </w:rPr>
        <w:t>CoA Architect</w:t>
      </w:r>
    </w:p>
    <w:p w14:paraId="6418A8F7" w14:textId="77777777" w:rsidR="00A87FE7" w:rsidRDefault="00000000">
      <w:pPr>
        <w:spacing w:after="80"/>
      </w:pPr>
      <w:r>
        <w:rPr>
          <w:rFonts w:ascii="Arial" w:eastAsia="Arial" w:hAnsi="Arial" w:cs="Arial"/>
          <w:b/>
          <w:bCs/>
          <w:sz w:val="28"/>
          <w:szCs w:val="28"/>
        </w:rPr>
        <w:t>Report Documentation Notes</w:t>
      </w:r>
    </w:p>
    <w:p w14:paraId="2116F229" w14:textId="77777777" w:rsidR="00A87FE7" w:rsidRDefault="00000000">
      <w:pPr>
        <w:spacing w:after="80"/>
      </w:pPr>
      <w:r>
        <w:rPr>
          <w:rFonts w:ascii="Arial" w:eastAsia="Arial" w:hAnsi="Arial" w:cs="Arial"/>
          <w:i/>
          <w:iCs/>
          <w:sz w:val="22"/>
          <w:szCs w:val="22"/>
        </w:rPr>
        <w:t>Design Decisions to Document in the Written Report</w:t>
      </w:r>
    </w:p>
    <w:p w14:paraId="0854CDFD" w14:textId="77777777" w:rsidR="00A87FE7" w:rsidRDefault="00000000">
      <w:pPr>
        <w:spacing w:after="160"/>
      </w:pPr>
      <w:r>
        <w:rPr>
          <w:rFonts w:ascii="Arial" w:eastAsia="Arial" w:hAnsi="Arial" w:cs="Arial"/>
          <w:color w:val="555555"/>
        </w:rPr>
        <w:t xml:space="preserve">ACG 6415: AI in </w:t>
      </w:r>
      <w:proofErr w:type="gramStart"/>
      <w:r>
        <w:rPr>
          <w:rFonts w:ascii="Arial" w:eastAsia="Arial" w:hAnsi="Arial" w:cs="Arial"/>
          <w:color w:val="555555"/>
        </w:rPr>
        <w:t>Accounting  |</w:t>
      </w:r>
      <w:proofErr w:type="gramEnd"/>
      <w:r>
        <w:rPr>
          <w:rFonts w:ascii="Arial" w:eastAsia="Arial" w:hAnsi="Arial" w:cs="Arial"/>
          <w:color w:val="555555"/>
        </w:rPr>
        <w:t xml:space="preserve">  Spring </w:t>
      </w:r>
      <w:proofErr w:type="gramStart"/>
      <w:r>
        <w:rPr>
          <w:rFonts w:ascii="Arial" w:eastAsia="Arial" w:hAnsi="Arial" w:cs="Arial"/>
          <w:color w:val="555555"/>
        </w:rPr>
        <w:t>2026  |</w:t>
      </w:r>
      <w:proofErr w:type="gramEnd"/>
      <w:r>
        <w:rPr>
          <w:rFonts w:ascii="Arial" w:eastAsia="Arial" w:hAnsi="Arial" w:cs="Arial"/>
          <w:color w:val="555555"/>
        </w:rPr>
        <w:t xml:space="preserve">  Team: Silver Dolphins</w:t>
      </w:r>
    </w:p>
    <w:p w14:paraId="386F1424" w14:textId="77777777" w:rsidR="00A87FE7" w:rsidRDefault="00000000">
      <w:pPr>
        <w:spacing w:before="60" w:after="80"/>
      </w:pPr>
      <w:r>
        <w:rPr>
          <w:rFonts w:ascii="Arial" w:eastAsia="Arial" w:hAnsi="Arial" w:cs="Arial"/>
          <w:sz w:val="22"/>
          <w:szCs w:val="22"/>
        </w:rPr>
        <w:t>This document captures design decisions and nuances that should be explicitly documented in the AUDIT project written report. Each note follows a consistent structure: title, report section(s), which graded questions it answers, and the full explanation. The goal is to ensure these decisions are framed as intentional and professional rather than incidental.</w:t>
      </w:r>
    </w:p>
    <w:p w14:paraId="18646985"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FE7" w14:paraId="6E7D9D73"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10" w:type="dxa"/>
              <w:left w:w="180" w:type="dxa"/>
              <w:bottom w:w="110" w:type="dxa"/>
              <w:right w:w="180" w:type="dxa"/>
            </w:tcMar>
          </w:tcPr>
          <w:p w14:paraId="5F30CEE2" w14:textId="77777777" w:rsidR="00A87FE7" w:rsidRDefault="00000000">
            <w:r>
              <w:rPr>
                <w:rFonts w:ascii="Arial" w:eastAsia="Arial" w:hAnsi="Arial" w:cs="Arial"/>
                <w:i/>
                <w:iCs/>
                <w:sz w:val="22"/>
                <w:szCs w:val="22"/>
              </w:rPr>
              <w:t>How to use this document: When writing each section of the report, review the notes below and ensure the corresponding design decisions are addressed explicitly. The ‘Questions Answered’ row maps each note to the specific graded questions in the AUDIT project instructions. These points distinguish a sophisticated project from one that just happens to work.</w:t>
            </w:r>
          </w:p>
        </w:tc>
      </w:tr>
    </w:tbl>
    <w:p w14:paraId="640E2D73"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440"/>
        <w:gridCol w:w="7360"/>
      </w:tblGrid>
      <w:tr w:rsidR="00A87FE7" w14:paraId="71E5B6B9" w14:textId="77777777">
        <w:tc>
          <w:tcPr>
            <w:tcW w:w="560" w:type="dxa"/>
            <w:tcBorders>
              <w:top w:val="none" w:sz="0" w:space="0" w:color="FFFFFF"/>
              <w:left w:val="none" w:sz="0" w:space="0" w:color="FFFFFF"/>
              <w:bottom w:val="none" w:sz="0" w:space="0" w:color="FFFFFF"/>
              <w:right w:val="none" w:sz="0" w:space="0" w:color="FFFFFF"/>
            </w:tcBorders>
            <w:shd w:val="clear" w:color="auto" w:fill="1F4E79"/>
            <w:tcMar>
              <w:top w:w="100" w:type="dxa"/>
              <w:left w:w="140" w:type="dxa"/>
              <w:bottom w:w="100" w:type="dxa"/>
              <w:right w:w="140" w:type="dxa"/>
            </w:tcMar>
          </w:tcPr>
          <w:p w14:paraId="0EF28B8B" w14:textId="77777777" w:rsidR="00A87FE7" w:rsidRDefault="00000000">
            <w:r>
              <w:rPr>
                <w:rFonts w:ascii="Arial" w:eastAsia="Arial" w:hAnsi="Arial" w:cs="Arial"/>
                <w:b/>
                <w:bCs/>
                <w:color w:val="FFFFFF"/>
                <w:sz w:val="24"/>
                <w:szCs w:val="24"/>
              </w:rPr>
              <w:t>1</w:t>
            </w:r>
          </w:p>
        </w:tc>
        <w:tc>
          <w:tcPr>
            <w:tcW w:w="8800" w:type="dxa"/>
            <w:gridSpan w:val="2"/>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40" w:type="dxa"/>
            </w:tcMar>
          </w:tcPr>
          <w:p w14:paraId="09E00327" w14:textId="77777777" w:rsidR="00A87FE7" w:rsidRDefault="00000000">
            <w:r>
              <w:rPr>
                <w:rFonts w:ascii="Arial" w:eastAsia="Arial" w:hAnsi="Arial" w:cs="Arial"/>
                <w:b/>
                <w:bCs/>
                <w:sz w:val="24"/>
                <w:szCs w:val="24"/>
              </w:rPr>
              <w:t xml:space="preserve">Confirmation and clarifying questions workflow </w:t>
            </w:r>
            <w:proofErr w:type="gramStart"/>
            <w:r>
              <w:rPr>
                <w:rFonts w:ascii="Arial" w:eastAsia="Arial" w:hAnsi="Arial" w:cs="Arial"/>
                <w:b/>
                <w:bCs/>
                <w:sz w:val="24"/>
                <w:szCs w:val="24"/>
              </w:rPr>
              <w:t>is</w:t>
            </w:r>
            <w:proofErr w:type="gramEnd"/>
            <w:r>
              <w:rPr>
                <w:rFonts w:ascii="Arial" w:eastAsia="Arial" w:hAnsi="Arial" w:cs="Arial"/>
                <w:b/>
                <w:bCs/>
                <w:sz w:val="24"/>
                <w:szCs w:val="24"/>
              </w:rPr>
              <w:t xml:space="preserve"> an intentional design decision</w:t>
            </w:r>
          </w:p>
        </w:tc>
      </w:tr>
      <w:tr w:rsidR="00A87FE7" w14:paraId="34A306E8"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149FC2F5" w14:textId="77777777" w:rsidR="00A87FE7" w:rsidRDefault="00000000">
            <w:r>
              <w:rPr>
                <w:rFonts w:ascii="Arial" w:eastAsia="Arial" w:hAnsi="Arial" w:cs="Arial"/>
                <w:b/>
                <w:bCs/>
                <w:sz w:val="22"/>
                <w:szCs w:val="22"/>
              </w:rPr>
              <w:t>Report Section</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5006EC46" w14:textId="77777777" w:rsidR="00A87FE7" w:rsidRDefault="00000000">
            <w:r>
              <w:rPr>
                <w:rFonts w:ascii="Arial" w:eastAsia="Arial" w:hAnsi="Arial" w:cs="Arial"/>
                <w:sz w:val="22"/>
                <w:szCs w:val="22"/>
              </w:rPr>
              <w:t xml:space="preserve">Section 2 (Development Process &amp; Technical </w:t>
            </w:r>
            <w:proofErr w:type="gramStart"/>
            <w:r>
              <w:rPr>
                <w:rFonts w:ascii="Arial" w:eastAsia="Arial" w:hAnsi="Arial" w:cs="Arial"/>
                <w:sz w:val="22"/>
                <w:szCs w:val="22"/>
              </w:rPr>
              <w:t>Innovation)  │</w:t>
            </w:r>
            <w:proofErr w:type="gramEnd"/>
            <w:r>
              <w:rPr>
                <w:rFonts w:ascii="Arial" w:eastAsia="Arial" w:hAnsi="Arial" w:cs="Arial"/>
                <w:sz w:val="22"/>
                <w:szCs w:val="22"/>
              </w:rPr>
              <w:t xml:space="preserve">  Section 3 (Critical Assessment &amp; Professional Considerations)</w:t>
            </w:r>
          </w:p>
        </w:tc>
      </w:tr>
      <w:tr w:rsidR="00A87FE7" w14:paraId="4219D27E"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6D4CC513" w14:textId="77777777" w:rsidR="00A87FE7" w:rsidRDefault="00000000">
            <w:r>
              <w:rPr>
                <w:rFonts w:ascii="Arial" w:eastAsia="Arial" w:hAnsi="Arial" w:cs="Arial"/>
                <w:b/>
                <w:bCs/>
                <w:sz w:val="22"/>
                <w:szCs w:val="22"/>
              </w:rPr>
              <w:t>Questions Answered</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35315F17" w14:textId="77777777" w:rsidR="00A87FE7" w:rsidRDefault="00000000">
            <w:r>
              <w:rPr>
                <w:rFonts w:ascii="Arial" w:eastAsia="Arial" w:hAnsi="Arial" w:cs="Arial"/>
                <w:sz w:val="22"/>
                <w:szCs w:val="22"/>
              </w:rPr>
              <w:t xml:space="preserve">What makes this solution sophisticated vs. basic automation?  </w:t>
            </w:r>
            <w:proofErr w:type="gramStart"/>
            <w:r>
              <w:rPr>
                <w:rFonts w:ascii="Arial" w:eastAsia="Arial" w:hAnsi="Arial" w:cs="Arial"/>
                <w:sz w:val="22"/>
                <w:szCs w:val="22"/>
              </w:rPr>
              <w:t>│  Technical</w:t>
            </w:r>
            <w:proofErr w:type="gramEnd"/>
            <w:r>
              <w:rPr>
                <w:rFonts w:ascii="Arial" w:eastAsia="Arial" w:hAnsi="Arial" w:cs="Arial"/>
                <w:sz w:val="22"/>
                <w:szCs w:val="22"/>
              </w:rPr>
              <w:t xml:space="preserve"> design decisions and development </w:t>
            </w:r>
            <w:proofErr w:type="gramStart"/>
            <w:r>
              <w:rPr>
                <w:rFonts w:ascii="Arial" w:eastAsia="Arial" w:hAnsi="Arial" w:cs="Arial"/>
                <w:sz w:val="22"/>
                <w:szCs w:val="22"/>
              </w:rPr>
              <w:t>process  │</w:t>
            </w:r>
            <w:proofErr w:type="gramEnd"/>
            <w:r>
              <w:rPr>
                <w:rFonts w:ascii="Arial" w:eastAsia="Arial" w:hAnsi="Arial" w:cs="Arial"/>
                <w:sz w:val="22"/>
                <w:szCs w:val="22"/>
              </w:rPr>
              <w:t xml:space="preserve">  Professional judgment requirements — where does AI stop and human expertise begin?</w:t>
            </w:r>
          </w:p>
        </w:tc>
      </w:tr>
    </w:tbl>
    <w:p w14:paraId="73ACFD25" w14:textId="77777777" w:rsidR="00A87FE7" w:rsidRDefault="00000000">
      <w:pPr>
        <w:spacing w:before="140" w:after="60"/>
      </w:pPr>
      <w:r>
        <w:rPr>
          <w:rFonts w:ascii="Arial" w:eastAsia="Arial" w:hAnsi="Arial" w:cs="Arial"/>
          <w:b/>
          <w:bCs/>
          <w:sz w:val="22"/>
          <w:szCs w:val="22"/>
        </w:rPr>
        <w:t>Why it matters</w:t>
      </w:r>
    </w:p>
    <w:p w14:paraId="4E785852" w14:textId="77777777" w:rsidR="00A87FE7" w:rsidRDefault="00000000">
      <w:pPr>
        <w:spacing w:before="60" w:after="80"/>
      </w:pPr>
      <w:r>
        <w:rPr>
          <w:rFonts w:ascii="Arial" w:eastAsia="Arial" w:hAnsi="Arial" w:cs="Arial"/>
          <w:sz w:val="22"/>
          <w:szCs w:val="22"/>
        </w:rPr>
        <w:t>The application asks users to confirm column mappings, account number restrictions, and field meanings before proceeding with analysis. For example, it asks whether the Object Account column is restricted to 6 digits, and what a FERC Code column represents. This should be framed in the report as deliberate professional judgment integration — the application is designed to surface the right questions rather than make assumptions, reflecting that accounting classification requires human verification. This is not just how the app happens to work; it is a core architectural decision.</w:t>
      </w:r>
    </w:p>
    <w:p w14:paraId="79E12092"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FE7" w14:paraId="693F6811" w14:textId="77777777">
        <w:tc>
          <w:tcPr>
            <w:tcW w:w="9360" w:type="dxa"/>
            <w:tcBorders>
              <w:top w:val="none" w:sz="0" w:space="0" w:color="FFFFFF"/>
              <w:left w:val="none" w:sz="0" w:space="0" w:color="FFFFFF"/>
              <w:bottom w:val="none" w:sz="0" w:space="0" w:color="FFFFFF"/>
              <w:right w:val="none" w:sz="0" w:space="0" w:color="FFFFFF"/>
            </w:tcBorders>
            <w:shd w:val="clear" w:color="auto" w:fill="FFF8E1"/>
            <w:tcMar>
              <w:top w:w="110" w:type="dxa"/>
              <w:left w:w="180" w:type="dxa"/>
              <w:bottom w:w="110" w:type="dxa"/>
              <w:right w:w="180" w:type="dxa"/>
            </w:tcMar>
          </w:tcPr>
          <w:p w14:paraId="4CAB78A0" w14:textId="77777777" w:rsidR="00A87FE7" w:rsidRDefault="00000000">
            <w:r>
              <w:rPr>
                <w:rFonts w:ascii="Arial" w:eastAsia="Arial" w:hAnsi="Arial" w:cs="Arial"/>
                <w:i/>
                <w:iCs/>
                <w:sz w:val="22"/>
                <w:szCs w:val="22"/>
              </w:rPr>
              <w:t>See also CLAUDE.md Suggestion #7 — this design decision is also embedded as a standing instruction in CLAUDE.md.</w:t>
            </w:r>
          </w:p>
        </w:tc>
      </w:tr>
    </w:tbl>
    <w:p w14:paraId="40883B21"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440"/>
        <w:gridCol w:w="7360"/>
      </w:tblGrid>
      <w:tr w:rsidR="00A87FE7" w14:paraId="5B401529" w14:textId="77777777">
        <w:tc>
          <w:tcPr>
            <w:tcW w:w="560" w:type="dxa"/>
            <w:tcBorders>
              <w:top w:val="none" w:sz="0" w:space="0" w:color="FFFFFF"/>
              <w:left w:val="none" w:sz="0" w:space="0" w:color="FFFFFF"/>
              <w:bottom w:val="none" w:sz="0" w:space="0" w:color="FFFFFF"/>
              <w:right w:val="none" w:sz="0" w:space="0" w:color="FFFFFF"/>
            </w:tcBorders>
            <w:shd w:val="clear" w:color="auto" w:fill="1F4E79"/>
            <w:tcMar>
              <w:top w:w="100" w:type="dxa"/>
              <w:left w:w="140" w:type="dxa"/>
              <w:bottom w:w="100" w:type="dxa"/>
              <w:right w:w="140" w:type="dxa"/>
            </w:tcMar>
          </w:tcPr>
          <w:p w14:paraId="45512A7E" w14:textId="77777777" w:rsidR="00A87FE7" w:rsidRDefault="00000000">
            <w:r>
              <w:rPr>
                <w:rFonts w:ascii="Arial" w:eastAsia="Arial" w:hAnsi="Arial" w:cs="Arial"/>
                <w:b/>
                <w:bCs/>
                <w:color w:val="FFFFFF"/>
                <w:sz w:val="24"/>
                <w:szCs w:val="24"/>
              </w:rPr>
              <w:t>2</w:t>
            </w:r>
          </w:p>
        </w:tc>
        <w:tc>
          <w:tcPr>
            <w:tcW w:w="8800" w:type="dxa"/>
            <w:gridSpan w:val="2"/>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40" w:type="dxa"/>
            </w:tcMar>
          </w:tcPr>
          <w:p w14:paraId="55D804E1" w14:textId="77777777" w:rsidR="00A87FE7" w:rsidRDefault="00000000">
            <w:r>
              <w:rPr>
                <w:rFonts w:ascii="Arial" w:eastAsia="Arial" w:hAnsi="Arial" w:cs="Arial"/>
                <w:b/>
                <w:bCs/>
                <w:sz w:val="24"/>
                <w:szCs w:val="24"/>
              </w:rPr>
              <w:t>Posting Edit handling is an intentional professional judgment integration decision</w:t>
            </w:r>
          </w:p>
        </w:tc>
      </w:tr>
      <w:tr w:rsidR="00A87FE7" w14:paraId="59C621AA"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4478B58A" w14:textId="77777777" w:rsidR="00A87FE7" w:rsidRDefault="00000000">
            <w:r>
              <w:rPr>
                <w:rFonts w:ascii="Arial" w:eastAsia="Arial" w:hAnsi="Arial" w:cs="Arial"/>
                <w:b/>
                <w:bCs/>
                <w:sz w:val="22"/>
                <w:szCs w:val="22"/>
              </w:rPr>
              <w:t>Report Section</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65D93B55" w14:textId="77777777" w:rsidR="00A87FE7" w:rsidRDefault="00000000">
            <w:r>
              <w:rPr>
                <w:rFonts w:ascii="Arial" w:eastAsia="Arial" w:hAnsi="Arial" w:cs="Arial"/>
                <w:sz w:val="22"/>
                <w:szCs w:val="22"/>
              </w:rPr>
              <w:t xml:space="preserve">Section 2 (Development Process &amp; Technical </w:t>
            </w:r>
            <w:proofErr w:type="gramStart"/>
            <w:r>
              <w:rPr>
                <w:rFonts w:ascii="Arial" w:eastAsia="Arial" w:hAnsi="Arial" w:cs="Arial"/>
                <w:sz w:val="22"/>
                <w:szCs w:val="22"/>
              </w:rPr>
              <w:t>Innovation)  │</w:t>
            </w:r>
            <w:proofErr w:type="gramEnd"/>
            <w:r>
              <w:rPr>
                <w:rFonts w:ascii="Arial" w:eastAsia="Arial" w:hAnsi="Arial" w:cs="Arial"/>
                <w:sz w:val="22"/>
                <w:szCs w:val="22"/>
              </w:rPr>
              <w:t xml:space="preserve">  Section 3 (Critical Assessment &amp; Professional Considerations)</w:t>
            </w:r>
          </w:p>
        </w:tc>
      </w:tr>
      <w:tr w:rsidR="00A87FE7" w14:paraId="705BF3D3"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21066547" w14:textId="77777777" w:rsidR="00A87FE7" w:rsidRDefault="00000000">
            <w:r>
              <w:rPr>
                <w:rFonts w:ascii="Arial" w:eastAsia="Arial" w:hAnsi="Arial" w:cs="Arial"/>
                <w:b/>
                <w:bCs/>
                <w:sz w:val="22"/>
                <w:szCs w:val="22"/>
              </w:rPr>
              <w:lastRenderedPageBreak/>
              <w:t>Questions Answered</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0D682B90" w14:textId="77777777" w:rsidR="00A87FE7" w:rsidRDefault="00000000">
            <w:r>
              <w:rPr>
                <w:rFonts w:ascii="Arial" w:eastAsia="Arial" w:hAnsi="Arial" w:cs="Arial"/>
                <w:sz w:val="22"/>
                <w:szCs w:val="22"/>
              </w:rPr>
              <w:t xml:space="preserve">What makes this solution sophisticated vs. basic automation?  </w:t>
            </w:r>
            <w:proofErr w:type="gramStart"/>
            <w:r>
              <w:rPr>
                <w:rFonts w:ascii="Arial" w:eastAsia="Arial" w:hAnsi="Arial" w:cs="Arial"/>
                <w:sz w:val="22"/>
                <w:szCs w:val="22"/>
              </w:rPr>
              <w:t>│  Technical</w:t>
            </w:r>
            <w:proofErr w:type="gramEnd"/>
            <w:r>
              <w:rPr>
                <w:rFonts w:ascii="Arial" w:eastAsia="Arial" w:hAnsi="Arial" w:cs="Arial"/>
                <w:sz w:val="22"/>
                <w:szCs w:val="22"/>
              </w:rPr>
              <w:t xml:space="preserve"> design decisions and development </w:t>
            </w:r>
            <w:proofErr w:type="gramStart"/>
            <w:r>
              <w:rPr>
                <w:rFonts w:ascii="Arial" w:eastAsia="Arial" w:hAnsi="Arial" w:cs="Arial"/>
                <w:sz w:val="22"/>
                <w:szCs w:val="22"/>
              </w:rPr>
              <w:t>process  │</w:t>
            </w:r>
            <w:proofErr w:type="gramEnd"/>
            <w:r>
              <w:rPr>
                <w:rFonts w:ascii="Arial" w:eastAsia="Arial" w:hAnsi="Arial" w:cs="Arial"/>
                <w:sz w:val="22"/>
                <w:szCs w:val="22"/>
              </w:rPr>
              <w:t xml:space="preserve">  Professional judgment requirements — where does AI stop and human expertise begin?</w:t>
            </w:r>
          </w:p>
        </w:tc>
      </w:tr>
    </w:tbl>
    <w:p w14:paraId="12A5CE8E" w14:textId="77777777" w:rsidR="00A87FE7" w:rsidRDefault="00000000">
      <w:pPr>
        <w:spacing w:before="140" w:after="60"/>
      </w:pPr>
      <w:r>
        <w:rPr>
          <w:rFonts w:ascii="Arial" w:eastAsia="Arial" w:hAnsi="Arial" w:cs="Arial"/>
          <w:b/>
          <w:bCs/>
          <w:sz w:val="22"/>
          <w:szCs w:val="22"/>
        </w:rPr>
        <w:t>Why it matters</w:t>
      </w:r>
    </w:p>
    <w:p w14:paraId="7DF1DC73" w14:textId="77777777" w:rsidR="00A87FE7" w:rsidRDefault="00000000">
      <w:pPr>
        <w:spacing w:before="60" w:after="80"/>
      </w:pPr>
      <w:r>
        <w:rPr>
          <w:rFonts w:ascii="Arial" w:eastAsia="Arial" w:hAnsi="Arial" w:cs="Arial"/>
          <w:sz w:val="22"/>
          <w:szCs w:val="22"/>
        </w:rPr>
        <w:t>The application presents the full list of available Posting Edit codes and their descriptions to the requestor and asks them to choose, rather than attempting to automate the selection. This reflects that Posting Edit is inherently subjective — the correct code depends on operational context that only the requestor knows. The report should explain this as a deliberate human decision point built into the workflow, and frame it as an example of where professional judgment cannot and should not be automated away.</w:t>
      </w:r>
    </w:p>
    <w:p w14:paraId="42A310D4"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440"/>
        <w:gridCol w:w="7360"/>
      </w:tblGrid>
      <w:tr w:rsidR="00A87FE7" w14:paraId="33EA20A1" w14:textId="77777777">
        <w:tc>
          <w:tcPr>
            <w:tcW w:w="560" w:type="dxa"/>
            <w:tcBorders>
              <w:top w:val="none" w:sz="0" w:space="0" w:color="FFFFFF"/>
              <w:left w:val="none" w:sz="0" w:space="0" w:color="FFFFFF"/>
              <w:bottom w:val="none" w:sz="0" w:space="0" w:color="FFFFFF"/>
              <w:right w:val="none" w:sz="0" w:space="0" w:color="FFFFFF"/>
            </w:tcBorders>
            <w:shd w:val="clear" w:color="auto" w:fill="1F4E79"/>
            <w:tcMar>
              <w:top w:w="100" w:type="dxa"/>
              <w:left w:w="140" w:type="dxa"/>
              <w:bottom w:w="100" w:type="dxa"/>
              <w:right w:w="140" w:type="dxa"/>
            </w:tcMar>
          </w:tcPr>
          <w:p w14:paraId="04C961F9" w14:textId="77777777" w:rsidR="00A87FE7" w:rsidRDefault="00000000">
            <w:r>
              <w:rPr>
                <w:rFonts w:ascii="Arial" w:eastAsia="Arial" w:hAnsi="Arial" w:cs="Arial"/>
                <w:b/>
                <w:bCs/>
                <w:color w:val="FFFFFF"/>
                <w:sz w:val="24"/>
                <w:szCs w:val="24"/>
              </w:rPr>
              <w:t>3</w:t>
            </w:r>
          </w:p>
        </w:tc>
        <w:tc>
          <w:tcPr>
            <w:tcW w:w="8800" w:type="dxa"/>
            <w:gridSpan w:val="2"/>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40" w:type="dxa"/>
            </w:tcMar>
          </w:tcPr>
          <w:p w14:paraId="3CC02F7A" w14:textId="77777777" w:rsidR="00A87FE7" w:rsidRDefault="00000000">
            <w:r>
              <w:rPr>
                <w:rFonts w:ascii="Arial" w:eastAsia="Arial" w:hAnsi="Arial" w:cs="Arial"/>
                <w:b/>
                <w:bCs/>
                <w:sz w:val="24"/>
                <w:szCs w:val="24"/>
              </w:rPr>
              <w:t>Company and Business Unit are excluded from pattern recognition analysis, but are included in the data and output</w:t>
            </w:r>
          </w:p>
        </w:tc>
      </w:tr>
      <w:tr w:rsidR="00A87FE7" w14:paraId="086575D9"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37F29B01" w14:textId="77777777" w:rsidR="00A87FE7" w:rsidRDefault="00000000">
            <w:r>
              <w:rPr>
                <w:rFonts w:ascii="Arial" w:eastAsia="Arial" w:hAnsi="Arial" w:cs="Arial"/>
                <w:b/>
                <w:bCs/>
                <w:sz w:val="22"/>
                <w:szCs w:val="22"/>
              </w:rPr>
              <w:t>Report Section</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71313905" w14:textId="77777777" w:rsidR="00A87FE7" w:rsidRDefault="00000000">
            <w:r>
              <w:rPr>
                <w:rFonts w:ascii="Arial" w:eastAsia="Arial" w:hAnsi="Arial" w:cs="Arial"/>
                <w:sz w:val="22"/>
                <w:szCs w:val="22"/>
              </w:rPr>
              <w:t xml:space="preserve">Section 2 (Development Process &amp; Technical </w:t>
            </w:r>
            <w:proofErr w:type="gramStart"/>
            <w:r>
              <w:rPr>
                <w:rFonts w:ascii="Arial" w:eastAsia="Arial" w:hAnsi="Arial" w:cs="Arial"/>
                <w:sz w:val="22"/>
                <w:szCs w:val="22"/>
              </w:rPr>
              <w:t>Innovation)  │</w:t>
            </w:r>
            <w:proofErr w:type="gramEnd"/>
            <w:r>
              <w:rPr>
                <w:rFonts w:ascii="Arial" w:eastAsia="Arial" w:hAnsi="Arial" w:cs="Arial"/>
                <w:sz w:val="22"/>
                <w:szCs w:val="22"/>
              </w:rPr>
              <w:t xml:space="preserve">  Section 3 (Critical Assessment &amp; Professional Considerations)</w:t>
            </w:r>
          </w:p>
        </w:tc>
      </w:tr>
      <w:tr w:rsidR="00A87FE7" w14:paraId="7387B2B5"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3766B137" w14:textId="77777777" w:rsidR="00A87FE7" w:rsidRDefault="00000000">
            <w:r>
              <w:rPr>
                <w:rFonts w:ascii="Arial" w:eastAsia="Arial" w:hAnsi="Arial" w:cs="Arial"/>
                <w:b/>
                <w:bCs/>
                <w:sz w:val="22"/>
                <w:szCs w:val="22"/>
              </w:rPr>
              <w:t>Questions Answered</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79A96B56" w14:textId="77777777" w:rsidR="00A87FE7" w:rsidRDefault="00000000">
            <w:r>
              <w:rPr>
                <w:rFonts w:ascii="Arial" w:eastAsia="Arial" w:hAnsi="Arial" w:cs="Arial"/>
                <w:sz w:val="22"/>
                <w:szCs w:val="22"/>
              </w:rPr>
              <w:t xml:space="preserve">Technical design decisions and development </w:t>
            </w:r>
            <w:proofErr w:type="gramStart"/>
            <w:r>
              <w:rPr>
                <w:rFonts w:ascii="Arial" w:eastAsia="Arial" w:hAnsi="Arial" w:cs="Arial"/>
                <w:sz w:val="22"/>
                <w:szCs w:val="22"/>
              </w:rPr>
              <w:t>process  │</w:t>
            </w:r>
            <w:proofErr w:type="gramEnd"/>
            <w:r>
              <w:rPr>
                <w:rFonts w:ascii="Arial" w:eastAsia="Arial" w:hAnsi="Arial" w:cs="Arial"/>
                <w:sz w:val="22"/>
                <w:szCs w:val="22"/>
              </w:rPr>
              <w:t xml:space="preserve">  Limitations and areas for improvement</w:t>
            </w:r>
          </w:p>
        </w:tc>
      </w:tr>
    </w:tbl>
    <w:p w14:paraId="37DFBC52" w14:textId="77777777" w:rsidR="00A87FE7" w:rsidRDefault="00000000">
      <w:pPr>
        <w:spacing w:before="140" w:after="60"/>
      </w:pPr>
      <w:r>
        <w:rPr>
          <w:rFonts w:ascii="Arial" w:eastAsia="Arial" w:hAnsi="Arial" w:cs="Arial"/>
          <w:b/>
          <w:bCs/>
          <w:sz w:val="22"/>
          <w:szCs w:val="22"/>
        </w:rPr>
        <w:t>Why it matters</w:t>
      </w:r>
    </w:p>
    <w:p w14:paraId="1D48654A" w14:textId="77777777" w:rsidR="00A87FE7" w:rsidRDefault="00000000">
      <w:pPr>
        <w:spacing w:before="60" w:after="80"/>
      </w:pPr>
      <w:r>
        <w:rPr>
          <w:rFonts w:ascii="Arial" w:eastAsia="Arial" w:hAnsi="Arial" w:cs="Arial"/>
          <w:sz w:val="22"/>
          <w:szCs w:val="22"/>
        </w:rPr>
        <w:t xml:space="preserve">The test Chart of Accounts includes Company and Business Unit columns, and the final output of a new account includes both fields. However, the application deliberately excludes these fields from its pattern recognition and account suggestion logic — analyzing only the unique 6-digit account number. Company and Business Unit are instead presented to the human requestor as a selection at the end of the workflow, </w:t>
      </w:r>
      <w:proofErr w:type="gramStart"/>
      <w:r>
        <w:rPr>
          <w:rFonts w:ascii="Arial" w:eastAsia="Arial" w:hAnsi="Arial" w:cs="Arial"/>
          <w:sz w:val="22"/>
          <w:szCs w:val="22"/>
        </w:rPr>
        <w:t>similar to</w:t>
      </w:r>
      <w:proofErr w:type="gramEnd"/>
      <w:r>
        <w:rPr>
          <w:rFonts w:ascii="Arial" w:eastAsia="Arial" w:hAnsi="Arial" w:cs="Arial"/>
          <w:sz w:val="22"/>
          <w:szCs w:val="22"/>
        </w:rPr>
        <w:t xml:space="preserve"> Posting Edit. This is a </w:t>
      </w:r>
      <w:proofErr w:type="gramStart"/>
      <w:r>
        <w:rPr>
          <w:rFonts w:ascii="Arial" w:eastAsia="Arial" w:hAnsi="Arial" w:cs="Arial"/>
          <w:sz w:val="22"/>
          <w:szCs w:val="22"/>
        </w:rPr>
        <w:t>deliberate scope</w:t>
      </w:r>
      <w:proofErr w:type="gramEnd"/>
      <w:r>
        <w:rPr>
          <w:rFonts w:ascii="Arial" w:eastAsia="Arial" w:hAnsi="Arial" w:cs="Arial"/>
          <w:sz w:val="22"/>
          <w:szCs w:val="22"/>
        </w:rPr>
        <w:t xml:space="preserve"> decision that keeps the analytical logic clean and focused, while still producing a complete, realistic account record. The report should frame this as an intentional design choice rather than an </w:t>
      </w:r>
      <w:proofErr w:type="gramStart"/>
      <w:r>
        <w:rPr>
          <w:rFonts w:ascii="Arial" w:eastAsia="Arial" w:hAnsi="Arial" w:cs="Arial"/>
          <w:sz w:val="22"/>
          <w:szCs w:val="22"/>
        </w:rPr>
        <w:t>oversight, and</w:t>
      </w:r>
      <w:proofErr w:type="gramEnd"/>
      <w:r>
        <w:rPr>
          <w:rFonts w:ascii="Arial" w:eastAsia="Arial" w:hAnsi="Arial" w:cs="Arial"/>
          <w:sz w:val="22"/>
          <w:szCs w:val="22"/>
        </w:rPr>
        <w:t xml:space="preserve"> note that expanding the analysis to </w:t>
      </w:r>
      <w:proofErr w:type="gramStart"/>
      <w:r>
        <w:rPr>
          <w:rFonts w:ascii="Arial" w:eastAsia="Arial" w:hAnsi="Arial" w:cs="Arial"/>
          <w:sz w:val="22"/>
          <w:szCs w:val="22"/>
        </w:rPr>
        <w:t>factor</w:t>
      </w:r>
      <w:proofErr w:type="gramEnd"/>
      <w:r>
        <w:rPr>
          <w:rFonts w:ascii="Arial" w:eastAsia="Arial" w:hAnsi="Arial" w:cs="Arial"/>
          <w:sz w:val="22"/>
          <w:szCs w:val="22"/>
        </w:rPr>
        <w:t xml:space="preserve"> in Company or Business Unit context is a natural future enhancement.</w:t>
      </w:r>
    </w:p>
    <w:p w14:paraId="7D629701"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440"/>
        <w:gridCol w:w="7360"/>
      </w:tblGrid>
      <w:tr w:rsidR="00A87FE7" w14:paraId="774FFF16" w14:textId="77777777">
        <w:tc>
          <w:tcPr>
            <w:tcW w:w="560" w:type="dxa"/>
            <w:tcBorders>
              <w:top w:val="none" w:sz="0" w:space="0" w:color="FFFFFF"/>
              <w:left w:val="none" w:sz="0" w:space="0" w:color="FFFFFF"/>
              <w:bottom w:val="none" w:sz="0" w:space="0" w:color="FFFFFF"/>
              <w:right w:val="none" w:sz="0" w:space="0" w:color="FFFFFF"/>
            </w:tcBorders>
            <w:shd w:val="clear" w:color="auto" w:fill="1F4E79"/>
            <w:tcMar>
              <w:top w:w="100" w:type="dxa"/>
              <w:left w:w="140" w:type="dxa"/>
              <w:bottom w:w="100" w:type="dxa"/>
              <w:right w:w="140" w:type="dxa"/>
            </w:tcMar>
          </w:tcPr>
          <w:p w14:paraId="4A47FA5F" w14:textId="77777777" w:rsidR="00A87FE7" w:rsidRDefault="00000000">
            <w:r>
              <w:rPr>
                <w:rFonts w:ascii="Arial" w:eastAsia="Arial" w:hAnsi="Arial" w:cs="Arial"/>
                <w:b/>
                <w:bCs/>
                <w:color w:val="FFFFFF"/>
                <w:sz w:val="24"/>
                <w:szCs w:val="24"/>
              </w:rPr>
              <w:t>4</w:t>
            </w:r>
          </w:p>
        </w:tc>
        <w:tc>
          <w:tcPr>
            <w:tcW w:w="8800" w:type="dxa"/>
            <w:gridSpan w:val="2"/>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40" w:type="dxa"/>
            </w:tcMar>
          </w:tcPr>
          <w:p w14:paraId="465CF5D6" w14:textId="77777777" w:rsidR="00A87FE7" w:rsidRDefault="00000000">
            <w:r>
              <w:rPr>
                <w:rFonts w:ascii="Arial" w:eastAsia="Arial" w:hAnsi="Arial" w:cs="Arial"/>
                <w:b/>
                <w:bCs/>
                <w:sz w:val="24"/>
                <w:szCs w:val="24"/>
              </w:rPr>
              <w:t>Intentional gaps in account number ranges are a feature, not an error</w:t>
            </w:r>
          </w:p>
        </w:tc>
      </w:tr>
      <w:tr w:rsidR="00A87FE7" w14:paraId="45048477"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52F9E1DB" w14:textId="77777777" w:rsidR="00A87FE7" w:rsidRDefault="00000000">
            <w:r>
              <w:rPr>
                <w:rFonts w:ascii="Arial" w:eastAsia="Arial" w:hAnsi="Arial" w:cs="Arial"/>
                <w:b/>
                <w:bCs/>
                <w:sz w:val="22"/>
                <w:szCs w:val="22"/>
              </w:rPr>
              <w:t>Report Section</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575A79EE" w14:textId="77777777" w:rsidR="00A87FE7" w:rsidRDefault="00000000">
            <w:r>
              <w:rPr>
                <w:rFonts w:ascii="Arial" w:eastAsia="Arial" w:hAnsi="Arial" w:cs="Arial"/>
                <w:sz w:val="22"/>
                <w:szCs w:val="22"/>
              </w:rPr>
              <w:t>Section 2 (Development Process &amp; Technical Innovation)</w:t>
            </w:r>
          </w:p>
        </w:tc>
      </w:tr>
      <w:tr w:rsidR="00A87FE7" w14:paraId="2FE97051"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595A9D60" w14:textId="77777777" w:rsidR="00A87FE7" w:rsidRDefault="00000000">
            <w:r>
              <w:rPr>
                <w:rFonts w:ascii="Arial" w:eastAsia="Arial" w:hAnsi="Arial" w:cs="Arial"/>
                <w:b/>
                <w:bCs/>
                <w:sz w:val="22"/>
                <w:szCs w:val="22"/>
              </w:rPr>
              <w:t>Questions Answered</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0454450B" w14:textId="77777777" w:rsidR="00A87FE7" w:rsidRDefault="00000000">
            <w:r>
              <w:rPr>
                <w:rFonts w:ascii="Arial" w:eastAsia="Arial" w:hAnsi="Arial" w:cs="Arial"/>
                <w:sz w:val="22"/>
                <w:szCs w:val="22"/>
              </w:rPr>
              <w:t xml:space="preserve">Technical design decisions and development </w:t>
            </w:r>
            <w:proofErr w:type="gramStart"/>
            <w:r>
              <w:rPr>
                <w:rFonts w:ascii="Arial" w:eastAsia="Arial" w:hAnsi="Arial" w:cs="Arial"/>
                <w:sz w:val="22"/>
                <w:szCs w:val="22"/>
              </w:rPr>
              <w:t>process  │</w:t>
            </w:r>
            <w:proofErr w:type="gramEnd"/>
            <w:r>
              <w:rPr>
                <w:rFonts w:ascii="Arial" w:eastAsia="Arial" w:hAnsi="Arial" w:cs="Arial"/>
                <w:sz w:val="22"/>
                <w:szCs w:val="22"/>
              </w:rPr>
              <w:t xml:space="preserve">  What makes this solution sophisticated vs. basic automation?</w:t>
            </w:r>
          </w:p>
        </w:tc>
      </w:tr>
    </w:tbl>
    <w:p w14:paraId="2986AB8B" w14:textId="77777777" w:rsidR="00A87FE7" w:rsidRDefault="00000000">
      <w:pPr>
        <w:spacing w:before="140" w:after="60"/>
      </w:pPr>
      <w:r>
        <w:rPr>
          <w:rFonts w:ascii="Arial" w:eastAsia="Arial" w:hAnsi="Arial" w:cs="Arial"/>
          <w:b/>
          <w:bCs/>
          <w:sz w:val="22"/>
          <w:szCs w:val="22"/>
        </w:rPr>
        <w:t>Why it matters</w:t>
      </w:r>
    </w:p>
    <w:p w14:paraId="2E6FBE5A" w14:textId="77777777" w:rsidR="00A87FE7" w:rsidRDefault="00000000">
      <w:pPr>
        <w:spacing w:before="60" w:after="80"/>
      </w:pPr>
      <w:r>
        <w:rPr>
          <w:rFonts w:ascii="Arial" w:eastAsia="Arial" w:hAnsi="Arial" w:cs="Arial"/>
          <w:sz w:val="22"/>
          <w:szCs w:val="22"/>
        </w:rPr>
        <w:t xml:space="preserve">The test Chart of Accounts has deliberate gaps between account number ranges, modeled on real utility company CoA design where ranges are reserved for future categories — for example, to accommodate new GASB-required accounts or organizational restructuring. The application is specifically instructed not to suggest account numbers in those gap ranges. The report should describe this as a realistic design choice that reflects professional CoA management </w:t>
      </w:r>
      <w:proofErr w:type="gramStart"/>
      <w:r>
        <w:rPr>
          <w:rFonts w:ascii="Arial" w:eastAsia="Arial" w:hAnsi="Arial" w:cs="Arial"/>
          <w:sz w:val="22"/>
          <w:szCs w:val="22"/>
        </w:rPr>
        <w:t>practice, and</w:t>
      </w:r>
      <w:proofErr w:type="gramEnd"/>
      <w:r>
        <w:rPr>
          <w:rFonts w:ascii="Arial" w:eastAsia="Arial" w:hAnsi="Arial" w:cs="Arial"/>
          <w:sz w:val="22"/>
          <w:szCs w:val="22"/>
        </w:rPr>
        <w:t xml:space="preserve"> note that the instruction to respect gaps was explicitly built into the application’s logic.</w:t>
      </w:r>
    </w:p>
    <w:p w14:paraId="0FE647C8"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440"/>
        <w:gridCol w:w="7360"/>
      </w:tblGrid>
      <w:tr w:rsidR="00A87FE7" w14:paraId="3D504A1C" w14:textId="77777777">
        <w:tc>
          <w:tcPr>
            <w:tcW w:w="560" w:type="dxa"/>
            <w:tcBorders>
              <w:top w:val="none" w:sz="0" w:space="0" w:color="FFFFFF"/>
              <w:left w:val="none" w:sz="0" w:space="0" w:color="FFFFFF"/>
              <w:bottom w:val="none" w:sz="0" w:space="0" w:color="FFFFFF"/>
              <w:right w:val="none" w:sz="0" w:space="0" w:color="FFFFFF"/>
            </w:tcBorders>
            <w:shd w:val="clear" w:color="auto" w:fill="1F4E79"/>
            <w:tcMar>
              <w:top w:w="100" w:type="dxa"/>
              <w:left w:w="140" w:type="dxa"/>
              <w:bottom w:w="100" w:type="dxa"/>
              <w:right w:w="140" w:type="dxa"/>
            </w:tcMar>
          </w:tcPr>
          <w:p w14:paraId="105C8945" w14:textId="77777777" w:rsidR="00A87FE7" w:rsidRDefault="00000000">
            <w:r>
              <w:rPr>
                <w:rFonts w:ascii="Arial" w:eastAsia="Arial" w:hAnsi="Arial" w:cs="Arial"/>
                <w:b/>
                <w:bCs/>
                <w:color w:val="FFFFFF"/>
                <w:sz w:val="24"/>
                <w:szCs w:val="24"/>
              </w:rPr>
              <w:lastRenderedPageBreak/>
              <w:t>5</w:t>
            </w:r>
          </w:p>
        </w:tc>
        <w:tc>
          <w:tcPr>
            <w:tcW w:w="8800" w:type="dxa"/>
            <w:gridSpan w:val="2"/>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40" w:type="dxa"/>
            </w:tcMar>
          </w:tcPr>
          <w:p w14:paraId="490AC5BA" w14:textId="77777777" w:rsidR="00A87FE7" w:rsidRDefault="00000000">
            <w:r>
              <w:rPr>
                <w:rFonts w:ascii="Arial" w:eastAsia="Arial" w:hAnsi="Arial" w:cs="Arial"/>
                <w:b/>
                <w:bCs/>
                <w:sz w:val="24"/>
                <w:szCs w:val="24"/>
              </w:rPr>
              <w:t>GASB/FASB hybrid nuance is a known limitation, intentionally out of scope</w:t>
            </w:r>
          </w:p>
        </w:tc>
      </w:tr>
      <w:tr w:rsidR="00A87FE7" w14:paraId="763A76D6"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4C37F055" w14:textId="77777777" w:rsidR="00A87FE7" w:rsidRDefault="00000000">
            <w:r>
              <w:rPr>
                <w:rFonts w:ascii="Arial" w:eastAsia="Arial" w:hAnsi="Arial" w:cs="Arial"/>
                <w:b/>
                <w:bCs/>
                <w:sz w:val="22"/>
                <w:szCs w:val="22"/>
              </w:rPr>
              <w:t>Report Section</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190BD6C1" w14:textId="77777777" w:rsidR="00A87FE7" w:rsidRDefault="00000000">
            <w:r>
              <w:rPr>
                <w:rFonts w:ascii="Arial" w:eastAsia="Arial" w:hAnsi="Arial" w:cs="Arial"/>
                <w:sz w:val="22"/>
                <w:szCs w:val="22"/>
              </w:rPr>
              <w:t>Section 3 (Critical Assessment &amp; Professional Considerations)</w:t>
            </w:r>
          </w:p>
        </w:tc>
      </w:tr>
      <w:tr w:rsidR="00A87FE7" w14:paraId="4D5C7BC0"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3BEDEFF2" w14:textId="77777777" w:rsidR="00A87FE7" w:rsidRDefault="00000000">
            <w:r>
              <w:rPr>
                <w:rFonts w:ascii="Arial" w:eastAsia="Arial" w:hAnsi="Arial" w:cs="Arial"/>
                <w:b/>
                <w:bCs/>
                <w:sz w:val="22"/>
                <w:szCs w:val="22"/>
              </w:rPr>
              <w:t>Questions Answered</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321AE8A9" w14:textId="77777777" w:rsidR="00A87FE7" w:rsidRDefault="00000000">
            <w:r>
              <w:rPr>
                <w:rFonts w:ascii="Arial" w:eastAsia="Arial" w:hAnsi="Arial" w:cs="Arial"/>
                <w:sz w:val="22"/>
                <w:szCs w:val="22"/>
              </w:rPr>
              <w:t xml:space="preserve">Limitations and areas for </w:t>
            </w:r>
            <w:proofErr w:type="gramStart"/>
            <w:r>
              <w:rPr>
                <w:rFonts w:ascii="Arial" w:eastAsia="Arial" w:hAnsi="Arial" w:cs="Arial"/>
                <w:sz w:val="22"/>
                <w:szCs w:val="22"/>
              </w:rPr>
              <w:t>improvement  │</w:t>
            </w:r>
            <w:proofErr w:type="gramEnd"/>
            <w:r>
              <w:rPr>
                <w:rFonts w:ascii="Arial" w:eastAsia="Arial" w:hAnsi="Arial" w:cs="Arial"/>
                <w:sz w:val="22"/>
                <w:szCs w:val="22"/>
              </w:rPr>
              <w:t xml:space="preserve">  Professional judgment requirements — where does AI stop and human expertise begin?</w:t>
            </w:r>
          </w:p>
        </w:tc>
      </w:tr>
    </w:tbl>
    <w:p w14:paraId="70046537" w14:textId="77777777" w:rsidR="00A87FE7" w:rsidRDefault="00000000">
      <w:pPr>
        <w:spacing w:before="140" w:after="60"/>
      </w:pPr>
      <w:r>
        <w:rPr>
          <w:rFonts w:ascii="Arial" w:eastAsia="Arial" w:hAnsi="Arial" w:cs="Arial"/>
          <w:b/>
          <w:bCs/>
          <w:sz w:val="22"/>
          <w:szCs w:val="22"/>
        </w:rPr>
        <w:t>Why it matters</w:t>
      </w:r>
    </w:p>
    <w:p w14:paraId="73ABE178" w14:textId="77777777" w:rsidR="00A87FE7" w:rsidRDefault="00000000">
      <w:pPr>
        <w:spacing w:before="60" w:after="80"/>
      </w:pPr>
      <w:r>
        <w:rPr>
          <w:rFonts w:ascii="Arial" w:eastAsia="Arial" w:hAnsi="Arial" w:cs="Arial"/>
          <w:sz w:val="22"/>
          <w:szCs w:val="22"/>
        </w:rPr>
        <w:t xml:space="preserve">In the real utility company context that this project is modeled on, accounts can exist in a hybrid GASB/FASB environment where classification rules differ depending on which framework applies to the entity or transaction type. Municipal utilities </w:t>
      </w:r>
      <w:proofErr w:type="gramStart"/>
      <w:r>
        <w:rPr>
          <w:rFonts w:ascii="Arial" w:eastAsia="Arial" w:hAnsi="Arial" w:cs="Arial"/>
          <w:sz w:val="22"/>
          <w:szCs w:val="22"/>
        </w:rPr>
        <w:t>in particular may</w:t>
      </w:r>
      <w:proofErr w:type="gramEnd"/>
      <w:r>
        <w:rPr>
          <w:rFonts w:ascii="Arial" w:eastAsia="Arial" w:hAnsi="Arial" w:cs="Arial"/>
          <w:sz w:val="22"/>
          <w:szCs w:val="22"/>
        </w:rPr>
        <w:t xml:space="preserve"> follow GASB for governmental reporting while applying FASB standards for certain subsidiary or commercial operations. This complexity is acknowledged but intentionally excluded from the project scope. Documenting it in Section 3 demonstrates professional awareness of the limitation and shows the project was designed with real-world constraints in mind, not just academic ones.</w:t>
      </w:r>
    </w:p>
    <w:p w14:paraId="23F5A76A"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440"/>
        <w:gridCol w:w="7360"/>
      </w:tblGrid>
      <w:tr w:rsidR="00A87FE7" w14:paraId="539AF26F" w14:textId="77777777">
        <w:tc>
          <w:tcPr>
            <w:tcW w:w="560" w:type="dxa"/>
            <w:tcBorders>
              <w:top w:val="none" w:sz="0" w:space="0" w:color="FFFFFF"/>
              <w:left w:val="none" w:sz="0" w:space="0" w:color="FFFFFF"/>
              <w:bottom w:val="none" w:sz="0" w:space="0" w:color="FFFFFF"/>
              <w:right w:val="none" w:sz="0" w:space="0" w:color="FFFFFF"/>
            </w:tcBorders>
            <w:shd w:val="clear" w:color="auto" w:fill="1F4E79"/>
            <w:tcMar>
              <w:top w:w="100" w:type="dxa"/>
              <w:left w:w="140" w:type="dxa"/>
              <w:bottom w:w="100" w:type="dxa"/>
              <w:right w:w="140" w:type="dxa"/>
            </w:tcMar>
          </w:tcPr>
          <w:p w14:paraId="222459DD" w14:textId="77777777" w:rsidR="00A87FE7" w:rsidRDefault="00000000">
            <w:r>
              <w:rPr>
                <w:rFonts w:ascii="Arial" w:eastAsia="Arial" w:hAnsi="Arial" w:cs="Arial"/>
                <w:b/>
                <w:bCs/>
                <w:color w:val="FFFFFF"/>
                <w:sz w:val="24"/>
                <w:szCs w:val="24"/>
              </w:rPr>
              <w:t>6</w:t>
            </w:r>
          </w:p>
        </w:tc>
        <w:tc>
          <w:tcPr>
            <w:tcW w:w="8800" w:type="dxa"/>
            <w:gridSpan w:val="2"/>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40" w:type="dxa"/>
            </w:tcMar>
          </w:tcPr>
          <w:p w14:paraId="67982A48" w14:textId="77777777" w:rsidR="00A87FE7" w:rsidRDefault="00000000">
            <w:r>
              <w:rPr>
                <w:rFonts w:ascii="Arial" w:eastAsia="Arial" w:hAnsi="Arial" w:cs="Arial"/>
                <w:b/>
                <w:bCs/>
                <w:sz w:val="24"/>
                <w:szCs w:val="24"/>
              </w:rPr>
              <w:t xml:space="preserve">Account ID is </w:t>
            </w:r>
            <w:proofErr w:type="gramStart"/>
            <w:r>
              <w:rPr>
                <w:rFonts w:ascii="Arial" w:eastAsia="Arial" w:hAnsi="Arial" w:cs="Arial"/>
                <w:b/>
                <w:bCs/>
                <w:sz w:val="24"/>
                <w:szCs w:val="24"/>
              </w:rPr>
              <w:t>auto-generated</w:t>
            </w:r>
            <w:proofErr w:type="gramEnd"/>
            <w:r>
              <w:rPr>
                <w:rFonts w:ascii="Arial" w:eastAsia="Arial" w:hAnsi="Arial" w:cs="Arial"/>
                <w:b/>
                <w:bCs/>
                <w:sz w:val="24"/>
                <w:szCs w:val="24"/>
              </w:rPr>
              <w:t xml:space="preserve"> and non-reusable by design</w:t>
            </w:r>
          </w:p>
        </w:tc>
      </w:tr>
      <w:tr w:rsidR="00A87FE7" w14:paraId="248BF351"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7A5363D6" w14:textId="77777777" w:rsidR="00A87FE7" w:rsidRDefault="00000000">
            <w:r>
              <w:rPr>
                <w:rFonts w:ascii="Arial" w:eastAsia="Arial" w:hAnsi="Arial" w:cs="Arial"/>
                <w:b/>
                <w:bCs/>
                <w:sz w:val="22"/>
                <w:szCs w:val="22"/>
              </w:rPr>
              <w:t>Report Section</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6C2A0EF0" w14:textId="77777777" w:rsidR="00A87FE7" w:rsidRDefault="00000000">
            <w:r>
              <w:rPr>
                <w:rFonts w:ascii="Arial" w:eastAsia="Arial" w:hAnsi="Arial" w:cs="Arial"/>
                <w:sz w:val="22"/>
                <w:szCs w:val="22"/>
              </w:rPr>
              <w:t>Section 2 (Development Process &amp; Technical Innovation)</w:t>
            </w:r>
          </w:p>
        </w:tc>
      </w:tr>
      <w:tr w:rsidR="00A87FE7" w14:paraId="235501E2"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28023415" w14:textId="77777777" w:rsidR="00A87FE7" w:rsidRDefault="00000000">
            <w:r>
              <w:rPr>
                <w:rFonts w:ascii="Arial" w:eastAsia="Arial" w:hAnsi="Arial" w:cs="Arial"/>
                <w:b/>
                <w:bCs/>
                <w:sz w:val="22"/>
                <w:szCs w:val="22"/>
              </w:rPr>
              <w:t>Questions Answered</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7794D24E" w14:textId="77777777" w:rsidR="00A87FE7" w:rsidRDefault="00000000">
            <w:r>
              <w:rPr>
                <w:rFonts w:ascii="Arial" w:eastAsia="Arial" w:hAnsi="Arial" w:cs="Arial"/>
                <w:sz w:val="22"/>
                <w:szCs w:val="22"/>
              </w:rPr>
              <w:t xml:space="preserve">Technical design decisions and development </w:t>
            </w:r>
            <w:proofErr w:type="gramStart"/>
            <w:r>
              <w:rPr>
                <w:rFonts w:ascii="Arial" w:eastAsia="Arial" w:hAnsi="Arial" w:cs="Arial"/>
                <w:sz w:val="22"/>
                <w:szCs w:val="22"/>
              </w:rPr>
              <w:t>process  │</w:t>
            </w:r>
            <w:proofErr w:type="gramEnd"/>
            <w:r>
              <w:rPr>
                <w:rFonts w:ascii="Arial" w:eastAsia="Arial" w:hAnsi="Arial" w:cs="Arial"/>
                <w:sz w:val="22"/>
                <w:szCs w:val="22"/>
              </w:rPr>
              <w:t xml:space="preserve">  What makes this solution sophisticated vs. basic automation?</w:t>
            </w:r>
          </w:p>
        </w:tc>
      </w:tr>
    </w:tbl>
    <w:p w14:paraId="0F360535" w14:textId="77777777" w:rsidR="00A87FE7" w:rsidRDefault="00000000">
      <w:pPr>
        <w:spacing w:before="140" w:after="60"/>
      </w:pPr>
      <w:r>
        <w:rPr>
          <w:rFonts w:ascii="Arial" w:eastAsia="Arial" w:hAnsi="Arial" w:cs="Arial"/>
          <w:b/>
          <w:bCs/>
          <w:sz w:val="22"/>
          <w:szCs w:val="22"/>
        </w:rPr>
        <w:t>Why it matters</w:t>
      </w:r>
    </w:p>
    <w:p w14:paraId="26728E62" w14:textId="77777777" w:rsidR="00A87FE7" w:rsidRDefault="00000000">
      <w:pPr>
        <w:spacing w:before="60" w:after="80"/>
      </w:pPr>
      <w:r>
        <w:rPr>
          <w:rFonts w:ascii="Arial" w:eastAsia="Arial" w:hAnsi="Arial" w:cs="Arial"/>
          <w:sz w:val="22"/>
          <w:szCs w:val="22"/>
        </w:rPr>
        <w:t>Account IDs are automatically generated by the application as unique 10-digit numeric identifiers for every new account row. Even if an account is later deleted from the CoA, its Account ID does not become available again — it is permanently retired. This mirrors real accounting system behavior where unique identifiers are permanent records, ensuring audit trail integrity. The report should note this as a deliberate design decision that reflects professional accounting system standards rather than a technical limitation.</w:t>
      </w:r>
    </w:p>
    <w:p w14:paraId="13CD0E0F"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440"/>
        <w:gridCol w:w="7360"/>
      </w:tblGrid>
      <w:tr w:rsidR="00A87FE7" w14:paraId="32B971C4" w14:textId="77777777">
        <w:tc>
          <w:tcPr>
            <w:tcW w:w="560" w:type="dxa"/>
            <w:tcBorders>
              <w:top w:val="none" w:sz="0" w:space="0" w:color="FFFFFF"/>
              <w:left w:val="none" w:sz="0" w:space="0" w:color="FFFFFF"/>
              <w:bottom w:val="none" w:sz="0" w:space="0" w:color="FFFFFF"/>
              <w:right w:val="none" w:sz="0" w:space="0" w:color="FFFFFF"/>
            </w:tcBorders>
            <w:shd w:val="clear" w:color="auto" w:fill="1F4E79"/>
            <w:tcMar>
              <w:top w:w="100" w:type="dxa"/>
              <w:left w:w="140" w:type="dxa"/>
              <w:bottom w:w="100" w:type="dxa"/>
              <w:right w:w="140" w:type="dxa"/>
            </w:tcMar>
          </w:tcPr>
          <w:p w14:paraId="3CA121BA" w14:textId="77777777" w:rsidR="00A87FE7" w:rsidRDefault="00000000">
            <w:r>
              <w:rPr>
                <w:rFonts w:ascii="Arial" w:eastAsia="Arial" w:hAnsi="Arial" w:cs="Arial"/>
                <w:b/>
                <w:bCs/>
                <w:color w:val="FFFFFF"/>
                <w:sz w:val="24"/>
                <w:szCs w:val="24"/>
              </w:rPr>
              <w:t>7</w:t>
            </w:r>
          </w:p>
        </w:tc>
        <w:tc>
          <w:tcPr>
            <w:tcW w:w="8800" w:type="dxa"/>
            <w:gridSpan w:val="2"/>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40" w:type="dxa"/>
            </w:tcMar>
          </w:tcPr>
          <w:p w14:paraId="0C97B2F7" w14:textId="77777777" w:rsidR="00A87FE7" w:rsidRDefault="00000000">
            <w:r>
              <w:rPr>
                <w:rFonts w:ascii="Arial" w:eastAsia="Arial" w:hAnsi="Arial" w:cs="Arial"/>
                <w:b/>
                <w:bCs/>
                <w:sz w:val="24"/>
                <w:szCs w:val="24"/>
              </w:rPr>
              <w:t>Subsidiaries intentionally excluded from scope</w:t>
            </w:r>
          </w:p>
        </w:tc>
      </w:tr>
      <w:tr w:rsidR="00A87FE7" w14:paraId="1B4DC673"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0F4E4359" w14:textId="77777777" w:rsidR="00A87FE7" w:rsidRDefault="00000000">
            <w:r>
              <w:rPr>
                <w:rFonts w:ascii="Arial" w:eastAsia="Arial" w:hAnsi="Arial" w:cs="Arial"/>
                <w:b/>
                <w:bCs/>
                <w:sz w:val="22"/>
                <w:szCs w:val="22"/>
              </w:rPr>
              <w:t>Report Section</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487A6A53" w14:textId="77777777" w:rsidR="00A87FE7" w:rsidRDefault="00000000">
            <w:r>
              <w:rPr>
                <w:rFonts w:ascii="Arial" w:eastAsia="Arial" w:hAnsi="Arial" w:cs="Arial"/>
                <w:sz w:val="22"/>
                <w:szCs w:val="22"/>
              </w:rPr>
              <w:t>Section 3 (Critical Assessment &amp; Professional Considerations)</w:t>
            </w:r>
          </w:p>
        </w:tc>
      </w:tr>
      <w:tr w:rsidR="00A87FE7" w14:paraId="3C5B788F"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11C2EA85" w14:textId="77777777" w:rsidR="00A87FE7" w:rsidRDefault="00000000">
            <w:r>
              <w:rPr>
                <w:rFonts w:ascii="Arial" w:eastAsia="Arial" w:hAnsi="Arial" w:cs="Arial"/>
                <w:b/>
                <w:bCs/>
                <w:sz w:val="22"/>
                <w:szCs w:val="22"/>
              </w:rPr>
              <w:t>Questions Answered</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7DABA164" w14:textId="77777777" w:rsidR="00A87FE7" w:rsidRDefault="00000000">
            <w:r>
              <w:rPr>
                <w:rFonts w:ascii="Arial" w:eastAsia="Arial" w:hAnsi="Arial" w:cs="Arial"/>
                <w:sz w:val="22"/>
                <w:szCs w:val="22"/>
              </w:rPr>
              <w:t xml:space="preserve">Limitations and areas for </w:t>
            </w:r>
            <w:proofErr w:type="gramStart"/>
            <w:r>
              <w:rPr>
                <w:rFonts w:ascii="Arial" w:eastAsia="Arial" w:hAnsi="Arial" w:cs="Arial"/>
                <w:sz w:val="22"/>
                <w:szCs w:val="22"/>
              </w:rPr>
              <w:t>improvement  │</w:t>
            </w:r>
            <w:proofErr w:type="gramEnd"/>
            <w:r>
              <w:rPr>
                <w:rFonts w:ascii="Arial" w:eastAsia="Arial" w:hAnsi="Arial" w:cs="Arial"/>
                <w:sz w:val="22"/>
                <w:szCs w:val="22"/>
              </w:rPr>
              <w:t xml:space="preserve">  Reflection on development process and lessons learned</w:t>
            </w:r>
          </w:p>
        </w:tc>
      </w:tr>
    </w:tbl>
    <w:p w14:paraId="1C2CC9E9" w14:textId="77777777" w:rsidR="00A87FE7" w:rsidRDefault="00000000">
      <w:pPr>
        <w:spacing w:before="140" w:after="60"/>
      </w:pPr>
      <w:r>
        <w:rPr>
          <w:rFonts w:ascii="Arial" w:eastAsia="Arial" w:hAnsi="Arial" w:cs="Arial"/>
          <w:b/>
          <w:bCs/>
          <w:sz w:val="22"/>
          <w:szCs w:val="22"/>
        </w:rPr>
        <w:t>Why it matters</w:t>
      </w:r>
    </w:p>
    <w:p w14:paraId="7D4ABFD0" w14:textId="77777777" w:rsidR="00A87FE7" w:rsidRDefault="00000000">
      <w:pPr>
        <w:spacing w:before="60" w:after="80"/>
      </w:pPr>
      <w:r>
        <w:rPr>
          <w:rFonts w:ascii="Arial" w:eastAsia="Arial" w:hAnsi="Arial" w:cs="Arial"/>
          <w:sz w:val="22"/>
          <w:szCs w:val="22"/>
        </w:rPr>
        <w:t xml:space="preserve">The application does not account for subsidiary structures, which in a real utility company would add another layer of account segmentation — for example, distinguishing customer accounts receivable from government accounts receivable under the same parent account. This was ruled out early in the design process to keep the project scope manageable and the pattern recognition logic focused. The report should document this as a known limitation with a clear </w:t>
      </w:r>
      <w:proofErr w:type="gramStart"/>
      <w:r>
        <w:rPr>
          <w:rFonts w:ascii="Arial" w:eastAsia="Arial" w:hAnsi="Arial" w:cs="Arial"/>
          <w:sz w:val="22"/>
          <w:szCs w:val="22"/>
        </w:rPr>
        <w:t>rationale, and</w:t>
      </w:r>
      <w:proofErr w:type="gramEnd"/>
      <w:r>
        <w:rPr>
          <w:rFonts w:ascii="Arial" w:eastAsia="Arial" w:hAnsi="Arial" w:cs="Arial"/>
          <w:sz w:val="22"/>
          <w:szCs w:val="22"/>
        </w:rPr>
        <w:t xml:space="preserve"> note that subsidiary-level segmentation is a natural future enhancement that the application’s architecture could support.</w:t>
      </w:r>
    </w:p>
    <w:p w14:paraId="37AD9C67"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440"/>
        <w:gridCol w:w="7360"/>
      </w:tblGrid>
      <w:tr w:rsidR="00A87FE7" w14:paraId="262D9439" w14:textId="77777777">
        <w:tc>
          <w:tcPr>
            <w:tcW w:w="560" w:type="dxa"/>
            <w:tcBorders>
              <w:top w:val="none" w:sz="0" w:space="0" w:color="FFFFFF"/>
              <w:left w:val="none" w:sz="0" w:space="0" w:color="FFFFFF"/>
              <w:bottom w:val="none" w:sz="0" w:space="0" w:color="FFFFFF"/>
              <w:right w:val="none" w:sz="0" w:space="0" w:color="FFFFFF"/>
            </w:tcBorders>
            <w:shd w:val="clear" w:color="auto" w:fill="1F4E79"/>
            <w:tcMar>
              <w:top w:w="100" w:type="dxa"/>
              <w:left w:w="140" w:type="dxa"/>
              <w:bottom w:w="100" w:type="dxa"/>
              <w:right w:w="140" w:type="dxa"/>
            </w:tcMar>
          </w:tcPr>
          <w:p w14:paraId="1A55EF6A" w14:textId="77777777" w:rsidR="00A87FE7" w:rsidRDefault="00000000">
            <w:r>
              <w:rPr>
                <w:rFonts w:ascii="Arial" w:eastAsia="Arial" w:hAnsi="Arial" w:cs="Arial"/>
                <w:b/>
                <w:bCs/>
                <w:color w:val="FFFFFF"/>
                <w:sz w:val="24"/>
                <w:szCs w:val="24"/>
              </w:rPr>
              <w:lastRenderedPageBreak/>
              <w:t>8</w:t>
            </w:r>
          </w:p>
        </w:tc>
        <w:tc>
          <w:tcPr>
            <w:tcW w:w="8800" w:type="dxa"/>
            <w:gridSpan w:val="2"/>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40" w:type="dxa"/>
            </w:tcMar>
          </w:tcPr>
          <w:p w14:paraId="6DCE80BC" w14:textId="77777777" w:rsidR="00A87FE7" w:rsidRDefault="00000000">
            <w:r>
              <w:rPr>
                <w:rFonts w:ascii="Arial" w:eastAsia="Arial" w:hAnsi="Arial" w:cs="Arial"/>
                <w:b/>
                <w:bCs/>
                <w:sz w:val="24"/>
                <w:szCs w:val="24"/>
              </w:rPr>
              <w:t>Hybrid description conversion uses a tiered approach — rule-based by default, Claude API as optional upgrade</w:t>
            </w:r>
          </w:p>
        </w:tc>
      </w:tr>
      <w:tr w:rsidR="00A87FE7" w14:paraId="3306824C"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3D9C2626" w14:textId="77777777" w:rsidR="00A87FE7" w:rsidRDefault="00000000">
            <w:r>
              <w:rPr>
                <w:rFonts w:ascii="Arial" w:eastAsia="Arial" w:hAnsi="Arial" w:cs="Arial"/>
                <w:b/>
                <w:bCs/>
                <w:sz w:val="22"/>
                <w:szCs w:val="22"/>
              </w:rPr>
              <w:t>Report Section</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2A7058AC" w14:textId="77777777" w:rsidR="00A87FE7" w:rsidRDefault="00000000">
            <w:r>
              <w:rPr>
                <w:rFonts w:ascii="Arial" w:eastAsia="Arial" w:hAnsi="Arial" w:cs="Arial"/>
                <w:sz w:val="22"/>
                <w:szCs w:val="22"/>
              </w:rPr>
              <w:t xml:space="preserve">Section 2 (Development Process &amp; Technical </w:t>
            </w:r>
            <w:proofErr w:type="gramStart"/>
            <w:r>
              <w:rPr>
                <w:rFonts w:ascii="Arial" w:eastAsia="Arial" w:hAnsi="Arial" w:cs="Arial"/>
                <w:sz w:val="22"/>
                <w:szCs w:val="22"/>
              </w:rPr>
              <w:t>Innovation)  │</w:t>
            </w:r>
            <w:proofErr w:type="gramEnd"/>
            <w:r>
              <w:rPr>
                <w:rFonts w:ascii="Arial" w:eastAsia="Arial" w:hAnsi="Arial" w:cs="Arial"/>
                <w:sz w:val="22"/>
                <w:szCs w:val="22"/>
              </w:rPr>
              <w:t xml:space="preserve">  Section 3 (Critical Assessment &amp; Professional Considerations)</w:t>
            </w:r>
          </w:p>
        </w:tc>
      </w:tr>
      <w:tr w:rsidR="00A87FE7" w14:paraId="2313F19C"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1BC15FD9" w14:textId="77777777" w:rsidR="00A87FE7" w:rsidRDefault="00000000">
            <w:r>
              <w:rPr>
                <w:rFonts w:ascii="Arial" w:eastAsia="Arial" w:hAnsi="Arial" w:cs="Arial"/>
                <w:b/>
                <w:bCs/>
                <w:sz w:val="22"/>
                <w:szCs w:val="22"/>
              </w:rPr>
              <w:t>Questions Answered</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6486D12F" w14:textId="77777777" w:rsidR="00A87FE7" w:rsidRDefault="00000000">
            <w:r>
              <w:rPr>
                <w:rFonts w:ascii="Arial" w:eastAsia="Arial" w:hAnsi="Arial" w:cs="Arial"/>
                <w:sz w:val="22"/>
                <w:szCs w:val="22"/>
              </w:rPr>
              <w:t xml:space="preserve">Technical design decisions and development </w:t>
            </w:r>
            <w:proofErr w:type="gramStart"/>
            <w:r>
              <w:rPr>
                <w:rFonts w:ascii="Arial" w:eastAsia="Arial" w:hAnsi="Arial" w:cs="Arial"/>
                <w:sz w:val="22"/>
                <w:szCs w:val="22"/>
              </w:rPr>
              <w:t>process  │</w:t>
            </w:r>
            <w:proofErr w:type="gramEnd"/>
            <w:r>
              <w:rPr>
                <w:rFonts w:ascii="Arial" w:eastAsia="Arial" w:hAnsi="Arial" w:cs="Arial"/>
                <w:sz w:val="22"/>
                <w:szCs w:val="22"/>
              </w:rPr>
              <w:t xml:space="preserve">  What makes this solution sophisticated vs. basic automation?  </w:t>
            </w:r>
            <w:proofErr w:type="gramStart"/>
            <w:r>
              <w:rPr>
                <w:rFonts w:ascii="Arial" w:eastAsia="Arial" w:hAnsi="Arial" w:cs="Arial"/>
                <w:sz w:val="22"/>
                <w:szCs w:val="22"/>
              </w:rPr>
              <w:t>│  Key</w:t>
            </w:r>
            <w:proofErr w:type="gramEnd"/>
            <w:r>
              <w:rPr>
                <w:rFonts w:ascii="Arial" w:eastAsia="Arial" w:hAnsi="Arial" w:cs="Arial"/>
                <w:sz w:val="22"/>
                <w:szCs w:val="22"/>
              </w:rPr>
              <w:t xml:space="preserve"> challenges encountered and how you addressed </w:t>
            </w:r>
            <w:proofErr w:type="gramStart"/>
            <w:r>
              <w:rPr>
                <w:rFonts w:ascii="Arial" w:eastAsia="Arial" w:hAnsi="Arial" w:cs="Arial"/>
                <w:sz w:val="22"/>
                <w:szCs w:val="22"/>
              </w:rPr>
              <w:t>them  │</w:t>
            </w:r>
            <w:proofErr w:type="gramEnd"/>
            <w:r>
              <w:rPr>
                <w:rFonts w:ascii="Arial" w:eastAsia="Arial" w:hAnsi="Arial" w:cs="Arial"/>
                <w:sz w:val="22"/>
                <w:szCs w:val="22"/>
              </w:rPr>
              <w:t xml:space="preserve">  Limitations and areas for improvement</w:t>
            </w:r>
          </w:p>
        </w:tc>
      </w:tr>
    </w:tbl>
    <w:p w14:paraId="4F28B8F9" w14:textId="77777777" w:rsidR="00A87FE7" w:rsidRDefault="00000000">
      <w:pPr>
        <w:spacing w:before="140" w:after="60"/>
      </w:pPr>
      <w:r>
        <w:rPr>
          <w:rFonts w:ascii="Arial" w:eastAsia="Arial" w:hAnsi="Arial" w:cs="Arial"/>
          <w:b/>
          <w:bCs/>
          <w:sz w:val="22"/>
          <w:szCs w:val="22"/>
        </w:rPr>
        <w:t>Why it matters</w:t>
      </w:r>
    </w:p>
    <w:p w14:paraId="684D1759" w14:textId="77777777" w:rsidR="00A87FE7" w:rsidRDefault="00000000">
      <w:pPr>
        <w:spacing w:before="60" w:after="80"/>
      </w:pPr>
      <w:r>
        <w:rPr>
          <w:rFonts w:ascii="Arial" w:eastAsia="Arial" w:hAnsi="Arial" w:cs="Arial"/>
          <w:sz w:val="22"/>
          <w:szCs w:val="22"/>
        </w:rPr>
        <w:t>When creating a new account, the application generates a description using rule-based pattern recognition against the existing Chart of Accounts structure — drawing on account descriptions, parent category names, and keywords already present in the loaded CoA — rather than making a call to an external LLM API. The user is then offered three options: accept the rule-based description, edit it manually, or invoke the Claude API to generate a higher-quality version.</w:t>
      </w:r>
    </w:p>
    <w:p w14:paraId="7085AAF0" w14:textId="77777777" w:rsidR="00A87FE7" w:rsidRDefault="00000000">
      <w:pPr>
        <w:spacing w:before="60" w:after="80"/>
      </w:pPr>
      <w:r>
        <w:rPr>
          <w:rFonts w:ascii="Arial" w:eastAsia="Arial" w:hAnsi="Arial" w:cs="Arial"/>
          <w:sz w:val="22"/>
          <w:szCs w:val="22"/>
        </w:rPr>
        <w:t>A Claude API integration was evaluated as the primary description engine and would produce better conversions for unusual or ambiguous inputs. However, it was ruled out as the default because it requires every user to hold an Anthropic API key and incur per-call costs, making the application impractical to run in a classroom or grading context. The rule-based approach keeps the application fully self-contained and runnable by anyone without credentials or external dependencies.</w:t>
      </w:r>
    </w:p>
    <w:p w14:paraId="52FBB1D2" w14:textId="77777777" w:rsidR="00A87FE7" w:rsidRDefault="00000000">
      <w:pPr>
        <w:spacing w:before="60" w:after="80"/>
      </w:pPr>
      <w:r>
        <w:rPr>
          <w:rFonts w:ascii="Arial" w:eastAsia="Arial" w:hAnsi="Arial" w:cs="Arial"/>
          <w:sz w:val="22"/>
          <w:szCs w:val="22"/>
        </w:rPr>
        <w:t>The report should document this as an intentional tiered architecture — a pragmatic prototype decision — and frame the Claude API path as a clear and natural production enhancement that reflects a realistic gap between a prototype and a deployed accounting tool. When the API option is selected, the application shows a one-time disclosure explaining the API key requirement and per-call cost before proceeding.</w:t>
      </w:r>
    </w:p>
    <w:p w14:paraId="1CE1B037"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440"/>
        <w:gridCol w:w="7360"/>
      </w:tblGrid>
      <w:tr w:rsidR="00A87FE7" w14:paraId="4F118D7A" w14:textId="77777777">
        <w:tc>
          <w:tcPr>
            <w:tcW w:w="560" w:type="dxa"/>
            <w:tcBorders>
              <w:top w:val="none" w:sz="0" w:space="0" w:color="FFFFFF"/>
              <w:left w:val="none" w:sz="0" w:space="0" w:color="FFFFFF"/>
              <w:bottom w:val="none" w:sz="0" w:space="0" w:color="FFFFFF"/>
              <w:right w:val="none" w:sz="0" w:space="0" w:color="FFFFFF"/>
            </w:tcBorders>
            <w:shd w:val="clear" w:color="auto" w:fill="1F4E79"/>
            <w:tcMar>
              <w:top w:w="100" w:type="dxa"/>
              <w:left w:w="140" w:type="dxa"/>
              <w:bottom w:w="100" w:type="dxa"/>
              <w:right w:w="140" w:type="dxa"/>
            </w:tcMar>
          </w:tcPr>
          <w:p w14:paraId="1931E92D" w14:textId="77777777" w:rsidR="00A87FE7" w:rsidRDefault="00000000">
            <w:r>
              <w:rPr>
                <w:rFonts w:ascii="Arial" w:eastAsia="Arial" w:hAnsi="Arial" w:cs="Arial"/>
                <w:b/>
                <w:bCs/>
                <w:color w:val="FFFFFF"/>
                <w:sz w:val="24"/>
                <w:szCs w:val="24"/>
              </w:rPr>
              <w:t>9</w:t>
            </w:r>
          </w:p>
        </w:tc>
        <w:tc>
          <w:tcPr>
            <w:tcW w:w="8800" w:type="dxa"/>
            <w:gridSpan w:val="2"/>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40" w:type="dxa"/>
            </w:tcMar>
          </w:tcPr>
          <w:p w14:paraId="2ACB29DB" w14:textId="77777777" w:rsidR="00A87FE7" w:rsidRDefault="00000000">
            <w:r>
              <w:rPr>
                <w:rFonts w:ascii="Arial" w:eastAsia="Arial" w:hAnsi="Arial" w:cs="Arial"/>
                <w:b/>
                <w:bCs/>
                <w:sz w:val="24"/>
                <w:szCs w:val="24"/>
              </w:rPr>
              <w:t>FERC code suggestion relies on keyword matching without account type (BS/IS) filtering — known limitation, intentionally not fixed pre-submission</w:t>
            </w:r>
          </w:p>
        </w:tc>
      </w:tr>
      <w:tr w:rsidR="00A87FE7" w14:paraId="65C685D5"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6F6D4FC5" w14:textId="77777777" w:rsidR="00A87FE7" w:rsidRDefault="00000000">
            <w:r>
              <w:rPr>
                <w:rFonts w:ascii="Arial" w:eastAsia="Arial" w:hAnsi="Arial" w:cs="Arial"/>
                <w:b/>
                <w:bCs/>
                <w:sz w:val="22"/>
                <w:szCs w:val="22"/>
              </w:rPr>
              <w:t>Report Section</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4F9A1939" w14:textId="77777777" w:rsidR="00A87FE7" w:rsidRDefault="00000000">
            <w:r>
              <w:rPr>
                <w:rFonts w:ascii="Arial" w:eastAsia="Arial" w:hAnsi="Arial" w:cs="Arial"/>
                <w:sz w:val="22"/>
                <w:szCs w:val="22"/>
              </w:rPr>
              <w:t>Section 3 (Critical Assessment &amp; Professional Considerations)</w:t>
            </w:r>
          </w:p>
        </w:tc>
      </w:tr>
      <w:tr w:rsidR="00A87FE7" w14:paraId="3D4A5C97"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0C092C53" w14:textId="77777777" w:rsidR="00A87FE7" w:rsidRDefault="00000000">
            <w:r>
              <w:rPr>
                <w:rFonts w:ascii="Arial" w:eastAsia="Arial" w:hAnsi="Arial" w:cs="Arial"/>
                <w:b/>
                <w:bCs/>
                <w:sz w:val="22"/>
                <w:szCs w:val="22"/>
              </w:rPr>
              <w:t>Questions Answered</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56F62DDD" w14:textId="77777777" w:rsidR="00A87FE7" w:rsidRDefault="00000000">
            <w:r>
              <w:rPr>
                <w:rFonts w:ascii="Arial" w:eastAsia="Arial" w:hAnsi="Arial" w:cs="Arial"/>
                <w:sz w:val="22"/>
                <w:szCs w:val="22"/>
              </w:rPr>
              <w:t xml:space="preserve">Limitations and areas for </w:t>
            </w:r>
            <w:proofErr w:type="gramStart"/>
            <w:r>
              <w:rPr>
                <w:rFonts w:ascii="Arial" w:eastAsia="Arial" w:hAnsi="Arial" w:cs="Arial"/>
                <w:sz w:val="22"/>
                <w:szCs w:val="22"/>
              </w:rPr>
              <w:t>improvement  │</w:t>
            </w:r>
            <w:proofErr w:type="gramEnd"/>
            <w:r>
              <w:rPr>
                <w:rFonts w:ascii="Arial" w:eastAsia="Arial" w:hAnsi="Arial" w:cs="Arial"/>
                <w:sz w:val="22"/>
                <w:szCs w:val="22"/>
              </w:rPr>
              <w:t xml:space="preserve">  Professional judgment requirements — where does AI stop and human expertise begin?  </w:t>
            </w:r>
            <w:proofErr w:type="gramStart"/>
            <w:r>
              <w:rPr>
                <w:rFonts w:ascii="Arial" w:eastAsia="Arial" w:hAnsi="Arial" w:cs="Arial"/>
                <w:sz w:val="22"/>
                <w:szCs w:val="22"/>
              </w:rPr>
              <w:t>│  Reflection</w:t>
            </w:r>
            <w:proofErr w:type="gramEnd"/>
            <w:r>
              <w:rPr>
                <w:rFonts w:ascii="Arial" w:eastAsia="Arial" w:hAnsi="Arial" w:cs="Arial"/>
                <w:sz w:val="22"/>
                <w:szCs w:val="22"/>
              </w:rPr>
              <w:t xml:space="preserve"> on development process and lessons learned</w:t>
            </w:r>
          </w:p>
        </w:tc>
      </w:tr>
    </w:tbl>
    <w:p w14:paraId="68CED682" w14:textId="77777777" w:rsidR="00A87FE7" w:rsidRDefault="00000000">
      <w:pPr>
        <w:spacing w:before="140" w:after="60"/>
      </w:pPr>
      <w:r>
        <w:rPr>
          <w:rFonts w:ascii="Arial" w:eastAsia="Arial" w:hAnsi="Arial" w:cs="Arial"/>
          <w:b/>
          <w:bCs/>
          <w:sz w:val="22"/>
          <w:szCs w:val="22"/>
        </w:rPr>
        <w:t>Why it matters</w:t>
      </w:r>
    </w:p>
    <w:p w14:paraId="62082845" w14:textId="77777777" w:rsidR="00A87FE7" w:rsidRDefault="00000000">
      <w:pPr>
        <w:spacing w:before="60" w:after="80"/>
      </w:pPr>
      <w:r>
        <w:rPr>
          <w:rFonts w:ascii="Arial" w:eastAsia="Arial" w:hAnsi="Arial" w:cs="Arial"/>
          <w:sz w:val="22"/>
          <w:szCs w:val="22"/>
        </w:rPr>
        <w:t>During testing, a request for a “natural gas combustion turbine generator unit used for peak load electric power production” produced a top FERC suggestion of 501 (Fuel) at 60% confidence, based on keyword matches for “gas, natural, power.” The correct suggestion — FERC 314 (Turbogenerator units) or FERC 343/344 in the Other Production Plant range — appeared lower in the list at 28% confidence. The application already knew the account was a Balance Sheet account (BU Type: BS was confirmed earlier in the same session), but the suggester did not use that information to filter out Income Statement FERC codes like 501 before applying keyword scoring.</w:t>
      </w:r>
    </w:p>
    <w:p w14:paraId="6DFDC03F" w14:textId="77777777" w:rsidR="00A87FE7" w:rsidRDefault="00000000">
      <w:pPr>
        <w:spacing w:before="60" w:after="80"/>
      </w:pPr>
      <w:r>
        <w:rPr>
          <w:rFonts w:ascii="Arial" w:eastAsia="Arial" w:hAnsi="Arial" w:cs="Arial"/>
          <w:sz w:val="22"/>
          <w:szCs w:val="22"/>
        </w:rPr>
        <w:t xml:space="preserve">The root cause is that FERC candidate ranking is driven purely by keyword overlap, without a pre-filter that restricts candidates to codes compatible with the account’s BS or IS classification. </w:t>
      </w:r>
      <w:r>
        <w:rPr>
          <w:rFonts w:ascii="Arial" w:eastAsia="Arial" w:hAnsi="Arial" w:cs="Arial"/>
          <w:sz w:val="22"/>
          <w:szCs w:val="22"/>
        </w:rPr>
        <w:lastRenderedPageBreak/>
        <w:t>A targeted fix would add that filter in suggester.py before keyword scoring runs. However, this fix was intentionally deferred rather than rushed pre-submission to avoid destabilizing other working suggester logic this close to the deadline.</w:t>
      </w:r>
    </w:p>
    <w:p w14:paraId="3AC52148" w14:textId="77777777" w:rsidR="00A87FE7" w:rsidRDefault="00000000">
      <w:pPr>
        <w:spacing w:before="60" w:after="80"/>
      </w:pPr>
      <w:r>
        <w:rPr>
          <w:rFonts w:ascii="Arial" w:eastAsia="Arial" w:hAnsi="Arial" w:cs="Arial"/>
          <w:sz w:val="22"/>
          <w:szCs w:val="22"/>
        </w:rPr>
        <w:t xml:space="preserve">This example illustrates a core limitation of keyword-based classification in accounting contexts: domain terminology like “natural gas” carries different meaning depending on whether an account is an asset or plant account versus an operating expense account, and keyword matching alone cannot resolve that ambiguity. A human accountant immediately recognizes that a turbine generator is Electric Plant (FERC 300s) rather than </w:t>
      </w:r>
      <w:proofErr w:type="gramStart"/>
      <w:r>
        <w:rPr>
          <w:rFonts w:ascii="Arial" w:eastAsia="Arial" w:hAnsi="Arial" w:cs="Arial"/>
          <w:sz w:val="22"/>
          <w:szCs w:val="22"/>
        </w:rPr>
        <w:t>a fuel</w:t>
      </w:r>
      <w:proofErr w:type="gramEnd"/>
      <w:r>
        <w:rPr>
          <w:rFonts w:ascii="Arial" w:eastAsia="Arial" w:hAnsi="Arial" w:cs="Arial"/>
          <w:sz w:val="22"/>
          <w:szCs w:val="22"/>
        </w:rPr>
        <w:t xml:space="preserve"> cost (FERC 500s). The report should frame this as a meaningful professional judgment gap — one where expert knowledge of the FERC Uniform System of Accounts is required to validate or override the application’s suggestion — and as a prioritized enhancement for a future development cycle.</w:t>
      </w:r>
    </w:p>
    <w:p w14:paraId="379A8C51"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440"/>
        <w:gridCol w:w="7360"/>
      </w:tblGrid>
      <w:tr w:rsidR="00A87FE7" w14:paraId="51E0209E" w14:textId="77777777">
        <w:tc>
          <w:tcPr>
            <w:tcW w:w="560" w:type="dxa"/>
            <w:tcBorders>
              <w:top w:val="none" w:sz="0" w:space="0" w:color="FFFFFF"/>
              <w:left w:val="none" w:sz="0" w:space="0" w:color="FFFFFF"/>
              <w:bottom w:val="none" w:sz="0" w:space="0" w:color="FFFFFF"/>
              <w:right w:val="none" w:sz="0" w:space="0" w:color="FFFFFF"/>
            </w:tcBorders>
            <w:shd w:val="clear" w:color="auto" w:fill="1F4E79"/>
            <w:tcMar>
              <w:top w:w="100" w:type="dxa"/>
              <w:left w:w="140" w:type="dxa"/>
              <w:bottom w:w="100" w:type="dxa"/>
              <w:right w:w="140" w:type="dxa"/>
            </w:tcMar>
          </w:tcPr>
          <w:p w14:paraId="3F05CC01" w14:textId="77777777" w:rsidR="00A87FE7" w:rsidRDefault="00000000">
            <w:r>
              <w:rPr>
                <w:rFonts w:ascii="Arial" w:eastAsia="Arial" w:hAnsi="Arial" w:cs="Arial"/>
                <w:b/>
                <w:bCs/>
                <w:color w:val="FFFFFF"/>
                <w:sz w:val="24"/>
                <w:szCs w:val="24"/>
              </w:rPr>
              <w:t>10</w:t>
            </w:r>
          </w:p>
        </w:tc>
        <w:tc>
          <w:tcPr>
            <w:tcW w:w="8800" w:type="dxa"/>
            <w:gridSpan w:val="2"/>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40" w:type="dxa"/>
            </w:tcMar>
          </w:tcPr>
          <w:p w14:paraId="5C700E44" w14:textId="77777777" w:rsidR="00A87FE7" w:rsidRDefault="00000000">
            <w:r>
              <w:rPr>
                <w:rFonts w:ascii="Arial" w:eastAsia="Arial" w:hAnsi="Arial" w:cs="Arial"/>
                <w:b/>
                <w:bCs/>
                <w:sz w:val="24"/>
                <w:szCs w:val="24"/>
              </w:rPr>
              <w:t>Account number suggestion ordering refined during beta testing — proximity-to-parent now leads over dominant spacing</w:t>
            </w:r>
          </w:p>
        </w:tc>
      </w:tr>
      <w:tr w:rsidR="00A87FE7" w14:paraId="62D7C684"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1E50260A" w14:textId="77777777" w:rsidR="00A87FE7" w:rsidRDefault="00000000">
            <w:r>
              <w:rPr>
                <w:rFonts w:ascii="Arial" w:eastAsia="Arial" w:hAnsi="Arial" w:cs="Arial"/>
                <w:b/>
                <w:bCs/>
                <w:sz w:val="22"/>
                <w:szCs w:val="22"/>
              </w:rPr>
              <w:t>Report Section</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03D022E8" w14:textId="77777777" w:rsidR="00A87FE7" w:rsidRDefault="00000000">
            <w:r>
              <w:rPr>
                <w:rFonts w:ascii="Arial" w:eastAsia="Arial" w:hAnsi="Arial" w:cs="Arial"/>
                <w:sz w:val="22"/>
                <w:szCs w:val="22"/>
              </w:rPr>
              <w:t>Section 2 (Development Process &amp; Technical Innovation)</w:t>
            </w:r>
          </w:p>
        </w:tc>
      </w:tr>
      <w:tr w:rsidR="00A87FE7" w14:paraId="6C72E5F9"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0AE7A48D" w14:textId="77777777" w:rsidR="00A87FE7" w:rsidRDefault="00000000">
            <w:r>
              <w:rPr>
                <w:rFonts w:ascii="Arial" w:eastAsia="Arial" w:hAnsi="Arial" w:cs="Arial"/>
                <w:b/>
                <w:bCs/>
                <w:sz w:val="22"/>
                <w:szCs w:val="22"/>
              </w:rPr>
              <w:t>Questions Answered</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73A06C98" w14:textId="77777777" w:rsidR="00A87FE7" w:rsidRDefault="00000000">
            <w:r>
              <w:rPr>
                <w:rFonts w:ascii="Arial" w:eastAsia="Arial" w:hAnsi="Arial" w:cs="Arial"/>
                <w:sz w:val="22"/>
                <w:szCs w:val="22"/>
              </w:rPr>
              <w:t xml:space="preserve">Key challenges encountered and how you addressed </w:t>
            </w:r>
            <w:proofErr w:type="gramStart"/>
            <w:r>
              <w:rPr>
                <w:rFonts w:ascii="Arial" w:eastAsia="Arial" w:hAnsi="Arial" w:cs="Arial"/>
                <w:sz w:val="22"/>
                <w:szCs w:val="22"/>
              </w:rPr>
              <w:t>them  │</w:t>
            </w:r>
            <w:proofErr w:type="gramEnd"/>
            <w:r>
              <w:rPr>
                <w:rFonts w:ascii="Arial" w:eastAsia="Arial" w:hAnsi="Arial" w:cs="Arial"/>
                <w:sz w:val="22"/>
                <w:szCs w:val="22"/>
              </w:rPr>
              <w:t xml:space="preserve">  Reflection on development process and lessons learned</w:t>
            </w:r>
          </w:p>
        </w:tc>
      </w:tr>
    </w:tbl>
    <w:p w14:paraId="0EED6AE2" w14:textId="77777777" w:rsidR="00A87FE7" w:rsidRDefault="00000000">
      <w:pPr>
        <w:spacing w:before="140" w:after="60"/>
      </w:pPr>
      <w:r>
        <w:rPr>
          <w:rFonts w:ascii="Arial" w:eastAsia="Arial" w:hAnsi="Arial" w:cs="Arial"/>
          <w:b/>
          <w:bCs/>
          <w:sz w:val="22"/>
          <w:szCs w:val="22"/>
        </w:rPr>
        <w:t>Why it matters</w:t>
      </w:r>
    </w:p>
    <w:p w14:paraId="452A2975" w14:textId="77777777" w:rsidR="00A87FE7" w:rsidRDefault="00000000">
      <w:pPr>
        <w:spacing w:before="60" w:after="80"/>
      </w:pPr>
      <w:r>
        <w:rPr>
          <w:rFonts w:ascii="Arial" w:eastAsia="Arial" w:hAnsi="Arial" w:cs="Arial"/>
          <w:sz w:val="22"/>
          <w:szCs w:val="22"/>
        </w:rPr>
        <w:t>During beta testing, the account number suggestion list led with the “dominant spacing after last sibling” option (e.g., 120200, jumping well past the parent header at 112000), rather than numbers close to the parent header (e.g., 112100, 112200). While all suggested numbers were technically valid and within range, the default ordering was counterintuitive from a professional CoA management perspective — account managers generally expect new child accounts to be numbered near the parent header unless there is a specific reason to follow the last sibling. A fix to placer.py was identified to reorder candidates so proximity-to-parent leads, with dominant spacing still offered as a later option. The report should note this as an example of iterative refinement driven by realistic testing — a bug that only surfaced when a real account creation scenario was run end-to-end.</w:t>
      </w:r>
    </w:p>
    <w:p w14:paraId="7D8540AC"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440"/>
        <w:gridCol w:w="7360"/>
      </w:tblGrid>
      <w:tr w:rsidR="00A87FE7" w14:paraId="31875E38" w14:textId="77777777">
        <w:tc>
          <w:tcPr>
            <w:tcW w:w="560" w:type="dxa"/>
            <w:tcBorders>
              <w:top w:val="none" w:sz="0" w:space="0" w:color="FFFFFF"/>
              <w:left w:val="none" w:sz="0" w:space="0" w:color="FFFFFF"/>
              <w:bottom w:val="none" w:sz="0" w:space="0" w:color="FFFFFF"/>
              <w:right w:val="none" w:sz="0" w:space="0" w:color="FFFFFF"/>
            </w:tcBorders>
            <w:shd w:val="clear" w:color="auto" w:fill="1F4E79"/>
            <w:tcMar>
              <w:top w:w="100" w:type="dxa"/>
              <w:left w:w="140" w:type="dxa"/>
              <w:bottom w:w="100" w:type="dxa"/>
              <w:right w:w="140" w:type="dxa"/>
            </w:tcMar>
          </w:tcPr>
          <w:p w14:paraId="7C0EF826" w14:textId="77777777" w:rsidR="00A87FE7" w:rsidRDefault="00000000">
            <w:r>
              <w:rPr>
                <w:rFonts w:ascii="Arial" w:eastAsia="Arial" w:hAnsi="Arial" w:cs="Arial"/>
                <w:b/>
                <w:bCs/>
                <w:color w:val="FFFFFF"/>
                <w:sz w:val="24"/>
                <w:szCs w:val="24"/>
              </w:rPr>
              <w:t>11</w:t>
            </w:r>
          </w:p>
        </w:tc>
        <w:tc>
          <w:tcPr>
            <w:tcW w:w="8800" w:type="dxa"/>
            <w:gridSpan w:val="2"/>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40" w:type="dxa"/>
            </w:tcMar>
          </w:tcPr>
          <w:p w14:paraId="6552B8C6" w14:textId="77777777" w:rsidR="00A87FE7" w:rsidRDefault="00000000">
            <w:r>
              <w:rPr>
                <w:rFonts w:ascii="Arial" w:eastAsia="Arial" w:hAnsi="Arial" w:cs="Arial"/>
                <w:b/>
                <w:bCs/>
                <w:sz w:val="24"/>
                <w:szCs w:val="24"/>
              </w:rPr>
              <w:t>Asset Life advisory document integration exposed the gap between human-readable and machine-readable reference materials</w:t>
            </w:r>
          </w:p>
        </w:tc>
      </w:tr>
      <w:tr w:rsidR="00A87FE7" w14:paraId="283CD9AB"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31365F77" w14:textId="77777777" w:rsidR="00A87FE7" w:rsidRDefault="00000000">
            <w:r>
              <w:rPr>
                <w:rFonts w:ascii="Arial" w:eastAsia="Arial" w:hAnsi="Arial" w:cs="Arial"/>
                <w:b/>
                <w:bCs/>
                <w:sz w:val="22"/>
                <w:szCs w:val="22"/>
              </w:rPr>
              <w:t>Report Section</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0DF918E6" w14:textId="77777777" w:rsidR="00A87FE7" w:rsidRDefault="00000000">
            <w:r>
              <w:rPr>
                <w:rFonts w:ascii="Arial" w:eastAsia="Arial" w:hAnsi="Arial" w:cs="Arial"/>
                <w:sz w:val="22"/>
                <w:szCs w:val="22"/>
              </w:rPr>
              <w:t xml:space="preserve">Section 2 (Development Process &amp; Technical </w:t>
            </w:r>
            <w:proofErr w:type="gramStart"/>
            <w:r>
              <w:rPr>
                <w:rFonts w:ascii="Arial" w:eastAsia="Arial" w:hAnsi="Arial" w:cs="Arial"/>
                <w:sz w:val="22"/>
                <w:szCs w:val="22"/>
              </w:rPr>
              <w:t>Innovation)  │</w:t>
            </w:r>
            <w:proofErr w:type="gramEnd"/>
            <w:r>
              <w:rPr>
                <w:rFonts w:ascii="Arial" w:eastAsia="Arial" w:hAnsi="Arial" w:cs="Arial"/>
                <w:sz w:val="22"/>
                <w:szCs w:val="22"/>
              </w:rPr>
              <w:t xml:space="preserve">  Section 3 (Critical Assessment &amp; Professional Considerations)</w:t>
            </w:r>
          </w:p>
        </w:tc>
      </w:tr>
      <w:tr w:rsidR="00A87FE7" w14:paraId="1410C16A" w14:textId="77777777">
        <w:tblPrEx>
          <w:tblBorders>
            <w:top w:val="single" w:sz="4" w:space="0" w:color="auto"/>
            <w:left w:val="single" w:sz="4" w:space="0" w:color="auto"/>
            <w:bottom w:val="single" w:sz="4" w:space="0" w:color="auto"/>
            <w:right w:val="single" w:sz="4" w:space="0" w:color="auto"/>
          </w:tblBorders>
        </w:tblPrEx>
        <w:tc>
          <w:tcPr>
            <w:tcW w:w="2000" w:type="dxa"/>
            <w:gridSpan w:val="2"/>
            <w:tcBorders>
              <w:top w:val="single" w:sz="4" w:space="0" w:color="CCCCCC"/>
              <w:left w:val="single" w:sz="4" w:space="0" w:color="CCCCCC"/>
              <w:bottom w:val="single" w:sz="4" w:space="0" w:color="CCCCCC"/>
              <w:right w:val="single" w:sz="4" w:space="0" w:color="CCCCCC"/>
            </w:tcBorders>
            <w:shd w:val="clear" w:color="auto" w:fill="EBF3FB"/>
            <w:tcMar>
              <w:top w:w="80" w:type="dxa"/>
              <w:left w:w="160" w:type="dxa"/>
              <w:bottom w:w="80" w:type="dxa"/>
              <w:right w:w="120" w:type="dxa"/>
            </w:tcMar>
          </w:tcPr>
          <w:p w14:paraId="41772BBE" w14:textId="77777777" w:rsidR="00A87FE7" w:rsidRDefault="00000000">
            <w:r>
              <w:rPr>
                <w:rFonts w:ascii="Arial" w:eastAsia="Arial" w:hAnsi="Arial" w:cs="Arial"/>
                <w:b/>
                <w:bCs/>
                <w:sz w:val="22"/>
                <w:szCs w:val="22"/>
              </w:rPr>
              <w:t>Questions Answered</w:t>
            </w:r>
          </w:p>
        </w:tc>
        <w:tc>
          <w:tcPr>
            <w:tcW w:w="7360" w:type="dxa"/>
            <w:tcBorders>
              <w:top w:val="single" w:sz="4" w:space="0" w:color="CCCCCC"/>
              <w:left w:val="single" w:sz="4" w:space="0" w:color="CCCCCC"/>
              <w:bottom w:val="single" w:sz="4" w:space="0" w:color="CCCCCC"/>
              <w:right w:val="single" w:sz="4" w:space="0" w:color="CCCCCC"/>
            </w:tcBorders>
            <w:shd w:val="clear" w:color="auto" w:fill="F7FBFF"/>
            <w:tcMar>
              <w:top w:w="80" w:type="dxa"/>
              <w:left w:w="160" w:type="dxa"/>
              <w:bottom w:w="80" w:type="dxa"/>
              <w:right w:w="120" w:type="dxa"/>
            </w:tcMar>
          </w:tcPr>
          <w:p w14:paraId="13D601D3" w14:textId="77777777" w:rsidR="00A87FE7" w:rsidRDefault="00000000">
            <w:r>
              <w:rPr>
                <w:rFonts w:ascii="Arial" w:eastAsia="Arial" w:hAnsi="Arial" w:cs="Arial"/>
                <w:sz w:val="22"/>
                <w:szCs w:val="22"/>
              </w:rPr>
              <w:t xml:space="preserve">Key challenges encountered and how you addressed </w:t>
            </w:r>
            <w:proofErr w:type="gramStart"/>
            <w:r>
              <w:rPr>
                <w:rFonts w:ascii="Arial" w:eastAsia="Arial" w:hAnsi="Arial" w:cs="Arial"/>
                <w:sz w:val="22"/>
                <w:szCs w:val="22"/>
              </w:rPr>
              <w:t>them  │</w:t>
            </w:r>
            <w:proofErr w:type="gramEnd"/>
            <w:r>
              <w:rPr>
                <w:rFonts w:ascii="Arial" w:eastAsia="Arial" w:hAnsi="Arial" w:cs="Arial"/>
                <w:sz w:val="22"/>
                <w:szCs w:val="22"/>
              </w:rPr>
              <w:t xml:space="preserve">  Technical design decisions and development </w:t>
            </w:r>
            <w:proofErr w:type="gramStart"/>
            <w:r>
              <w:rPr>
                <w:rFonts w:ascii="Arial" w:eastAsia="Arial" w:hAnsi="Arial" w:cs="Arial"/>
                <w:sz w:val="22"/>
                <w:szCs w:val="22"/>
              </w:rPr>
              <w:t>process  │</w:t>
            </w:r>
            <w:proofErr w:type="gramEnd"/>
            <w:r>
              <w:rPr>
                <w:rFonts w:ascii="Arial" w:eastAsia="Arial" w:hAnsi="Arial" w:cs="Arial"/>
                <w:sz w:val="22"/>
                <w:szCs w:val="22"/>
              </w:rPr>
              <w:t xml:space="preserve">  Professional judgment requirements — where does AI stop and human expertise begin?  </w:t>
            </w:r>
            <w:proofErr w:type="gramStart"/>
            <w:r>
              <w:rPr>
                <w:rFonts w:ascii="Arial" w:eastAsia="Arial" w:hAnsi="Arial" w:cs="Arial"/>
                <w:sz w:val="22"/>
                <w:szCs w:val="22"/>
              </w:rPr>
              <w:t>│  Limitations</w:t>
            </w:r>
            <w:proofErr w:type="gramEnd"/>
            <w:r>
              <w:rPr>
                <w:rFonts w:ascii="Arial" w:eastAsia="Arial" w:hAnsi="Arial" w:cs="Arial"/>
                <w:sz w:val="22"/>
                <w:szCs w:val="22"/>
              </w:rPr>
              <w:t xml:space="preserve"> and areas for improvement</w:t>
            </w:r>
          </w:p>
        </w:tc>
      </w:tr>
    </w:tbl>
    <w:p w14:paraId="61D8B71A" w14:textId="77777777" w:rsidR="00A87FE7" w:rsidRDefault="00000000">
      <w:pPr>
        <w:spacing w:before="140" w:after="60"/>
      </w:pPr>
      <w:r>
        <w:rPr>
          <w:rFonts w:ascii="Arial" w:eastAsia="Arial" w:hAnsi="Arial" w:cs="Arial"/>
          <w:b/>
          <w:bCs/>
          <w:sz w:val="22"/>
          <w:szCs w:val="22"/>
        </w:rPr>
        <w:t>Why it matters</w:t>
      </w:r>
    </w:p>
    <w:p w14:paraId="51F5581B" w14:textId="77777777" w:rsidR="00A87FE7" w:rsidRDefault="00000000">
      <w:pPr>
        <w:spacing w:before="60" w:after="80"/>
      </w:pPr>
      <w:r>
        <w:rPr>
          <w:rFonts w:ascii="Arial" w:eastAsia="Arial" w:hAnsi="Arial" w:cs="Arial"/>
          <w:sz w:val="22"/>
          <w:szCs w:val="22"/>
        </w:rPr>
        <w:t xml:space="preserve">Asset Life (expressed in months) is one of the category fields CoA Architect assigns when a new depreciable account is created. The application is designed to consult advisory documents stored in its reference folder when making these determinations. One such document was produced by a team member who works with asset lives professionally — a structured table </w:t>
      </w:r>
      <w:r>
        <w:rPr>
          <w:rFonts w:ascii="Arial" w:eastAsia="Arial" w:hAnsi="Arial" w:cs="Arial"/>
          <w:sz w:val="22"/>
          <w:szCs w:val="22"/>
        </w:rPr>
        <w:lastRenderedPageBreak/>
        <w:t>mapping asset types to their lives in months, formatted in plain English with descriptions first and values at the end of each line.</w:t>
      </w:r>
    </w:p>
    <w:p w14:paraId="4C41E0B8" w14:textId="77777777" w:rsidR="00A87FE7" w:rsidRDefault="00000000">
      <w:pPr>
        <w:spacing w:before="60" w:after="80"/>
      </w:pPr>
      <w:r>
        <w:rPr>
          <w:rFonts w:ascii="Arial" w:eastAsia="Arial" w:hAnsi="Arial" w:cs="Arial"/>
          <w:sz w:val="22"/>
          <w:szCs w:val="22"/>
        </w:rPr>
        <w:t>During testing, the application was asked to create a Transmission Lines account. The expected result based on the advisory document was 300 months (25 years). Instead, the application returned 240 months (20 years), with the internal explanation: “Keyword ‘transmission line’ suggests Pipeline (20 years).” This was incorrect on two levels. First, the application was matching on the word ‘transmission’ and associating it with petroleum/gas pipeline transport — a completely different asset class. Second, the advisory document was never consulted at all, because keyword matching ran before document lookup in the logic order.</w:t>
      </w:r>
    </w:p>
    <w:p w14:paraId="1656D5AD" w14:textId="77777777" w:rsidR="00A87FE7" w:rsidRDefault="00000000">
      <w:pPr>
        <w:spacing w:before="60" w:after="80"/>
      </w:pPr>
      <w:r>
        <w:rPr>
          <w:rFonts w:ascii="Arial" w:eastAsia="Arial" w:hAnsi="Arial" w:cs="Arial"/>
          <w:sz w:val="22"/>
          <w:szCs w:val="22"/>
        </w:rPr>
        <w:t>A second root cause was also identified: the PDF parser was written to handle FERC-style formatting, where a numeric code appears first on each line followed by a description. The advisory document used the opposite structure — description first, value at the end. Even if the logic order had been correct, the parser would have returned no usable data.</w:t>
      </w:r>
    </w:p>
    <w:p w14:paraId="1C5017BB" w14:textId="77777777" w:rsidR="00A87FE7" w:rsidRDefault="00000000">
      <w:pPr>
        <w:spacing w:before="60" w:after="80"/>
      </w:pPr>
      <w:r>
        <w:rPr>
          <w:rFonts w:ascii="Arial" w:eastAsia="Arial" w:hAnsi="Arial" w:cs="Arial"/>
          <w:sz w:val="22"/>
          <w:szCs w:val="22"/>
        </w:rPr>
        <w:t xml:space="preserve">Both issues were corrected: the logic order was fixed so that document lookup runs before keyword fallback, and the parser was updated to handle the description-first format. A CSV version of the advisory document was also produced as a more reliably </w:t>
      </w:r>
      <w:proofErr w:type="spellStart"/>
      <w:r>
        <w:rPr>
          <w:rFonts w:ascii="Arial" w:eastAsia="Arial" w:hAnsi="Arial" w:cs="Arial"/>
          <w:sz w:val="22"/>
          <w:szCs w:val="22"/>
        </w:rPr>
        <w:t>parseable</w:t>
      </w:r>
      <w:proofErr w:type="spellEnd"/>
      <w:r>
        <w:rPr>
          <w:rFonts w:ascii="Arial" w:eastAsia="Arial" w:hAnsi="Arial" w:cs="Arial"/>
          <w:sz w:val="22"/>
          <w:szCs w:val="22"/>
        </w:rPr>
        <w:t xml:space="preserve"> alternative.</w:t>
      </w:r>
    </w:p>
    <w:p w14:paraId="47AB1828" w14:textId="77777777" w:rsidR="00A87FE7" w:rsidRDefault="00000000">
      <w:pPr>
        <w:spacing w:before="60" w:after="80"/>
      </w:pPr>
      <w:r>
        <w:rPr>
          <w:rFonts w:ascii="Arial" w:eastAsia="Arial" w:hAnsi="Arial" w:cs="Arial"/>
          <w:sz w:val="22"/>
          <w:szCs w:val="22"/>
        </w:rPr>
        <w:t xml:space="preserve">The broader observation for the report is that a domain expert — someone who works with asset lives in practice and produced a well-organized reference table — created a document that is immediately readable and usable by another accountant. The application, however, required specific technical adjustments before it could interpret the same document correctly. This illustrates a meaningful distinction between human-readable professional materials and machine-readable structured </w:t>
      </w:r>
      <w:proofErr w:type="gramStart"/>
      <w:r>
        <w:rPr>
          <w:rFonts w:ascii="Arial" w:eastAsia="Arial" w:hAnsi="Arial" w:cs="Arial"/>
          <w:sz w:val="22"/>
          <w:szCs w:val="22"/>
        </w:rPr>
        <w:t>data, and</w:t>
      </w:r>
      <w:proofErr w:type="gramEnd"/>
      <w:r>
        <w:rPr>
          <w:rFonts w:ascii="Arial" w:eastAsia="Arial" w:hAnsi="Arial" w:cs="Arial"/>
          <w:sz w:val="22"/>
          <w:szCs w:val="22"/>
        </w:rPr>
        <w:t xml:space="preserve"> is worth framing as an example of where AI-assisted tools require careful integration work to match the interpretive flexibility of a trained professional.</w:t>
      </w:r>
    </w:p>
    <w:p w14:paraId="09CA8B5B" w14:textId="77777777" w:rsidR="00A87FE7" w:rsidRDefault="00A87FE7">
      <w:pPr>
        <w:spacing w:before="60" w:after="60"/>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FE7" w14:paraId="47E953CA" w14:textId="77777777">
        <w:tc>
          <w:tcPr>
            <w:tcW w:w="9360" w:type="dxa"/>
            <w:tcBorders>
              <w:top w:val="none" w:sz="0" w:space="0" w:color="FFFFFF"/>
              <w:left w:val="none" w:sz="0" w:space="0" w:color="FFFFFF"/>
              <w:bottom w:val="none" w:sz="0" w:space="0" w:color="FFFFFF"/>
              <w:right w:val="none" w:sz="0" w:space="0" w:color="FFFFFF"/>
            </w:tcBorders>
            <w:shd w:val="clear" w:color="auto" w:fill="FFF8E1"/>
            <w:tcMar>
              <w:top w:w="110" w:type="dxa"/>
              <w:left w:w="180" w:type="dxa"/>
              <w:bottom w:w="110" w:type="dxa"/>
              <w:right w:w="180" w:type="dxa"/>
            </w:tcMar>
          </w:tcPr>
          <w:p w14:paraId="3A50C6D9" w14:textId="77777777" w:rsidR="00A87FE7" w:rsidRDefault="00000000">
            <w:r>
              <w:rPr>
                <w:rFonts w:ascii="Arial" w:eastAsia="Arial" w:hAnsi="Arial" w:cs="Arial"/>
                <w:i/>
                <w:iCs/>
                <w:sz w:val="22"/>
                <w:szCs w:val="22"/>
              </w:rPr>
              <w:t>Testing note: Tests 1 and 2 (Transmission Lines and ERP Software) passed after the fixes were applied. Test 3 (Company Vehicles) could not match via keyword or document and defaulted to sibling asset life — a separate known behavior. The CSV version of the advisory document is available as an alternative input for more reliable parsing.</w:t>
            </w:r>
          </w:p>
        </w:tc>
      </w:tr>
    </w:tbl>
    <w:p w14:paraId="5D4047DE" w14:textId="77777777" w:rsidR="00A87FE7" w:rsidRDefault="00A87FE7">
      <w:pPr>
        <w:spacing w:before="60" w:after="60"/>
      </w:pPr>
    </w:p>
    <w:p w14:paraId="0612078A" w14:textId="77777777" w:rsidR="00A87FE7" w:rsidRDefault="00000000">
      <w:pPr>
        <w:spacing w:before="200"/>
      </w:pPr>
      <w:r>
        <w:rPr>
          <w:rFonts w:ascii="Arial" w:eastAsia="Arial" w:hAnsi="Arial" w:cs="Arial"/>
          <w:i/>
          <w:iCs/>
          <w:color w:val="777777"/>
        </w:rPr>
        <w:t xml:space="preserve">Reference this document when writing each section of the AUDIT </w:t>
      </w:r>
      <w:proofErr w:type="gramStart"/>
      <w:r>
        <w:rPr>
          <w:rFonts w:ascii="Arial" w:eastAsia="Arial" w:hAnsi="Arial" w:cs="Arial"/>
          <w:i/>
          <w:iCs/>
          <w:color w:val="777777"/>
        </w:rPr>
        <w:t>report  |</w:t>
      </w:r>
      <w:proofErr w:type="gramEnd"/>
      <w:r>
        <w:rPr>
          <w:rFonts w:ascii="Arial" w:eastAsia="Arial" w:hAnsi="Arial" w:cs="Arial"/>
          <w:i/>
          <w:iCs/>
          <w:color w:val="777777"/>
        </w:rPr>
        <w:t xml:space="preserve">  CoA </w:t>
      </w:r>
      <w:proofErr w:type="gramStart"/>
      <w:r>
        <w:rPr>
          <w:rFonts w:ascii="Arial" w:eastAsia="Arial" w:hAnsi="Arial" w:cs="Arial"/>
          <w:i/>
          <w:iCs/>
          <w:color w:val="777777"/>
        </w:rPr>
        <w:t>Architect  |</w:t>
      </w:r>
      <w:proofErr w:type="gramEnd"/>
      <w:r>
        <w:rPr>
          <w:rFonts w:ascii="Arial" w:eastAsia="Arial" w:hAnsi="Arial" w:cs="Arial"/>
          <w:i/>
          <w:iCs/>
          <w:color w:val="777777"/>
        </w:rPr>
        <w:t xml:space="preserve">  Spring 2026</w:t>
      </w:r>
    </w:p>
    <w:sectPr w:rsidR="00A87FE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E4880"/>
    <w:multiLevelType w:val="hybridMultilevel"/>
    <w:tmpl w:val="4C5AB01C"/>
    <w:lvl w:ilvl="0" w:tplc="BE7C1954">
      <w:start w:val="1"/>
      <w:numFmt w:val="bullet"/>
      <w:lvlText w:val="●"/>
      <w:lvlJc w:val="left"/>
      <w:pPr>
        <w:ind w:left="720" w:hanging="360"/>
      </w:pPr>
    </w:lvl>
    <w:lvl w:ilvl="1" w:tplc="0B3A12C0">
      <w:start w:val="1"/>
      <w:numFmt w:val="bullet"/>
      <w:lvlText w:val="○"/>
      <w:lvlJc w:val="left"/>
      <w:pPr>
        <w:ind w:left="1440" w:hanging="360"/>
      </w:pPr>
    </w:lvl>
    <w:lvl w:ilvl="2" w:tplc="A90E20DC">
      <w:start w:val="1"/>
      <w:numFmt w:val="bullet"/>
      <w:lvlText w:val="■"/>
      <w:lvlJc w:val="left"/>
      <w:pPr>
        <w:ind w:left="2160" w:hanging="360"/>
      </w:pPr>
    </w:lvl>
    <w:lvl w:ilvl="3" w:tplc="21204D40">
      <w:start w:val="1"/>
      <w:numFmt w:val="bullet"/>
      <w:lvlText w:val="●"/>
      <w:lvlJc w:val="left"/>
      <w:pPr>
        <w:ind w:left="2880" w:hanging="360"/>
      </w:pPr>
    </w:lvl>
    <w:lvl w:ilvl="4" w:tplc="E7A8C1F2">
      <w:start w:val="1"/>
      <w:numFmt w:val="bullet"/>
      <w:lvlText w:val="○"/>
      <w:lvlJc w:val="left"/>
      <w:pPr>
        <w:ind w:left="3600" w:hanging="360"/>
      </w:pPr>
    </w:lvl>
    <w:lvl w:ilvl="5" w:tplc="D76A9DD2">
      <w:start w:val="1"/>
      <w:numFmt w:val="bullet"/>
      <w:lvlText w:val="■"/>
      <w:lvlJc w:val="left"/>
      <w:pPr>
        <w:ind w:left="4320" w:hanging="360"/>
      </w:pPr>
    </w:lvl>
    <w:lvl w:ilvl="6" w:tplc="1E82BEA2">
      <w:start w:val="1"/>
      <w:numFmt w:val="bullet"/>
      <w:lvlText w:val="●"/>
      <w:lvlJc w:val="left"/>
      <w:pPr>
        <w:ind w:left="5040" w:hanging="360"/>
      </w:pPr>
    </w:lvl>
    <w:lvl w:ilvl="7" w:tplc="E7F08A1C">
      <w:start w:val="1"/>
      <w:numFmt w:val="bullet"/>
      <w:lvlText w:val="●"/>
      <w:lvlJc w:val="left"/>
      <w:pPr>
        <w:ind w:left="5760" w:hanging="360"/>
      </w:pPr>
    </w:lvl>
    <w:lvl w:ilvl="8" w:tplc="B74C5D88">
      <w:start w:val="1"/>
      <w:numFmt w:val="bullet"/>
      <w:lvlText w:val="●"/>
      <w:lvlJc w:val="left"/>
      <w:pPr>
        <w:ind w:left="6480" w:hanging="360"/>
      </w:pPr>
    </w:lvl>
  </w:abstractNum>
  <w:num w:numId="1" w16cid:durableId="2157024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FE7"/>
    <w:rsid w:val="007B421C"/>
    <w:rsid w:val="009F53ED"/>
    <w:rsid w:val="00A6267A"/>
    <w:rsid w:val="00A87FE7"/>
    <w:rsid w:val="00D0370B"/>
    <w:rsid w:val="00D653AE"/>
    <w:rsid w:val="00E414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C5375"/>
  <w15:docId w15:val="{07F66817-5977-4583-B12D-A6230E42D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2392</Words>
  <Characters>13885</Characters>
  <Application>Microsoft Office Word</Application>
  <DocSecurity>0</DocSecurity>
  <Lines>278</Lines>
  <Paragraphs>105</Paragraphs>
  <ScaleCrop>false</ScaleCrop>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Matthew Castillo</cp:lastModifiedBy>
  <cp:revision>4</cp:revision>
  <dcterms:created xsi:type="dcterms:W3CDTF">2026-03-21T18:59:00Z</dcterms:created>
  <dcterms:modified xsi:type="dcterms:W3CDTF">2026-03-21T19:02:00Z</dcterms:modified>
</cp:coreProperties>
</file>