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3864"/>
          <w:sz w:val="56"/>
          <w:szCs w:val="56"/>
        </w:rPr>
        <w:t xml:space="preserve">CoA Architect</w:t>
      </w:r>
    </w:p>
    <w:p>
      <w:pPr>
        <w:spacing w:before="0" w:after="40"/>
        <w:jc w:val="center"/>
      </w:pPr>
      <w:r>
        <w:rPr>
          <w:rFonts w:ascii="Arial" w:cs="Arial" w:eastAsia="Arial" w:hAnsi="Arial"/>
          <w:i/>
          <w:iCs/>
          <w:color w:val="2E75B6"/>
          <w:sz w:val="24"/>
          <w:szCs w:val="24"/>
        </w:rPr>
        <w:t xml:space="preserve">Intelligent Chart of Accounts builder with regulatory compliance validation.</w:t>
      </w:r>
    </w:p>
    <w:p>
      <w:pPr>
        <w:spacing w:before="0" w:after="40"/>
        <w:jc w:val="center"/>
      </w:pPr>
      <w:r>
        <w:rPr>
          <w:rFonts w:ascii="Arial" w:cs="Arial" w:eastAsia="Arial" w:hAnsi="Arial"/>
          <w:color w:val="888888"/>
          <w:sz w:val="20"/>
          <w:szCs w:val="20"/>
        </w:rPr>
        <w:t xml:space="preserve">ACG 6415: AI in Accounting  |  Spring 2026  |  Team: Silver Dolphins</w:t>
      </w:r>
    </w:p>
    <w:p>
      <w:pPr>
        <w:pBdr>
          <w:bottom w:val="single" w:color="2E75B6" w:sz="6" w:space="1"/>
        </w:pBdr>
        <w:spacing w:before="100" w:after="280"/>
      </w:pPr>
      <w:r>
        <w:t xml:space="preserve"/>
      </w:r>
    </w:p>
    <w:p>
      <w:pPr>
        <w:pStyle w:val="Heading1"/>
        <w:spacing w:before="320" w:after="100"/>
      </w:pPr>
      <w:r>
        <w:rPr>
          <w:rFonts w:ascii="Arial" w:cs="Arial" w:eastAsia="Arial" w:hAnsi="Arial"/>
          <w:b/>
          <w:bCs/>
          <w:color w:val="1F3864"/>
          <w:sz w:val="30"/>
          <w:szCs w:val="30"/>
        </w:rPr>
        <w:t xml:space="preserve">Project Overview</w:t>
      </w:r>
    </w:p>
    <w:p>
      <w:pPr>
        <w:spacing w:before="60" w:after="60"/>
      </w:pPr>
      <w:r>
        <w:rPr>
          <w:rFonts w:ascii="Arial" w:cs="Arial" w:eastAsia="Arial" w:hAnsi="Arial"/>
          <w:sz w:val="22"/>
          <w:szCs w:val="22"/>
        </w:rPr>
        <w:t xml:space="preserve">CoA Architect is an intelligent application that ingests an organization’s existing Chart of Accounts, learns its structure and classification patterns, and assists users in creating new, properly formatted and compliant account entries. The application is designed with utility company accounting in mind but is structured to be adaptable to other industries.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1F3864"/>
                <w:sz w:val="22"/>
                <w:szCs w:val="22"/>
              </w:rPr>
              <w:t xml:space="preserve">Platform</w:t>
            </w:r>
          </w:p>
          <w:p>
            <w:pPr>
              <w:spacing w:before="40"/>
            </w:pPr>
            <w:r>
              <w:rPr>
                <w:rFonts w:ascii="Arial" w:cs="Arial" w:eastAsia="Arial" w:hAnsi="Arial"/>
                <w:sz w:val="22"/>
                <w:szCs w:val="22"/>
              </w:rPr>
              <w:t xml:space="preserve">Claude Code (Anthropic)  |  Agentic Coding Tool</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3864"/>
                <w:sz w:val="22"/>
                <w:szCs w:val="22"/>
              </w:rPr>
              <w:t xml:space="preserve">GitHub Repository</w:t>
            </w:r>
          </w:p>
          <w:p>
            <w:pPr>
              <w:spacing w:before="40"/>
            </w:pPr>
            <w:r>
              <w:rPr>
                <w:rFonts w:ascii="Arial" w:cs="Arial" w:eastAsia="Arial" w:hAnsi="Arial"/>
                <w:sz w:val="22"/>
                <w:szCs w:val="22"/>
              </w:rPr>
              <w:t xml:space="preserve">Repository Name: ACG6415-Silver-Dolphins</w:t>
            </w:r>
          </w:p>
          <w:p>
            <w:pPr>
              <w:spacing w:before="40"/>
            </w:pPr>
            <w:r>
              <w:rPr>
                <w:rFonts w:ascii="Arial" w:cs="Arial" w:eastAsia="Arial" w:hAnsi="Arial"/>
                <w:sz w:val="22"/>
                <w:szCs w:val="22"/>
              </w:rPr>
              <w:t xml:space="preserve">URL: https://github.com/mattcast480/ACG6415-Silver-Dolphins</w:t>
            </w:r>
          </w:p>
          <w:p>
            <w:pPr>
              <w:spacing w:before="40"/>
            </w:pPr>
            <w:r>
              <w:rPr>
                <w:rFonts w:ascii="Arial" w:cs="Arial" w:eastAsia="Arial" w:hAnsi="Arial"/>
                <w:sz w:val="22"/>
                <w:szCs w:val="22"/>
              </w:rPr>
              <w:t xml:space="preserve">Owner: mattcast480  |  Visibility: Public</w:t>
            </w:r>
          </w:p>
        </w:tc>
      </w:tr>
    </w:tbl>
    <w:p>
      <w:pPr>
        <w:spacing w:before="160"/>
      </w:pPr>
      <w:r>
        <w:t xml:space="preserve"/>
      </w:r>
    </w:p>
    <w:p>
      <w:pPr>
        <w:pStyle w:val="Heading1"/>
        <w:spacing w:before="320" w:after="100"/>
      </w:pPr>
      <w:r>
        <w:rPr>
          <w:rFonts w:ascii="Arial" w:cs="Arial" w:eastAsia="Arial" w:hAnsi="Arial"/>
          <w:b/>
          <w:bCs/>
          <w:color w:val="1F3864"/>
          <w:sz w:val="30"/>
          <w:szCs w:val="30"/>
        </w:rPr>
        <w:t xml:space="preserve">GitHub Access for Team Members</w:t>
      </w:r>
    </w:p>
    <w:p>
      <w:pPr>
        <w:spacing w:before="60" w:after="60"/>
      </w:pPr>
      <w:r>
        <w:rPr>
          <w:rFonts w:ascii="Arial" w:cs="Arial" w:eastAsia="Arial" w:hAnsi="Arial"/>
          <w:sz w:val="22"/>
          <w:szCs w:val="22"/>
        </w:rPr>
        <w:t xml:space="preserve">All team members need a GitHub account to access the repository and collaborate on the project. Follow the steps below to get set up.</w:t>
      </w:r>
    </w:p>
    <w:p>
      <w:pPr>
        <w:spacing w:before="160" w:after="60"/>
      </w:pPr>
      <w:r>
        <w:rPr>
          <w:rFonts w:ascii="Arial" w:cs="Arial" w:eastAsia="Arial" w:hAnsi="Arial"/>
          <w:b/>
          <w:bCs/>
          <w:color w:val="2E75B6"/>
          <w:sz w:val="24"/>
          <w:szCs w:val="24"/>
        </w:rPr>
        <w:t xml:space="preserve">Step 1: Create a GitHub Account</w:t>
      </w:r>
    </w:p>
    <w:p>
      <w:pPr>
        <w:pStyle w:val="ListParagraph"/>
        <w:numPr>
          <w:ilvl w:val="0"/>
          <w:numId w:val="2"/>
        </w:numPr>
        <w:spacing w:before="60" w:after="60"/>
      </w:pPr>
      <w:r>
        <w:rPr>
          <w:rFonts w:ascii="Arial" w:cs="Arial" w:eastAsia="Arial" w:hAnsi="Arial"/>
          <w:sz w:val="22"/>
          <w:szCs w:val="22"/>
        </w:rPr>
        <w:t xml:space="preserve">Go to github.com in your web browser</w:t>
      </w:r>
    </w:p>
    <w:p>
      <w:pPr>
        <w:pStyle w:val="ListParagraph"/>
        <w:numPr>
          <w:ilvl w:val="0"/>
          <w:numId w:val="2"/>
        </w:numPr>
        <w:spacing w:before="60" w:after="60"/>
      </w:pPr>
      <w:r>
        <w:rPr>
          <w:rFonts w:ascii="Arial" w:cs="Arial" w:eastAsia="Arial" w:hAnsi="Arial"/>
          <w:sz w:val="22"/>
          <w:szCs w:val="22"/>
        </w:rPr>
        <w:t xml:space="preserve">Click “Sign up” in the top right corner</w:t>
      </w:r>
    </w:p>
    <w:p>
      <w:pPr>
        <w:pStyle w:val="ListParagraph"/>
        <w:numPr>
          <w:ilvl w:val="0"/>
          <w:numId w:val="2"/>
        </w:numPr>
        <w:spacing w:before="60" w:after="60"/>
      </w:pPr>
      <w:r>
        <w:rPr>
          <w:rFonts w:ascii="Arial" w:cs="Arial" w:eastAsia="Arial" w:hAnsi="Arial"/>
          <w:sz w:val="22"/>
          <w:szCs w:val="22"/>
        </w:rPr>
        <w:t xml:space="preserve">Use your Gmail address that was shared with the project lead — this must match the email the invite was sent to</w:t>
      </w:r>
    </w:p>
    <w:p>
      <w:pPr>
        <w:pStyle w:val="ListParagraph"/>
        <w:numPr>
          <w:ilvl w:val="0"/>
          <w:numId w:val="2"/>
        </w:numPr>
        <w:spacing w:before="60" w:after="60"/>
      </w:pPr>
      <w:r>
        <w:rPr>
          <w:rFonts w:ascii="Arial" w:cs="Arial" w:eastAsia="Arial" w:hAnsi="Arial"/>
          <w:sz w:val="22"/>
          <w:szCs w:val="22"/>
        </w:rPr>
        <w:t xml:space="preserve">Create a password and choose a username</w:t>
      </w:r>
    </w:p>
    <w:p>
      <w:pPr>
        <w:pStyle w:val="ListParagraph"/>
        <w:numPr>
          <w:ilvl w:val="0"/>
          <w:numId w:val="2"/>
        </w:numPr>
        <w:spacing w:before="60" w:after="60"/>
      </w:pPr>
      <w:r>
        <w:rPr>
          <w:rFonts w:ascii="Arial" w:cs="Arial" w:eastAsia="Arial" w:hAnsi="Arial"/>
          <w:sz w:val="22"/>
          <w:szCs w:val="22"/>
        </w:rPr>
        <w:t xml:space="preserve">Complete the verification puzzle and select the free plan when prompted</w:t>
      </w:r>
    </w:p>
    <w:p>
      <w:pPr>
        <w:pStyle w:val="ListParagraph"/>
        <w:numPr>
          <w:ilvl w:val="0"/>
          <w:numId w:val="2"/>
        </w:numPr>
        <w:spacing w:before="60" w:after="60"/>
      </w:pPr>
      <w:r>
        <w:rPr>
          <w:rFonts w:ascii="Arial" w:cs="Arial" w:eastAsia="Arial" w:hAnsi="Arial"/>
          <w:sz w:val="22"/>
          <w:szCs w:val="22"/>
        </w:rPr>
        <w:t xml:space="preserve">Verify your email address by clicking the confirmation link GitHub sends to your Gmail</w:t>
      </w:r>
    </w:p>
    <w:p>
      <w:pPr>
        <w:spacing w:before="160" w:after="60"/>
      </w:pPr>
      <w:r>
        <w:rPr>
          <w:rFonts w:ascii="Arial" w:cs="Arial" w:eastAsia="Arial" w:hAnsi="Arial"/>
          <w:b/>
          <w:bCs/>
          <w:color w:val="2E75B6"/>
          <w:sz w:val="24"/>
          <w:szCs w:val="24"/>
        </w:rPr>
        <w:t xml:space="preserve">Step 2: Accept the Collaborator Invite</w:t>
      </w:r>
    </w:p>
    <w:p>
      <w:pPr>
        <w:spacing w:before="60" w:after="60"/>
      </w:pPr>
      <w:r>
        <w:rPr>
          <w:rFonts w:ascii="Arial" w:cs="Arial" w:eastAsia="Arial" w:hAnsi="Arial"/>
          <w:sz w:val="22"/>
          <w:szCs w:val="22"/>
        </w:rPr>
        <w:t xml:space="preserve">Once your GitHub account is created, you need to accept the pending invite to join the repository. There are two ways to do this:</w:t>
      </w:r>
    </w:p>
    <w:p>
      <w:pPr>
        <w:spacing w:before="100" w:after="40"/>
      </w:pPr>
      <w:r>
        <w:rPr>
          <w:rFonts w:ascii="Arial" w:cs="Arial" w:eastAsia="Arial" w:hAnsi="Arial"/>
          <w:b/>
          <w:bCs/>
          <w:sz w:val="22"/>
          <w:szCs w:val="22"/>
        </w:rPr>
        <w:t xml:space="preserve">Option A — Via Email (Easiest):</w:t>
      </w:r>
    </w:p>
    <w:p>
      <w:pPr>
        <w:pStyle w:val="ListParagraph"/>
        <w:numPr>
          <w:ilvl w:val="0"/>
          <w:numId w:val="2"/>
        </w:numPr>
        <w:spacing w:before="60" w:after="60"/>
      </w:pPr>
      <w:r>
        <w:rPr>
          <w:rFonts w:ascii="Arial" w:cs="Arial" w:eastAsia="Arial" w:hAnsi="Arial"/>
          <w:sz w:val="22"/>
          <w:szCs w:val="22"/>
        </w:rPr>
        <w:t xml:space="preserve">Check your Gmail inbox for an email from GitHub with the subject “You’ve been invited to collaborate”</w:t>
      </w:r>
    </w:p>
    <w:p>
      <w:pPr>
        <w:pStyle w:val="ListParagraph"/>
        <w:numPr>
          <w:ilvl w:val="0"/>
          <w:numId w:val="2"/>
        </w:numPr>
        <w:spacing w:before="60" w:after="60"/>
      </w:pPr>
      <w:r>
        <w:rPr>
          <w:rFonts w:ascii="Arial" w:cs="Arial" w:eastAsia="Arial" w:hAnsi="Arial"/>
          <w:sz w:val="22"/>
          <w:szCs w:val="22"/>
        </w:rPr>
        <w:t xml:space="preserve">Click the “View invitation” button in the email</w:t>
      </w:r>
    </w:p>
    <w:p>
      <w:pPr>
        <w:pStyle w:val="ListParagraph"/>
        <w:numPr>
          <w:ilvl w:val="0"/>
          <w:numId w:val="2"/>
        </w:numPr>
        <w:spacing w:before="60" w:after="60"/>
      </w:pPr>
      <w:r>
        <w:rPr>
          <w:rFonts w:ascii="Arial" w:cs="Arial" w:eastAsia="Arial" w:hAnsi="Arial"/>
          <w:sz w:val="22"/>
          <w:szCs w:val="22"/>
        </w:rPr>
        <w:t xml:space="preserve">Click “Accept invitation” on the GitHub page that opens</w:t>
      </w:r>
    </w:p>
    <w:p>
      <w:pPr>
        <w:spacing w:before="100" w:after="40"/>
      </w:pPr>
      <w:r>
        <w:rPr>
          <w:rFonts w:ascii="Arial" w:cs="Arial" w:eastAsia="Arial" w:hAnsi="Arial"/>
          <w:b/>
          <w:bCs/>
          <w:sz w:val="22"/>
          <w:szCs w:val="22"/>
        </w:rPr>
        <w:t xml:space="preserve">Option B — Via the Repository URL:</w:t>
      </w:r>
    </w:p>
    <w:p>
      <w:pPr>
        <w:pStyle w:val="ListParagraph"/>
        <w:numPr>
          <w:ilvl w:val="0"/>
          <w:numId w:val="2"/>
        </w:numPr>
        <w:spacing w:before="60" w:after="60"/>
      </w:pPr>
      <w:r>
        <w:rPr>
          <w:rFonts w:ascii="Arial" w:cs="Arial" w:eastAsia="Arial" w:hAnsi="Arial"/>
          <w:sz w:val="22"/>
          <w:szCs w:val="22"/>
        </w:rPr>
        <w:t xml:space="preserve">Make sure you are logged into GitHub in your browser</w:t>
      </w:r>
    </w:p>
    <w:p>
      <w:pPr>
        <w:pStyle w:val="ListParagraph"/>
        <w:numPr>
          <w:ilvl w:val="0"/>
          <w:numId w:val="2"/>
        </w:numPr>
        <w:spacing w:before="60" w:after="60"/>
      </w:pPr>
      <w:r>
        <w:rPr>
          <w:rFonts w:ascii="Arial" w:cs="Arial" w:eastAsia="Arial" w:hAnsi="Arial"/>
          <w:sz w:val="22"/>
          <w:szCs w:val="22"/>
        </w:rPr>
        <w:t xml:space="preserve">Go to: https://github.com/mattcast480/ACG6415-Silver-Dolphins</w:t>
      </w:r>
    </w:p>
    <w:p>
      <w:pPr>
        <w:pStyle w:val="ListParagraph"/>
        <w:numPr>
          <w:ilvl w:val="0"/>
          <w:numId w:val="2"/>
        </w:numPr>
        <w:spacing w:before="60" w:after="60"/>
      </w:pPr>
      <w:r>
        <w:rPr>
          <w:rFonts w:ascii="Arial" w:cs="Arial" w:eastAsia="Arial" w:hAnsi="Arial"/>
          <w:sz w:val="22"/>
          <w:szCs w:val="22"/>
        </w:rPr>
        <w:t xml:space="preserve">A banner will appear at the top of the page prompting you to accept the invitation — click “Accept invitation”</w:t>
      </w:r>
    </w:p>
    <w:p>
      <w:pPr>
        <w:spacing w:before="100" w:after="60"/>
      </w:pPr>
      <w:r>
        <w:rPr>
          <w:rFonts w:ascii="Arial" w:cs="Arial" w:eastAsia="Arial" w:hAnsi="Arial"/>
          <w:b/>
          <w:bCs/>
          <w:sz w:val="22"/>
          <w:szCs w:val="22"/>
        </w:rPr>
        <w:t xml:space="preserve">Important Notes:</w:t>
      </w:r>
    </w:p>
    <w:p>
      <w:pPr>
        <w:pStyle w:val="ListParagraph"/>
        <w:numPr>
          <w:ilvl w:val="0"/>
          <w:numId w:val="2"/>
        </w:numPr>
        <w:spacing w:before="60" w:after="60"/>
      </w:pPr>
      <w:r>
        <w:rPr>
          <w:rFonts w:ascii="Arial" w:cs="Arial" w:eastAsia="Arial" w:hAnsi="Arial"/>
          <w:sz w:val="22"/>
          <w:szCs w:val="22"/>
        </w:rPr>
        <w:t xml:space="preserve">GitHub invites expire after 7 days — accept as soon as possible</w:t>
      </w:r>
    </w:p>
    <w:p>
      <w:pPr>
        <w:pStyle w:val="ListParagraph"/>
        <w:numPr>
          <w:ilvl w:val="0"/>
          <w:numId w:val="2"/>
        </w:numPr>
        <w:spacing w:before="60" w:after="60"/>
      </w:pPr>
      <w:r>
        <w:rPr>
          <w:rFonts w:ascii="Arial" w:cs="Arial" w:eastAsia="Arial" w:hAnsi="Arial"/>
          <w:sz w:val="22"/>
          <w:szCs w:val="22"/>
        </w:rPr>
        <w:t xml:space="preserve">Your GitHub account email must match the Gmail address the invite was sent to — if they don’t match, the invite will not appear</w:t>
      </w:r>
    </w:p>
    <w:p>
      <w:pPr>
        <w:pStyle w:val="ListParagraph"/>
        <w:numPr>
          <w:ilvl w:val="0"/>
          <w:numId w:val="2"/>
        </w:numPr>
        <w:spacing w:before="60" w:after="60"/>
      </w:pPr>
      <w:r>
        <w:rPr>
          <w:rFonts w:ascii="Arial" w:cs="Arial" w:eastAsia="Arial" w:hAnsi="Arial"/>
          <w:sz w:val="22"/>
          <w:szCs w:val="22"/>
        </w:rPr>
        <w:t xml:space="preserve">If your invite has expired, notify the project lead (Matt) to resend it</w:t>
      </w:r>
    </w:p>
    <w:p>
      <w:pPr>
        <w:spacing w:before="160"/>
      </w:pPr>
      <w:r>
        <w:t xml:space="preserve"/>
      </w:r>
    </w:p>
    <w:p>
      <w:pPr>
        <w:pStyle w:val="Heading1"/>
        <w:spacing w:before="320" w:after="100"/>
      </w:pPr>
      <w:r>
        <w:rPr>
          <w:rFonts w:ascii="Arial" w:cs="Arial" w:eastAsia="Arial" w:hAnsi="Arial"/>
          <w:b/>
          <w:bCs/>
          <w:color w:val="1F3864"/>
          <w:sz w:val="30"/>
          <w:szCs w:val="30"/>
        </w:rPr>
        <w:t xml:space="preserve">Team Brainstorming — Account Category Ideas</w:t>
      </w:r>
    </w:p>
    <w:p>
      <w:pPr>
        <w:spacing w:before="60" w:after="120"/>
      </w:pPr>
      <w:r>
        <w:rPr>
          <w:rFonts w:ascii="Arial" w:cs="Arial" w:eastAsia="Arial" w:hAnsi="Arial"/>
          <w:sz w:val="22"/>
          <w:szCs w:val="22"/>
        </w:rPr>
        <w:t xml:space="preserve">Each team member should fill out one row below. Provide your name, the accounting topic or category you are focusing on, a brief description of what that category covers, and any tentative codes you think may apply (FERC, tax, FASB/GASB, or other).</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1440"/>
        <w:gridCol w:w="2160"/>
        <w:gridCol w:w="3240"/>
        <w:gridCol w:w="2520"/>
      </w:tblGrid>
      <w:tr>
        <w:tc>
          <w:tcPr>
            <w:tcW w:w="1440" w:type="dxa"/>
            <w:shd w:val="clear" w:fill="2E75B6"/>
            <w:tcMar>
              <w:top w:w="80" w:type="dxa"/>
              <w:left w:w="120" w:type="dxa"/>
              <w:bottom w:w="80" w:type="dxa"/>
              <w:right w:w="120" w:type="dxa"/>
            </w:tcMar>
          </w:tcPr>
          <w:p>
            <w:r>
              <w:rPr>
                <w:rFonts w:ascii="Arial" w:cs="Arial" w:hAnsi="Arial"/>
                <w:b/>
                <w:bCs/>
                <w:color w:val="FFFFFF"/>
                <w:sz w:val="20"/>
                <w:szCs w:val="20"/>
              </w:rPr>
              <w:t>Name</w:t>
            </w:r>
          </w:p>
        </w:tc>
        <w:tc>
          <w:tcPr>
            <w:tcW w:w="2160" w:type="dxa"/>
            <w:shd w:val="clear" w:fill="2E75B6"/>
            <w:tcMar>
              <w:top w:w="80" w:type="dxa"/>
              <w:left w:w="120" w:type="dxa"/>
              <w:bottom w:w="80" w:type="dxa"/>
              <w:right w:w="120" w:type="dxa"/>
            </w:tcMar>
          </w:tcPr>
          <w:p>
            <w:r>
              <w:rPr>
                <w:rFonts w:ascii="Arial" w:cs="Arial" w:hAnsi="Arial"/>
                <w:b/>
                <w:bCs/>
                <w:color w:val="FFFFFF"/>
                <w:sz w:val="20"/>
                <w:szCs w:val="20"/>
              </w:rPr>
              <w:t>Topic / Category Name</w:t>
            </w:r>
          </w:p>
        </w:tc>
        <w:tc>
          <w:tcPr>
            <w:tcW w:w="3240" w:type="dxa"/>
            <w:shd w:val="clear" w:fill="2E75B6"/>
            <w:tcMar>
              <w:top w:w="80" w:type="dxa"/>
              <w:left w:w="120" w:type="dxa"/>
              <w:bottom w:w="80" w:type="dxa"/>
              <w:right w:w="120" w:type="dxa"/>
            </w:tcMar>
          </w:tcPr>
          <w:p>
            <w:r>
              <w:rPr>
                <w:rFonts w:ascii="Arial" w:cs="Arial" w:hAnsi="Arial"/>
                <w:b/>
                <w:bCs/>
                <w:color w:val="FFFFFF"/>
                <w:sz w:val="20"/>
                <w:szCs w:val="20"/>
              </w:rPr>
              <w:t>Short Category Description</w:t>
            </w:r>
          </w:p>
        </w:tc>
        <w:tc>
          <w:tcPr>
            <w:tcW w:w="2520" w:type="dxa"/>
            <w:shd w:val="clear" w:fill="2E75B6"/>
            <w:tcMar>
              <w:top w:w="80" w:type="dxa"/>
              <w:left w:w="120" w:type="dxa"/>
              <w:bottom w:w="80" w:type="dxa"/>
              <w:right w:w="120" w:type="dxa"/>
            </w:tcMar>
          </w:tcPr>
          <w:p>
            <w:r>
              <w:rPr>
                <w:rFonts w:ascii="Arial" w:cs="Arial" w:hAnsi="Arial"/>
                <w:b/>
                <w:bCs/>
                <w:color w:val="FFFFFF"/>
                <w:sz w:val="20"/>
                <w:szCs w:val="20"/>
              </w:rPr>
              <w:t>Tentative Codes</w:t>
            </w:r>
          </w:p>
        </w:tc>
      </w:tr>
      <w:tr>
        <w:tc>
          <w:tcPr>
            <w:tcW w:w="1440" w:type="dxa"/>
            <w:shd w:val="clear" w:fill="F2F2F2"/>
            <w:tcMar>
              <w:top w:w="100" w:type="dxa"/>
              <w:left w:w="120" w:type="dxa"/>
              <w:bottom w:w="100" w:type="dxa"/>
              <w:right w:w="120" w:type="dxa"/>
            </w:tcMar>
          </w:tcPr>
          <w:p>
            <w:r>
              <w:rPr>
                <w:rFonts w:ascii="Arial" w:cs="Arial" w:hAnsi="Arial"/>
                <w:sz w:val="20"/>
                <w:szCs w:val="20"/>
              </w:rPr>
              <w:t xml:space="preserve"> </w:t>
            </w:r>
          </w:p>
        </w:tc>
        <w:tc>
          <w:tcPr>
            <w:tcW w:w="2160" w:type="dxa"/>
            <w:shd w:val="clear" w:fill="FFFFFF"/>
            <w:tcMar>
              <w:top w:w="100" w:type="dxa"/>
              <w:left w:w="120" w:type="dxa"/>
              <w:bottom w:w="100" w:type="dxa"/>
              <w:right w:w="120" w:type="dxa"/>
            </w:tcMar>
          </w:tcPr>
          <w:p>
            <w:r>
              <w:rPr>
                <w:rFonts w:ascii="Arial" w:cs="Arial" w:hAnsi="Arial"/>
                <w:sz w:val="20"/>
                <w:szCs w:val="20"/>
              </w:rPr>
              <w:t xml:space="preserve"> </w:t>
            </w:r>
          </w:p>
        </w:tc>
        <w:tc>
          <w:tcPr>
            <w:tcW w:w="3240" w:type="dxa"/>
            <w:shd w:val="clear" w:fill="FFFFFF"/>
            <w:tcMar>
              <w:top w:w="100" w:type="dxa"/>
              <w:left w:w="120" w:type="dxa"/>
              <w:bottom w:w="100" w:type="dxa"/>
              <w:right w:w="120" w:type="dxa"/>
            </w:tcMar>
          </w:tcPr>
          <w:p>
            <w:r>
              <w:rPr>
                <w:rFonts w:ascii="Arial" w:cs="Arial" w:hAnsi="Arial"/>
                <w:sz w:val="20"/>
                <w:szCs w:val="20"/>
              </w:rPr>
              <w:t xml:space="preserve"> </w:t>
            </w:r>
          </w:p>
        </w:tc>
        <w:tc>
          <w:tcPr>
            <w:tcW w:w="2520" w:type="dxa"/>
            <w:shd w:val="clear" w:fill="FFFFFF"/>
            <w:tcMar>
              <w:top w:w="100" w:type="dxa"/>
              <w:left w:w="120" w:type="dxa"/>
              <w:bottom w:w="100" w:type="dxa"/>
              <w:right w:w="120" w:type="dxa"/>
            </w:tcMar>
          </w:tcPr>
          <w:p>
            <w:r>
              <w:rPr>
                <w:rFonts w:ascii="Arial" w:cs="Arial" w:hAnsi="Arial"/>
                <w:sz w:val="20"/>
                <w:szCs w:val="20"/>
              </w:rPr>
              <w:t xml:space="preserve"> </w:t>
            </w:r>
          </w:p>
        </w:tc>
      </w:tr>
      <w:tr>
        <w:tc>
          <w:tcPr>
            <w:tcW w:w="1440" w:type="dxa"/>
            <w:shd w:val="clear" w:fill="F2F2F2"/>
            <w:tcMar>
              <w:top w:w="100" w:type="dxa"/>
              <w:left w:w="120" w:type="dxa"/>
              <w:bottom w:w="100" w:type="dxa"/>
              <w:right w:w="120" w:type="dxa"/>
            </w:tcMar>
          </w:tcPr>
          <w:p>
            <w:r>
              <w:rPr>
                <w:rFonts w:ascii="Arial" w:cs="Arial" w:hAnsi="Arial"/>
                <w:sz w:val="20"/>
                <w:szCs w:val="20"/>
              </w:rPr>
              <w:t xml:space="preserve"> </w:t>
            </w:r>
          </w:p>
        </w:tc>
        <w:tc>
          <w:tcPr>
            <w:tcW w:w="2160" w:type="dxa"/>
            <w:shd w:val="clear" w:fill="FFFFFF"/>
            <w:tcMar>
              <w:top w:w="100" w:type="dxa"/>
              <w:left w:w="120" w:type="dxa"/>
              <w:bottom w:w="100" w:type="dxa"/>
              <w:right w:w="120" w:type="dxa"/>
            </w:tcMar>
          </w:tcPr>
          <w:p>
            <w:r>
              <w:rPr>
                <w:rFonts w:ascii="Arial" w:cs="Arial" w:hAnsi="Arial"/>
                <w:sz w:val="20"/>
                <w:szCs w:val="20"/>
              </w:rPr>
              <w:t xml:space="preserve"> </w:t>
            </w:r>
          </w:p>
        </w:tc>
        <w:tc>
          <w:tcPr>
            <w:tcW w:w="3240" w:type="dxa"/>
            <w:shd w:val="clear" w:fill="FFFFFF"/>
            <w:tcMar>
              <w:top w:w="100" w:type="dxa"/>
              <w:left w:w="120" w:type="dxa"/>
              <w:bottom w:w="100" w:type="dxa"/>
              <w:right w:w="120" w:type="dxa"/>
            </w:tcMar>
          </w:tcPr>
          <w:p>
            <w:r>
              <w:rPr>
                <w:rFonts w:ascii="Arial" w:cs="Arial" w:hAnsi="Arial"/>
                <w:sz w:val="20"/>
                <w:szCs w:val="20"/>
              </w:rPr>
              <w:t xml:space="preserve"> </w:t>
            </w:r>
          </w:p>
        </w:tc>
        <w:tc>
          <w:tcPr>
            <w:tcW w:w="2520" w:type="dxa"/>
            <w:shd w:val="clear" w:fill="FFFFFF"/>
            <w:tcMar>
              <w:top w:w="100" w:type="dxa"/>
              <w:left w:w="120" w:type="dxa"/>
              <w:bottom w:w="100" w:type="dxa"/>
              <w:right w:w="120" w:type="dxa"/>
            </w:tcMar>
          </w:tcPr>
          <w:p>
            <w:r>
              <w:rPr>
                <w:rFonts w:ascii="Arial" w:cs="Arial" w:hAnsi="Arial"/>
                <w:sz w:val="20"/>
                <w:szCs w:val="20"/>
              </w:rPr>
              <w:t xml:space="preserve"> </w:t>
            </w:r>
          </w:p>
        </w:tc>
      </w:tr>
      <w:tr>
        <w:tc>
          <w:tcPr>
            <w:tcW w:w="1440" w:type="dxa"/>
            <w:shd w:val="clear" w:fill="F2F2F2"/>
            <w:tcMar>
              <w:top w:w="100" w:type="dxa"/>
              <w:left w:w="120" w:type="dxa"/>
              <w:bottom w:w="100" w:type="dxa"/>
              <w:right w:w="120" w:type="dxa"/>
            </w:tcMar>
          </w:tcPr>
          <w:p>
            <w:r>
              <w:rPr>
                <w:rFonts w:ascii="Arial" w:cs="Arial" w:hAnsi="Arial"/>
                <w:sz w:val="20"/>
                <w:szCs w:val="20"/>
              </w:rPr>
              <w:t xml:space="preserve"> </w:t>
            </w:r>
          </w:p>
        </w:tc>
        <w:tc>
          <w:tcPr>
            <w:tcW w:w="2160" w:type="dxa"/>
            <w:shd w:val="clear" w:fill="FFFFFF"/>
            <w:tcMar>
              <w:top w:w="100" w:type="dxa"/>
              <w:left w:w="120" w:type="dxa"/>
              <w:bottom w:w="100" w:type="dxa"/>
              <w:right w:w="120" w:type="dxa"/>
            </w:tcMar>
          </w:tcPr>
          <w:p>
            <w:r>
              <w:rPr>
                <w:rFonts w:ascii="Arial" w:cs="Arial" w:hAnsi="Arial"/>
                <w:sz w:val="20"/>
                <w:szCs w:val="20"/>
              </w:rPr>
              <w:t xml:space="preserve"> </w:t>
            </w:r>
          </w:p>
        </w:tc>
        <w:tc>
          <w:tcPr>
            <w:tcW w:w="3240" w:type="dxa"/>
            <w:shd w:val="clear" w:fill="FFFFFF"/>
            <w:tcMar>
              <w:top w:w="100" w:type="dxa"/>
              <w:left w:w="120" w:type="dxa"/>
              <w:bottom w:w="100" w:type="dxa"/>
              <w:right w:w="120" w:type="dxa"/>
            </w:tcMar>
          </w:tcPr>
          <w:p>
            <w:r>
              <w:rPr>
                <w:rFonts w:ascii="Arial" w:cs="Arial" w:hAnsi="Arial"/>
                <w:sz w:val="20"/>
                <w:szCs w:val="20"/>
              </w:rPr>
              <w:t xml:space="preserve"> </w:t>
            </w:r>
          </w:p>
        </w:tc>
        <w:tc>
          <w:tcPr>
            <w:tcW w:w="2520" w:type="dxa"/>
            <w:shd w:val="clear" w:fill="FFFFFF"/>
            <w:tcMar>
              <w:top w:w="100" w:type="dxa"/>
              <w:left w:w="120" w:type="dxa"/>
              <w:bottom w:w="100" w:type="dxa"/>
              <w:right w:w="120" w:type="dxa"/>
            </w:tcMar>
          </w:tcPr>
          <w:p>
            <w:r>
              <w:rPr>
                <w:rFonts w:ascii="Arial" w:cs="Arial" w:hAnsi="Arial"/>
                <w:sz w:val="20"/>
                <w:szCs w:val="20"/>
              </w:rPr>
              <w:t xml:space="preserve"> </w:t>
            </w:r>
          </w:p>
        </w:tc>
      </w:tr>
      <w:tr>
        <w:tc>
          <w:tcPr>
            <w:tcW w:w="1440" w:type="dxa"/>
            <w:shd w:val="clear" w:fill="F2F2F2"/>
            <w:tcMar>
              <w:top w:w="100" w:type="dxa"/>
              <w:left w:w="120" w:type="dxa"/>
              <w:bottom w:w="100" w:type="dxa"/>
              <w:right w:w="120" w:type="dxa"/>
            </w:tcMar>
          </w:tcPr>
          <w:p>
            <w:r>
              <w:rPr>
                <w:rFonts w:ascii="Arial" w:cs="Arial" w:hAnsi="Arial"/>
                <w:sz w:val="20"/>
                <w:szCs w:val="20"/>
              </w:rPr>
              <w:t xml:space="preserve"> </w:t>
            </w:r>
          </w:p>
        </w:tc>
        <w:tc>
          <w:tcPr>
            <w:tcW w:w="2160" w:type="dxa"/>
            <w:shd w:val="clear" w:fill="FFFFFF"/>
            <w:tcMar>
              <w:top w:w="100" w:type="dxa"/>
              <w:left w:w="120" w:type="dxa"/>
              <w:bottom w:w="100" w:type="dxa"/>
              <w:right w:w="120" w:type="dxa"/>
            </w:tcMar>
          </w:tcPr>
          <w:p>
            <w:r>
              <w:rPr>
                <w:rFonts w:ascii="Arial" w:cs="Arial" w:hAnsi="Arial"/>
                <w:sz w:val="20"/>
                <w:szCs w:val="20"/>
              </w:rPr>
              <w:t xml:space="preserve"> </w:t>
            </w:r>
          </w:p>
        </w:tc>
        <w:tc>
          <w:tcPr>
            <w:tcW w:w="3240" w:type="dxa"/>
            <w:shd w:val="clear" w:fill="FFFFFF"/>
            <w:tcMar>
              <w:top w:w="100" w:type="dxa"/>
              <w:left w:w="120" w:type="dxa"/>
              <w:bottom w:w="100" w:type="dxa"/>
              <w:right w:w="120" w:type="dxa"/>
            </w:tcMar>
          </w:tcPr>
          <w:p>
            <w:r>
              <w:rPr>
                <w:rFonts w:ascii="Arial" w:cs="Arial" w:hAnsi="Arial"/>
                <w:sz w:val="20"/>
                <w:szCs w:val="20"/>
              </w:rPr>
              <w:t xml:space="preserve"> </w:t>
            </w:r>
          </w:p>
        </w:tc>
        <w:tc>
          <w:tcPr>
            <w:tcW w:w="2520" w:type="dxa"/>
            <w:shd w:val="clear" w:fill="FFFFFF"/>
            <w:tcMar>
              <w:top w:w="100" w:type="dxa"/>
              <w:left w:w="120" w:type="dxa"/>
              <w:bottom w:w="100" w:type="dxa"/>
              <w:right w:w="120" w:type="dxa"/>
            </w:tcMar>
          </w:tcPr>
          <w:p>
            <w:r>
              <w:rPr>
                <w:rFonts w:ascii="Arial" w:cs="Arial" w:hAnsi="Arial"/>
                <w:sz w:val="20"/>
                <w:szCs w:val="20"/>
              </w:rPr>
              <w:t xml:space="preserve"> </w:t>
            </w:r>
          </w:p>
        </w:tc>
      </w:tr>
      <w:tr>
        <w:tc>
          <w:tcPr>
            <w:tcW w:w="1440" w:type="dxa"/>
            <w:shd w:val="clear" w:fill="F2F2F2"/>
            <w:tcMar>
              <w:top w:w="100" w:type="dxa"/>
              <w:left w:w="120" w:type="dxa"/>
              <w:bottom w:w="100" w:type="dxa"/>
              <w:right w:w="120" w:type="dxa"/>
            </w:tcMar>
          </w:tcPr>
          <w:p>
            <w:r>
              <w:rPr>
                <w:rFonts w:ascii="Arial" w:cs="Arial" w:hAnsi="Arial"/>
                <w:sz w:val="20"/>
                <w:szCs w:val="20"/>
              </w:rPr>
              <w:t xml:space="preserve"> </w:t>
            </w:r>
          </w:p>
        </w:tc>
        <w:tc>
          <w:tcPr>
            <w:tcW w:w="2160" w:type="dxa"/>
            <w:shd w:val="clear" w:fill="FFFFFF"/>
            <w:tcMar>
              <w:top w:w="100" w:type="dxa"/>
              <w:left w:w="120" w:type="dxa"/>
              <w:bottom w:w="100" w:type="dxa"/>
              <w:right w:w="120" w:type="dxa"/>
            </w:tcMar>
          </w:tcPr>
          <w:p>
            <w:r>
              <w:rPr>
                <w:rFonts w:ascii="Arial" w:cs="Arial" w:hAnsi="Arial"/>
                <w:sz w:val="20"/>
                <w:szCs w:val="20"/>
              </w:rPr>
              <w:t xml:space="preserve"> </w:t>
            </w:r>
          </w:p>
        </w:tc>
        <w:tc>
          <w:tcPr>
            <w:tcW w:w="3240" w:type="dxa"/>
            <w:shd w:val="clear" w:fill="FFFFFF"/>
            <w:tcMar>
              <w:top w:w="100" w:type="dxa"/>
              <w:left w:w="120" w:type="dxa"/>
              <w:bottom w:w="100" w:type="dxa"/>
              <w:right w:w="120" w:type="dxa"/>
            </w:tcMar>
          </w:tcPr>
          <w:p>
            <w:r>
              <w:rPr>
                <w:rFonts w:ascii="Arial" w:cs="Arial" w:hAnsi="Arial"/>
                <w:sz w:val="20"/>
                <w:szCs w:val="20"/>
              </w:rPr>
              <w:t xml:space="preserve"> </w:t>
            </w:r>
          </w:p>
        </w:tc>
        <w:tc>
          <w:tcPr>
            <w:tcW w:w="2520" w:type="dxa"/>
            <w:shd w:val="clear" w:fill="FFFFFF"/>
            <w:tcMar>
              <w:top w:w="100" w:type="dxa"/>
              <w:left w:w="120" w:type="dxa"/>
              <w:bottom w:w="100" w:type="dxa"/>
              <w:right w:w="120" w:type="dxa"/>
            </w:tcMar>
          </w:tcPr>
          <w:p>
            <w:r>
              <w:rPr>
                <w:rFonts w:ascii="Arial" w:cs="Arial" w:hAnsi="Arial"/>
                <w:sz w:val="20"/>
                <w:szCs w:val="20"/>
              </w:rPr>
              <w:t xml:space="preserve"> </w:t>
            </w:r>
          </w:p>
        </w:tc>
      </w:tr>
      <w:tr>
        <w:tc>
          <w:tcPr>
            <w:tcW w:w="1440" w:type="dxa"/>
            <w:shd w:val="clear" w:fill="F2F2F2"/>
            <w:tcMar>
              <w:top w:w="100" w:type="dxa"/>
              <w:left w:w="120" w:type="dxa"/>
              <w:bottom w:w="100" w:type="dxa"/>
              <w:right w:w="120" w:type="dxa"/>
            </w:tcMar>
          </w:tcPr>
          <w:p>
            <w:r>
              <w:rPr>
                <w:rFonts w:ascii="Arial" w:cs="Arial" w:hAnsi="Arial"/>
                <w:sz w:val="20"/>
                <w:szCs w:val="20"/>
              </w:rPr>
              <w:t xml:space="preserve"> </w:t>
            </w:r>
          </w:p>
        </w:tc>
        <w:tc>
          <w:tcPr>
            <w:tcW w:w="2160" w:type="dxa"/>
            <w:shd w:val="clear" w:fill="FFFFFF"/>
            <w:tcMar>
              <w:top w:w="100" w:type="dxa"/>
              <w:left w:w="120" w:type="dxa"/>
              <w:bottom w:w="100" w:type="dxa"/>
              <w:right w:w="120" w:type="dxa"/>
            </w:tcMar>
          </w:tcPr>
          <w:p>
            <w:r>
              <w:rPr>
                <w:rFonts w:ascii="Arial" w:cs="Arial" w:hAnsi="Arial"/>
                <w:sz w:val="20"/>
                <w:szCs w:val="20"/>
              </w:rPr>
              <w:t xml:space="preserve"> </w:t>
            </w:r>
          </w:p>
        </w:tc>
        <w:tc>
          <w:tcPr>
            <w:tcW w:w="3240" w:type="dxa"/>
            <w:shd w:val="clear" w:fill="FFFFFF"/>
            <w:tcMar>
              <w:top w:w="100" w:type="dxa"/>
              <w:left w:w="120" w:type="dxa"/>
              <w:bottom w:w="100" w:type="dxa"/>
              <w:right w:w="120" w:type="dxa"/>
            </w:tcMar>
          </w:tcPr>
          <w:p>
            <w:r>
              <w:rPr>
                <w:rFonts w:ascii="Arial" w:cs="Arial" w:hAnsi="Arial"/>
                <w:sz w:val="20"/>
                <w:szCs w:val="20"/>
              </w:rPr>
              <w:t xml:space="preserve"> </w:t>
            </w:r>
          </w:p>
        </w:tc>
        <w:tc>
          <w:tcPr>
            <w:tcW w:w="2520" w:type="dxa"/>
            <w:shd w:val="clear" w:fill="FFFFFF"/>
            <w:tcMar>
              <w:top w:w="100" w:type="dxa"/>
              <w:left w:w="120" w:type="dxa"/>
              <w:bottom w:w="100" w:type="dxa"/>
              <w:right w:w="120" w:type="dxa"/>
            </w:tcMar>
          </w:tcPr>
          <w:p>
            <w:r>
              <w:rPr>
                <w:rFonts w:ascii="Arial" w:cs="Arial" w:hAnsi="Arial"/>
                <w:sz w:val="20"/>
                <w:szCs w:val="20"/>
              </w:rPr>
              <w:t xml:space="preserve"> </w:t>
            </w:r>
          </w:p>
        </w:tc>
      </w:tr>
      <w:tr>
        <w:tc>
          <w:tcPr>
            <w:tcW w:w="1440" w:type="dxa"/>
            <w:shd w:val="clear" w:fill="F2F2F2"/>
            <w:tcMar>
              <w:top w:w="100" w:type="dxa"/>
              <w:left w:w="120" w:type="dxa"/>
              <w:bottom w:w="100" w:type="dxa"/>
              <w:right w:w="120" w:type="dxa"/>
            </w:tcMar>
          </w:tcPr>
          <w:p>
            <w:r>
              <w:rPr>
                <w:rFonts w:ascii="Arial" w:cs="Arial" w:hAnsi="Arial"/>
                <w:sz w:val="20"/>
                <w:szCs w:val="20"/>
              </w:rPr>
              <w:t xml:space="preserve"> </w:t>
            </w:r>
          </w:p>
        </w:tc>
        <w:tc>
          <w:tcPr>
            <w:tcW w:w="2160" w:type="dxa"/>
            <w:shd w:val="clear" w:fill="FFFFFF"/>
            <w:tcMar>
              <w:top w:w="100" w:type="dxa"/>
              <w:left w:w="120" w:type="dxa"/>
              <w:bottom w:w="100" w:type="dxa"/>
              <w:right w:w="120" w:type="dxa"/>
            </w:tcMar>
          </w:tcPr>
          <w:p>
            <w:r>
              <w:rPr>
                <w:rFonts w:ascii="Arial" w:cs="Arial" w:hAnsi="Arial"/>
                <w:sz w:val="20"/>
                <w:szCs w:val="20"/>
              </w:rPr>
              <w:t xml:space="preserve"> </w:t>
            </w:r>
          </w:p>
        </w:tc>
        <w:tc>
          <w:tcPr>
            <w:tcW w:w="3240" w:type="dxa"/>
            <w:shd w:val="clear" w:fill="FFFFFF"/>
            <w:tcMar>
              <w:top w:w="100" w:type="dxa"/>
              <w:left w:w="120" w:type="dxa"/>
              <w:bottom w:w="100" w:type="dxa"/>
              <w:right w:w="120" w:type="dxa"/>
            </w:tcMar>
          </w:tcPr>
          <w:p>
            <w:r>
              <w:rPr>
                <w:rFonts w:ascii="Arial" w:cs="Arial" w:hAnsi="Arial"/>
                <w:sz w:val="20"/>
                <w:szCs w:val="20"/>
              </w:rPr>
              <w:t xml:space="preserve"> </w:t>
            </w:r>
          </w:p>
        </w:tc>
        <w:tc>
          <w:tcPr>
            <w:tcW w:w="2520" w:type="dxa"/>
            <w:shd w:val="clear" w:fill="FFFFFF"/>
            <w:tcMar>
              <w:top w:w="100" w:type="dxa"/>
              <w:left w:w="120" w:type="dxa"/>
              <w:bottom w:w="100" w:type="dxa"/>
              <w:right w:w="120" w:type="dxa"/>
            </w:tcMar>
          </w:tcPr>
          <w:p>
            <w:r>
              <w:rPr>
                <w:rFonts w:ascii="Arial" w:cs="Arial" w:hAnsi="Arial"/>
                <w:sz w:val="20"/>
                <w:szCs w:val="20"/>
              </w:rPr>
              <w:t xml:space="preserve"> </w:t>
            </w:r>
          </w:p>
        </w:tc>
      </w:tr>
    </w:tbl>
    <w:p>
      <w:pPr>
        <w:spacing w:before="160"/>
      </w:pPr>
      <w:r>
        <w:t xml:space="preserve"/>
      </w:r>
    </w:p>
    <w:p>
      <w:pPr>
        <w:pStyle w:val="Heading1"/>
        <w:spacing w:before="320" w:after="100"/>
      </w:pPr>
      <w:r>
        <w:rPr>
          <w:rFonts w:ascii="Arial" w:cs="Arial" w:eastAsia="Arial" w:hAnsi="Arial"/>
          <w:b/>
          <w:bCs/>
          <w:color w:val="1F3864"/>
          <w:sz w:val="30"/>
          <w:szCs w:val="30"/>
        </w:rPr>
        <w:t xml:space="preserve">Core Concept &amp; Key Features</w:t>
      </w:r>
    </w:p>
    <w:p>
      <w:pPr>
        <w:pStyle w:val="Heading2"/>
        <w:spacing w:before="240" w:after="80"/>
      </w:pPr>
      <w:r>
        <w:rPr>
          <w:rFonts w:ascii="Arial" w:cs="Arial" w:eastAsia="Arial" w:hAnsi="Arial"/>
          <w:b/>
          <w:bCs/>
          <w:color w:val="2E75B6"/>
          <w:sz w:val="24"/>
          <w:szCs w:val="24"/>
        </w:rPr>
        <w:t xml:space="preserve">Step 1: Chart of Accounts Ingestion</w:t>
      </w:r>
    </w:p>
    <w:p>
      <w:pPr>
        <w:pStyle w:val="ListParagraph"/>
        <w:numPr>
          <w:ilvl w:val="0"/>
          <w:numId w:val="2"/>
        </w:numPr>
        <w:spacing w:before="60" w:after="60"/>
      </w:pPr>
      <w:r>
        <w:rPr>
          <w:rFonts w:ascii="Arial" w:cs="Arial" w:eastAsia="Arial" w:hAnsi="Arial"/>
          <w:b w:val="false"/>
          <w:bCs w:val="false"/>
          <w:sz w:val="22"/>
          <w:szCs w:val="22"/>
        </w:rPr>
        <w:t xml:space="preserve">Application accepts an uploaded Chart of Accounts file (CSV or Excel format)</w:t>
      </w:r>
    </w:p>
    <w:p>
      <w:pPr>
        <w:pStyle w:val="ListParagraph"/>
        <w:numPr>
          <w:ilvl w:val="0"/>
          <w:numId w:val="2"/>
        </w:numPr>
        <w:spacing w:before="60" w:after="60"/>
      </w:pPr>
      <w:r>
        <w:rPr>
          <w:rFonts w:ascii="Arial" w:cs="Arial" w:eastAsia="Arial" w:hAnsi="Arial"/>
          <w:b w:val="false"/>
          <w:bCs w:val="false"/>
          <w:sz w:val="22"/>
          <w:szCs w:val="22"/>
        </w:rPr>
        <w:t xml:space="preserve">Reads and parses the column structure of the existing CoA</w:t>
      </w:r>
    </w:p>
    <w:p>
      <w:pPr>
        <w:pStyle w:val="ListParagraph"/>
        <w:numPr>
          <w:ilvl w:val="0"/>
          <w:numId w:val="2"/>
        </w:numPr>
        <w:spacing w:before="60" w:after="60"/>
      </w:pPr>
      <w:r>
        <w:rPr>
          <w:rFonts w:ascii="Arial" w:cs="Arial" w:eastAsia="Arial" w:hAnsi="Arial"/>
          <w:b/>
          <w:bCs/>
          <w:sz w:val="22"/>
          <w:szCs w:val="22"/>
        </w:rPr>
        <w:t xml:space="preserve">Prompts the user for clarification on non-standard or ambiguous column names</w:t>
      </w:r>
    </w:p>
    <w:p>
      <w:pPr>
        <w:pStyle w:val="ListParagraph"/>
        <w:numPr>
          <w:ilvl w:val="1"/>
          <w:numId w:val="3"/>
        </w:numPr>
        <w:spacing w:before="40" w:after="40"/>
      </w:pPr>
      <w:r>
        <w:rPr>
          <w:rFonts w:ascii="Arial" w:cs="Arial" w:eastAsia="Arial" w:hAnsi="Arial"/>
          <w:sz w:val="20"/>
          <w:szCs w:val="20"/>
        </w:rPr>
        <w:t xml:space="preserve">Example: “Object Account” → confirms this maps to Account Number</w:t>
      </w:r>
    </w:p>
    <w:p>
      <w:pPr>
        <w:pStyle w:val="ListParagraph"/>
        <w:numPr>
          <w:ilvl w:val="1"/>
          <w:numId w:val="3"/>
        </w:numPr>
        <w:spacing w:before="40" w:after="40"/>
      </w:pPr>
      <w:r>
        <w:rPr>
          <w:rFonts w:ascii="Arial" w:cs="Arial" w:eastAsia="Arial" w:hAnsi="Arial"/>
          <w:sz w:val="20"/>
          <w:szCs w:val="20"/>
        </w:rPr>
        <w:t xml:space="preserve">Example: “FERC Code” → asks user to confirm this is a category/classification code</w:t>
      </w:r>
    </w:p>
    <w:p>
      <w:pPr>
        <w:pStyle w:val="ListParagraph"/>
        <w:numPr>
          <w:ilvl w:val="1"/>
          <w:numId w:val="3"/>
        </w:numPr>
        <w:spacing w:before="40" w:after="40"/>
      </w:pPr>
      <w:r>
        <w:rPr>
          <w:rFonts w:ascii="Arial" w:cs="Arial" w:eastAsia="Arial" w:hAnsi="Arial"/>
          <w:sz w:val="20"/>
          <w:szCs w:val="20"/>
        </w:rPr>
        <w:t xml:space="preserve">Example: If all account numbers are 6 digits, confirms whether new accounts must also be 6 digits</w:t>
      </w:r>
    </w:p>
    <w:p>
      <w:pPr>
        <w:pStyle w:val="ListParagraph"/>
        <w:numPr>
          <w:ilvl w:val="0"/>
          <w:numId w:val="2"/>
        </w:numPr>
        <w:spacing w:before="60" w:after="60"/>
      </w:pPr>
      <w:r>
        <w:rPr>
          <w:rFonts w:ascii="Arial" w:cs="Arial" w:eastAsia="Arial" w:hAnsi="Arial"/>
          <w:b w:val="false"/>
          <w:bCs w:val="false"/>
          <w:sz w:val="22"/>
          <w:szCs w:val="22"/>
        </w:rPr>
        <w:t xml:space="preserve">Stores the confirmed column mapping as the working schema for the session</w:t>
      </w:r>
    </w:p>
    <w:p>
      <w:pPr>
        <w:spacing w:before="80"/>
      </w:pPr>
      <w:r>
        <w:t xml:space="preserve"/>
      </w:r>
    </w:p>
    <w:p>
      <w:pPr>
        <w:pStyle w:val="Heading2"/>
        <w:spacing w:before="240" w:after="80"/>
      </w:pPr>
      <w:r>
        <w:rPr>
          <w:rFonts w:ascii="Arial" w:cs="Arial" w:eastAsia="Arial" w:hAnsi="Arial"/>
          <w:b/>
          <w:bCs/>
          <w:color w:val="2E75B6"/>
          <w:sz w:val="24"/>
          <w:szCs w:val="24"/>
        </w:rPr>
        <w:t xml:space="preserve">Step 2: Pattern Recognition &amp; Learning</w:t>
      </w:r>
    </w:p>
    <w:p>
      <w:pPr>
        <w:pStyle w:val="ListParagraph"/>
        <w:numPr>
          <w:ilvl w:val="0"/>
          <w:numId w:val="2"/>
        </w:numPr>
        <w:spacing w:before="60" w:after="60"/>
      </w:pPr>
      <w:r>
        <w:rPr>
          <w:rFonts w:ascii="Arial" w:cs="Arial" w:eastAsia="Arial" w:hAnsi="Arial"/>
          <w:b w:val="false"/>
          <w:bCs w:val="false"/>
          <w:sz w:val="22"/>
          <w:szCs w:val="22"/>
        </w:rPr>
        <w:t xml:space="preserve">Analyzes existing accounts to identify naming conventions and numbering patterns</w:t>
      </w:r>
    </w:p>
    <w:p>
      <w:pPr>
        <w:pStyle w:val="ListParagraph"/>
        <w:numPr>
          <w:ilvl w:val="0"/>
          <w:numId w:val="2"/>
        </w:numPr>
        <w:spacing w:before="60" w:after="60"/>
      </w:pPr>
      <w:r>
        <w:rPr>
          <w:rFonts w:ascii="Arial" w:cs="Arial" w:eastAsia="Arial" w:hAnsi="Arial"/>
          <w:b w:val="false"/>
          <w:bCs w:val="false"/>
          <w:sz w:val="22"/>
          <w:szCs w:val="22"/>
        </w:rPr>
        <w:t xml:space="preserve">Maps account types to number ranges (e.g. accounts starting with ‘1’ are assets)</w:t>
      </w:r>
    </w:p>
    <w:p>
      <w:pPr>
        <w:pStyle w:val="ListParagraph"/>
        <w:numPr>
          <w:ilvl w:val="0"/>
          <w:numId w:val="2"/>
        </w:numPr>
        <w:spacing w:before="60" w:after="60"/>
      </w:pPr>
      <w:r>
        <w:rPr>
          <w:rFonts w:ascii="Arial" w:cs="Arial" w:eastAsia="Arial" w:hAnsi="Arial"/>
          <w:b w:val="false"/>
          <w:bCs w:val="false"/>
          <w:sz w:val="22"/>
          <w:szCs w:val="22"/>
        </w:rPr>
        <w:t xml:space="preserve">Learns which FERC codes pair with which account types and descriptions</w:t>
      </w:r>
    </w:p>
    <w:p>
      <w:pPr>
        <w:pStyle w:val="ListParagraph"/>
        <w:numPr>
          <w:ilvl w:val="0"/>
          <w:numId w:val="2"/>
        </w:numPr>
        <w:spacing w:before="60" w:after="60"/>
      </w:pPr>
      <w:r>
        <w:rPr>
          <w:rFonts w:ascii="Arial" w:cs="Arial" w:eastAsia="Arial" w:hAnsi="Arial"/>
          <w:b w:val="false"/>
          <w:bCs w:val="false"/>
          <w:sz w:val="22"/>
          <w:szCs w:val="22"/>
        </w:rPr>
        <w:t xml:space="preserve">Identifies gaps in account number sequences that are available for new accounts</w:t>
      </w:r>
    </w:p>
    <w:p>
      <w:pPr>
        <w:pStyle w:val="ListParagraph"/>
        <w:numPr>
          <w:ilvl w:val="0"/>
          <w:numId w:val="2"/>
        </w:numPr>
        <w:spacing w:before="60" w:after="60"/>
      </w:pPr>
      <w:r>
        <w:rPr>
          <w:rFonts w:ascii="Arial" w:cs="Arial" w:eastAsia="Arial" w:hAnsi="Arial"/>
          <w:b w:val="false"/>
          <w:bCs w:val="false"/>
          <w:sz w:val="22"/>
          <w:szCs w:val="22"/>
        </w:rPr>
        <w:t xml:space="preserve">Uses this learned structure to inform and validate new account suggestions</w:t>
      </w:r>
    </w:p>
    <w:p>
      <w:pPr>
        <w:spacing w:before="80"/>
      </w:pPr>
      <w:r>
        <w:t xml:space="preserve"/>
      </w:r>
    </w:p>
    <w:p>
      <w:pPr>
        <w:pStyle w:val="Heading2"/>
        <w:spacing w:before="240" w:after="80"/>
      </w:pPr>
      <w:r>
        <w:rPr>
          <w:rFonts w:ascii="Arial" w:cs="Arial" w:eastAsia="Arial" w:hAnsi="Arial"/>
          <w:b/>
          <w:bCs/>
          <w:color w:val="2E75B6"/>
          <w:sz w:val="24"/>
          <w:szCs w:val="24"/>
        </w:rPr>
        <w:t xml:space="preserve">Step 3: New Account Creation</w:t>
      </w:r>
    </w:p>
    <w:p>
      <w:pPr>
        <w:pStyle w:val="ListParagraph"/>
        <w:numPr>
          <w:ilvl w:val="0"/>
          <w:numId w:val="2"/>
        </w:numPr>
        <w:spacing w:before="60" w:after="60"/>
      </w:pPr>
      <w:r>
        <w:rPr>
          <w:rFonts w:ascii="Arial" w:cs="Arial" w:eastAsia="Arial" w:hAnsi="Arial"/>
          <w:b w:val="false"/>
          <w:bCs w:val="false"/>
          <w:sz w:val="22"/>
          <w:szCs w:val="22"/>
        </w:rPr>
        <w:t xml:space="preserve">User submits a plain-language request for a new account</w:t>
      </w:r>
    </w:p>
    <w:p>
      <w:pPr>
        <w:pStyle w:val="ListParagraph"/>
        <w:numPr>
          <w:ilvl w:val="1"/>
          <w:numId w:val="3"/>
        </w:numPr>
        <w:spacing w:before="40" w:after="40"/>
      </w:pPr>
      <w:r>
        <w:rPr>
          <w:rFonts w:ascii="Arial" w:cs="Arial" w:eastAsia="Arial" w:hAnsi="Arial"/>
          <w:sz w:val="20"/>
          <w:szCs w:val="20"/>
        </w:rPr>
        <w:t xml:space="preserve">Example: “Create an Accounts Receivable account for customer payments”</w:t>
      </w:r>
    </w:p>
    <w:p>
      <w:pPr>
        <w:pStyle w:val="ListParagraph"/>
        <w:numPr>
          <w:ilvl w:val="0"/>
          <w:numId w:val="2"/>
        </w:numPr>
        <w:spacing w:before="60" w:after="60"/>
      </w:pPr>
      <w:r>
        <w:rPr>
          <w:rFonts w:ascii="Arial" w:cs="Arial" w:eastAsia="Arial" w:hAnsi="Arial"/>
          <w:b w:val="false"/>
          <w:bCs w:val="false"/>
          <w:sz w:val="22"/>
          <w:szCs w:val="22"/>
        </w:rPr>
        <w:t xml:space="preserve">Application interprets the request and proposes account details:</w:t>
      </w:r>
    </w:p>
    <w:p>
      <w:pPr>
        <w:pStyle w:val="ListParagraph"/>
        <w:numPr>
          <w:ilvl w:val="1"/>
          <w:numId w:val="3"/>
        </w:numPr>
        <w:spacing w:before="40" w:after="40"/>
      </w:pPr>
      <w:r>
        <w:rPr>
          <w:rFonts w:ascii="Arial" w:cs="Arial" w:eastAsia="Arial" w:hAnsi="Arial"/>
          <w:sz w:val="20"/>
          <w:szCs w:val="20"/>
        </w:rPr>
        <w:t xml:space="preserve">Suggested account number (based on learned numbering patterns)</w:t>
      </w:r>
    </w:p>
    <w:p>
      <w:pPr>
        <w:pStyle w:val="ListParagraph"/>
        <w:numPr>
          <w:ilvl w:val="1"/>
          <w:numId w:val="3"/>
        </w:numPr>
        <w:spacing w:before="40" w:after="40"/>
      </w:pPr>
      <w:r>
        <w:rPr>
          <w:rFonts w:ascii="Arial" w:cs="Arial" w:eastAsia="Arial" w:hAnsi="Arial"/>
          <w:sz w:val="20"/>
          <w:szCs w:val="20"/>
        </w:rPr>
        <w:t xml:space="preserve">Account description and name</w:t>
      </w:r>
    </w:p>
    <w:p>
      <w:pPr>
        <w:pStyle w:val="ListParagraph"/>
        <w:numPr>
          <w:ilvl w:val="1"/>
          <w:numId w:val="3"/>
        </w:numPr>
        <w:spacing w:before="40" w:after="40"/>
      </w:pPr>
      <w:r>
        <w:rPr>
          <w:rFonts w:ascii="Arial" w:cs="Arial" w:eastAsia="Arial" w:hAnsi="Arial"/>
          <w:sz w:val="20"/>
          <w:szCs w:val="20"/>
        </w:rPr>
        <w:t xml:space="preserve">FERC code assignment (based on Federal Energy Regulatory Commission classifications)</w:t>
      </w:r>
    </w:p>
    <w:p>
      <w:pPr>
        <w:pStyle w:val="ListParagraph"/>
        <w:numPr>
          <w:ilvl w:val="1"/>
          <w:numId w:val="3"/>
        </w:numPr>
        <w:spacing w:before="40" w:after="40"/>
      </w:pPr>
      <w:r>
        <w:rPr>
          <w:rFonts w:ascii="Arial" w:cs="Arial" w:eastAsia="Arial" w:hAnsi="Arial"/>
          <w:sz w:val="20"/>
          <w:szCs w:val="20"/>
        </w:rPr>
        <w:t xml:space="preserve">Any additional fields required by the CoA schema</w:t>
      </w:r>
    </w:p>
    <w:p>
      <w:pPr>
        <w:pStyle w:val="ListParagraph"/>
        <w:numPr>
          <w:ilvl w:val="0"/>
          <w:numId w:val="2"/>
        </w:numPr>
        <w:spacing w:before="60" w:after="60"/>
      </w:pPr>
      <w:r>
        <w:rPr>
          <w:rFonts w:ascii="Arial" w:cs="Arial" w:eastAsia="Arial" w:hAnsi="Arial"/>
          <w:b w:val="false"/>
          <w:bCs w:val="false"/>
          <w:sz w:val="22"/>
          <w:szCs w:val="22"/>
        </w:rPr>
        <w:t xml:space="preserve">User reviews and confirms or adjusts the proposed account before finalizing</w:t>
      </w:r>
    </w:p>
    <w:p>
      <w:pPr>
        <w:pStyle w:val="ListParagraph"/>
        <w:numPr>
          <w:ilvl w:val="0"/>
          <w:numId w:val="2"/>
        </w:numPr>
        <w:spacing w:before="60" w:after="60"/>
      </w:pPr>
      <w:r>
        <w:rPr>
          <w:rFonts w:ascii="Arial" w:cs="Arial" w:eastAsia="Arial" w:hAnsi="Arial"/>
          <w:b w:val="false"/>
          <w:bCs w:val="false"/>
          <w:sz w:val="22"/>
          <w:szCs w:val="22"/>
        </w:rPr>
        <w:t xml:space="preserve">Finalized account is output as a new row ready to be added to the CoA</w:t>
      </w:r>
    </w:p>
    <w:p>
      <w:pPr>
        <w:spacing w:before="160"/>
      </w:pPr>
      <w:r>
        <w:t xml:space="preserve"/>
      </w:r>
    </w:p>
    <w:p>
      <w:pPr>
        <w:pStyle w:val="Heading1"/>
        <w:spacing w:before="320" w:after="100"/>
      </w:pPr>
      <w:r>
        <w:rPr>
          <w:rFonts w:ascii="Arial" w:cs="Arial" w:eastAsia="Arial" w:hAnsi="Arial"/>
          <w:b/>
          <w:bCs/>
          <w:color w:val="1F3864"/>
          <w:sz w:val="30"/>
          <w:szCs w:val="30"/>
        </w:rPr>
        <w:t xml:space="preserve">Regulatory &amp; Compliance Framework</w:t>
      </w:r>
    </w:p>
    <w:p>
      <w:pPr>
        <w:pStyle w:val="Heading2"/>
        <w:spacing w:before="240" w:after="80"/>
      </w:pPr>
      <w:r>
        <w:rPr>
          <w:rFonts w:ascii="Arial" w:cs="Arial" w:eastAsia="Arial" w:hAnsi="Arial"/>
          <w:b/>
          <w:bCs/>
          <w:color w:val="2E75B6"/>
          <w:sz w:val="24"/>
          <w:szCs w:val="24"/>
        </w:rPr>
        <w:t xml:space="preserve">FERC — Federal Energy Regulatory Commission</w:t>
      </w:r>
    </w:p>
    <w:p>
      <w:pPr>
        <w:pStyle w:val="ListParagraph"/>
        <w:numPr>
          <w:ilvl w:val="0"/>
          <w:numId w:val="2"/>
        </w:numPr>
        <w:spacing w:before="60" w:after="60"/>
      </w:pPr>
      <w:r>
        <w:rPr>
          <w:rFonts w:ascii="Arial" w:cs="Arial" w:eastAsia="Arial" w:hAnsi="Arial"/>
          <w:b w:val="false"/>
          <w:bCs w:val="false"/>
          <w:sz w:val="22"/>
          <w:szCs w:val="22"/>
        </w:rPr>
        <w:t xml:space="preserve">FERC maintains the Uniform System of Accounts for regulated utilities</w:t>
      </w:r>
    </w:p>
    <w:p>
      <w:pPr>
        <w:pStyle w:val="ListParagraph"/>
        <w:numPr>
          <w:ilvl w:val="0"/>
          <w:numId w:val="2"/>
        </w:numPr>
        <w:spacing w:before="60" w:after="60"/>
      </w:pPr>
      <w:r>
        <w:rPr>
          <w:rFonts w:ascii="Arial" w:cs="Arial" w:eastAsia="Arial" w:hAnsi="Arial"/>
          <w:b w:val="false"/>
          <w:bCs w:val="false"/>
          <w:sz w:val="22"/>
          <w:szCs w:val="22"/>
        </w:rPr>
        <w:t xml:space="preserve">Each account must be assigned a FERC code that matches its classification</w:t>
      </w:r>
    </w:p>
    <w:p>
      <w:pPr>
        <w:pStyle w:val="ListParagraph"/>
        <w:numPr>
          <w:ilvl w:val="0"/>
          <w:numId w:val="2"/>
        </w:numPr>
        <w:spacing w:before="60" w:after="60"/>
      </w:pPr>
      <w:r>
        <w:rPr>
          <w:rFonts w:ascii="Arial" w:cs="Arial" w:eastAsia="Arial" w:hAnsi="Arial"/>
          <w:b w:val="false"/>
          <w:bCs w:val="false"/>
          <w:sz w:val="22"/>
          <w:szCs w:val="22"/>
        </w:rPr>
        <w:t xml:space="preserve">Application will reference FERC codification to validate and suggest appropriate codes</w:t>
      </w:r>
    </w:p>
    <w:p>
      <w:pPr>
        <w:pStyle w:val="ListParagraph"/>
        <w:numPr>
          <w:ilvl w:val="0"/>
          <w:numId w:val="2"/>
        </w:numPr>
        <w:spacing w:before="60" w:after="60"/>
      </w:pPr>
      <w:r>
        <w:rPr>
          <w:rFonts w:ascii="Arial" w:cs="Arial" w:eastAsia="Arial" w:hAnsi="Arial"/>
          <w:b w:val="false"/>
          <w:bCs w:val="false"/>
          <w:sz w:val="22"/>
          <w:szCs w:val="22"/>
        </w:rPr>
        <w:t xml:space="preserve">Primary domain focus of the project given utility company context</w:t>
      </w:r>
    </w:p>
    <w:p>
      <w:pPr>
        <w:spacing w:before="80"/>
      </w:pPr>
      <w:r>
        <w:t xml:space="preserve"/>
      </w:r>
    </w:p>
    <w:p>
      <w:pPr>
        <w:pStyle w:val="Heading2"/>
        <w:spacing w:before="240" w:after="80"/>
      </w:pPr>
      <w:r>
        <w:rPr>
          <w:rFonts w:ascii="Arial" w:cs="Arial" w:eastAsia="Arial" w:hAnsi="Arial"/>
          <w:b/>
          <w:bCs/>
          <w:color w:val="2E75B6"/>
          <w:sz w:val="24"/>
          <w:szCs w:val="24"/>
        </w:rPr>
        <w:t xml:space="preserve">FASB / GASB Guidelines</w:t>
      </w:r>
    </w:p>
    <w:p>
      <w:pPr>
        <w:pStyle w:val="ListParagraph"/>
        <w:numPr>
          <w:ilvl w:val="0"/>
          <w:numId w:val="2"/>
        </w:numPr>
        <w:spacing w:before="60" w:after="60"/>
      </w:pPr>
      <w:r>
        <w:rPr>
          <w:rFonts w:ascii="Arial" w:cs="Arial" w:eastAsia="Arial" w:hAnsi="Arial"/>
          <w:b w:val="false"/>
          <w:bCs w:val="false"/>
          <w:sz w:val="22"/>
          <w:szCs w:val="22"/>
        </w:rPr>
        <w:t xml:space="preserve">New accounts must comply with applicable financial reporting standards</w:t>
      </w:r>
    </w:p>
    <w:p>
      <w:pPr>
        <w:pStyle w:val="ListParagraph"/>
        <w:numPr>
          <w:ilvl w:val="0"/>
          <w:numId w:val="2"/>
        </w:numPr>
        <w:spacing w:before="60" w:after="60"/>
      </w:pPr>
      <w:r>
        <w:rPr>
          <w:rFonts w:ascii="Arial" w:cs="Arial" w:eastAsia="Arial" w:hAnsi="Arial"/>
          <w:b w:val="false"/>
          <w:bCs w:val="false"/>
          <w:sz w:val="22"/>
          <w:szCs w:val="22"/>
        </w:rPr>
        <w:t xml:space="preserve">FASB standards apply to for-profit entities; GASB applies to governmental entities</w:t>
      </w:r>
    </w:p>
    <w:p>
      <w:pPr>
        <w:pStyle w:val="ListParagraph"/>
        <w:numPr>
          <w:ilvl w:val="0"/>
          <w:numId w:val="2"/>
        </w:numPr>
        <w:spacing w:before="60" w:after="60"/>
      </w:pPr>
      <w:r>
        <w:rPr>
          <w:rFonts w:ascii="Arial" w:cs="Arial" w:eastAsia="Arial" w:hAnsi="Arial"/>
          <w:b w:val="false"/>
          <w:bCs w:val="false"/>
          <w:sz w:val="22"/>
          <w:szCs w:val="22"/>
        </w:rPr>
        <w:t xml:space="preserve">Application validates that new account types align with applicable standards</w:t>
      </w:r>
    </w:p>
    <w:p>
      <w:pPr>
        <w:pStyle w:val="ListParagraph"/>
        <w:numPr>
          <w:ilvl w:val="0"/>
          <w:numId w:val="2"/>
        </w:numPr>
        <w:spacing w:before="60" w:after="60"/>
      </w:pPr>
      <w:r>
        <w:rPr>
          <w:rFonts w:ascii="Arial" w:cs="Arial" w:eastAsia="Arial" w:hAnsi="Arial"/>
          <w:b w:val="false"/>
          <w:bCs w:val="false"/>
          <w:sz w:val="22"/>
          <w:szCs w:val="22"/>
        </w:rPr>
        <w:t xml:space="preserve">Audit trail and documentation requirements for new account creation to be incorporated</w:t>
      </w:r>
    </w:p>
    <w:p>
      <w:pPr>
        <w:spacing w:before="80"/>
      </w:pPr>
      <w:r>
        <w:t xml:space="preserve"/>
      </w:r>
    </w:p>
    <w:p>
      <w:pPr>
        <w:pStyle w:val="Heading2"/>
        <w:spacing w:before="240" w:after="80"/>
      </w:pPr>
      <w:r>
        <w:rPr>
          <w:rFonts w:ascii="Arial" w:cs="Arial" w:eastAsia="Arial" w:hAnsi="Arial"/>
          <w:b/>
          <w:bCs/>
          <w:color w:val="2E75B6"/>
          <w:sz w:val="24"/>
          <w:szCs w:val="24"/>
        </w:rPr>
        <w:t xml:space="preserve">IRS / Tax Classification</w:t>
      </w:r>
    </w:p>
    <w:p>
      <w:pPr>
        <w:pStyle w:val="ListParagraph"/>
        <w:numPr>
          <w:ilvl w:val="0"/>
          <w:numId w:val="2"/>
        </w:numPr>
        <w:spacing w:before="60" w:after="60"/>
      </w:pPr>
      <w:r>
        <w:rPr>
          <w:rFonts w:ascii="Arial" w:cs="Arial" w:eastAsia="Arial" w:hAnsi="Arial"/>
          <w:b w:val="false"/>
          <w:bCs w:val="false"/>
          <w:sz w:val="22"/>
          <w:szCs w:val="22"/>
        </w:rPr>
        <w:t xml:space="preserve">Certain account types carry tax reporting implications</w:t>
      </w:r>
    </w:p>
    <w:p>
      <w:pPr>
        <w:pStyle w:val="ListParagraph"/>
        <w:numPr>
          <w:ilvl w:val="0"/>
          <w:numId w:val="2"/>
        </w:numPr>
        <w:spacing w:before="60" w:after="60"/>
      </w:pPr>
      <w:r>
        <w:rPr>
          <w:rFonts w:ascii="Arial" w:cs="Arial" w:eastAsia="Arial" w:hAnsi="Arial"/>
          <w:b w:val="false"/>
          <w:bCs w:val="false"/>
          <w:sz w:val="22"/>
          <w:szCs w:val="22"/>
        </w:rPr>
        <w:t xml:space="preserve">Application flags accounts that may have tax consequences at creation</w:t>
      </w:r>
    </w:p>
    <w:p>
      <w:pPr>
        <w:pStyle w:val="ListParagraph"/>
        <w:numPr>
          <w:ilvl w:val="0"/>
          <w:numId w:val="2"/>
        </w:numPr>
        <w:spacing w:before="60" w:after="60"/>
      </w:pPr>
      <w:r>
        <w:rPr>
          <w:rFonts w:ascii="Arial" w:cs="Arial" w:eastAsia="Arial" w:hAnsi="Arial"/>
          <w:b w:val="false"/>
          <w:bCs w:val="false"/>
          <w:sz w:val="22"/>
          <w:szCs w:val="22"/>
        </w:rPr>
        <w:t xml:space="preserve">Tax-focused team members will define the classification rules for this layer</w:t>
      </w:r>
    </w:p>
    <w:p>
      <w:pPr>
        <w:spacing w:before="160"/>
      </w:pPr>
      <w:r>
        <w:t xml:space="preserve"/>
      </w:r>
    </w:p>
    <w:p>
      <w:pPr>
        <w:pStyle w:val="Heading1"/>
        <w:spacing w:before="320" w:after="100"/>
      </w:pPr>
      <w:r>
        <w:rPr>
          <w:rFonts w:ascii="Arial" w:cs="Arial" w:eastAsia="Arial" w:hAnsi="Arial"/>
          <w:b/>
          <w:bCs/>
          <w:color w:val="1F3864"/>
          <w:sz w:val="30"/>
          <w:szCs w:val="30"/>
        </w:rPr>
        <w:t xml:space="preserve">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Matt (Project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 / FERC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 ingestion logic, account numbering rules, FERC classification, application development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Tax Teammates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IRS / Tax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IRS account classification rules, tax reporting implications for new accounts, tax category codes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 Teammate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FASB / GASB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FASB/GASB compliance rules, audit trail requirements, documentation standards for new account creation</w:t>
            </w:r>
          </w:p>
        </w:tc>
      </w:tr>
    </w:tbl>
    <w:p>
      <w:pPr>
        <w:spacing w:before="160"/>
      </w:pPr>
      <w:r>
        <w:t xml:space="preserve"/>
      </w:r>
    </w:p>
    <w:p>
      <w:pPr>
        <w:pStyle w:val="Heading1"/>
        <w:spacing w:before="320" w:after="100"/>
      </w:pPr>
      <w:r>
        <w:rPr>
          <w:rFonts w:ascii="Arial" w:cs="Arial" w:eastAsia="Arial" w:hAnsi="Arial"/>
          <w:b/>
          <w:bCs/>
          <w:color w:val="1F3864"/>
          <w:sz w:val="30"/>
          <w:szCs w:val="30"/>
        </w:rPr>
        <w:t xml:space="preserve">Open Questions &amp; Next Steps</w:t>
      </w:r>
    </w:p>
    <w:p>
      <w:pPr>
        <w:pStyle w:val="Heading2"/>
        <w:spacing w:before="240" w:after="80"/>
      </w:pPr>
      <w:r>
        <w:rPr>
          <w:rFonts w:ascii="Arial" w:cs="Arial" w:eastAsia="Arial" w:hAnsi="Arial"/>
          <w:b/>
          <w:bCs/>
          <w:color w:val="2E75B6"/>
          <w:sz w:val="24"/>
          <w:szCs w:val="24"/>
        </w:rPr>
        <w:t xml:space="preserve">To Be Decided</w:t>
      </w:r>
    </w:p>
    <w:p>
      <w:pPr>
        <w:pStyle w:val="ListParagraph"/>
        <w:numPr>
          <w:ilvl w:val="0"/>
          <w:numId w:val="2"/>
        </w:numPr>
        <w:spacing w:before="60" w:after="60"/>
      </w:pPr>
      <w:r>
        <w:rPr>
          <w:rFonts w:ascii="Arial" w:cs="Arial" w:eastAsia="Arial" w:hAnsi="Arial"/>
          <w:b w:val="false"/>
          <w:bCs w:val="false"/>
          <w:sz w:val="22"/>
          <w:szCs w:val="22"/>
        </w:rPr>
        <w:t xml:space="preserve">File input format — CSV upload, Excel upload, or manual entry?</w:t>
      </w:r>
    </w:p>
    <w:p>
      <w:pPr>
        <w:pStyle w:val="ListParagraph"/>
        <w:numPr>
          <w:ilvl w:val="0"/>
          <w:numId w:val="2"/>
        </w:numPr>
        <w:spacing w:before="60" w:after="60"/>
      </w:pPr>
      <w:r>
        <w:rPr>
          <w:rFonts w:ascii="Arial" w:cs="Arial" w:eastAsia="Arial" w:hAnsi="Arial"/>
          <w:b w:val="false"/>
          <w:bCs w:val="false"/>
          <w:sz w:val="22"/>
          <w:szCs w:val="22"/>
        </w:rPr>
        <w:t xml:space="preserve">Output format — new row exported as CSV, displayed on screen, or appended directly to uploaded file?</w:t>
      </w:r>
    </w:p>
    <w:p>
      <w:pPr>
        <w:pStyle w:val="ListParagraph"/>
        <w:numPr>
          <w:ilvl w:val="0"/>
          <w:numId w:val="2"/>
        </w:numPr>
        <w:spacing w:before="60" w:after="60"/>
      </w:pPr>
      <w:r>
        <w:rPr>
          <w:rFonts w:ascii="Arial" w:cs="Arial" w:eastAsia="Arial" w:hAnsi="Arial"/>
          <w:b w:val="false"/>
          <w:bCs w:val="false"/>
          <w:sz w:val="22"/>
          <w:szCs w:val="22"/>
        </w:rPr>
        <w:t xml:space="preserve">Scope of FERC lookup — will the app reference a built-in FERC code table or ask the user to provide one?</w:t>
      </w:r>
    </w:p>
    <w:p>
      <w:pPr>
        <w:pStyle w:val="ListParagraph"/>
        <w:numPr>
          <w:ilvl w:val="0"/>
          <w:numId w:val="2"/>
        </w:numPr>
        <w:spacing w:before="60" w:after="60"/>
      </w:pPr>
      <w:r>
        <w:rPr>
          <w:rFonts w:ascii="Arial" w:cs="Arial" w:eastAsia="Arial" w:hAnsi="Arial"/>
          <w:b w:val="false"/>
          <w:bCs w:val="false"/>
          <w:sz w:val="22"/>
          <w:szCs w:val="22"/>
        </w:rPr>
        <w:t xml:space="preserve">How many accounts in the fictional test CoA? (Target: 50–100 accounts for meaningful pattern recognition)</w:t>
      </w:r>
    </w:p>
    <w:p>
      <w:pPr>
        <w:pStyle w:val="ListParagraph"/>
        <w:numPr>
          <w:ilvl w:val="0"/>
          <w:numId w:val="2"/>
        </w:numPr>
        <w:spacing w:before="60" w:after="60"/>
      </w:pPr>
      <w:r>
        <w:rPr>
          <w:rFonts w:ascii="Arial" w:cs="Arial" w:eastAsia="Arial" w:hAnsi="Arial"/>
          <w:b w:val="false"/>
          <w:bCs w:val="false"/>
          <w:sz w:val="22"/>
          <w:szCs w:val="22"/>
        </w:rPr>
        <w:t xml:space="preserve">Will the app support multiple sessions or start fresh each time?</w:t>
      </w:r>
    </w:p>
    <w:p>
      <w:pPr>
        <w:spacing w:before="80"/>
      </w:pPr>
      <w:r>
        <w:t xml:space="preserve"/>
      </w:r>
    </w:p>
    <w:p>
      <w:pPr>
        <w:pStyle w:val="Heading2"/>
        <w:spacing w:before="240" w:after="80"/>
      </w:pPr>
      <w:r>
        <w:rPr>
          <w:rFonts w:ascii="Arial" w:cs="Arial" w:eastAsia="Arial" w:hAnsi="Arial"/>
          <w:b/>
          <w:bCs/>
          <w:color w:val="2E75B6"/>
          <w:sz w:val="24"/>
          <w:szCs w:val="24"/>
        </w:rPr>
        <w:t xml:space="preserve">Immediate Next Steps</w:t>
      </w:r>
    </w:p>
    <w:p>
      <w:pPr>
        <w:pStyle w:val="ListParagraph"/>
        <w:numPr>
          <w:ilvl w:val="0"/>
          <w:numId w:val="2"/>
        </w:numPr>
        <w:spacing w:before="60" w:after="60"/>
      </w:pPr>
      <w:r>
        <w:rPr>
          <w:rFonts w:ascii="Arial" w:cs="Arial" w:eastAsia="Arial" w:hAnsi="Arial"/>
          <w:b w:val="false"/>
          <w:bCs w:val="false"/>
          <w:sz w:val="22"/>
          <w:szCs w:val="22"/>
        </w:rPr>
        <w:t xml:space="preserve">Build fictional Chart of Accounts for testing (utility company, 50–100 accounts)</w:t>
      </w:r>
    </w:p>
    <w:p>
      <w:pPr>
        <w:pStyle w:val="ListParagraph"/>
        <w:numPr>
          <w:ilvl w:val="0"/>
          <w:numId w:val="2"/>
        </w:numPr>
        <w:spacing w:before="60" w:after="60"/>
      </w:pPr>
      <w:r>
        <w:rPr>
          <w:rFonts w:ascii="Arial" w:cs="Arial" w:eastAsia="Arial" w:hAnsi="Arial"/>
          <w:b w:val="false"/>
          <w:bCs w:val="false"/>
          <w:sz w:val="22"/>
          <w:szCs w:val="22"/>
        </w:rPr>
        <w:t xml:space="preserve">Define the column structure of the test CoA including FERC Code field</w:t>
      </w:r>
    </w:p>
    <w:p>
      <w:pPr>
        <w:pStyle w:val="ListParagraph"/>
        <w:numPr>
          <w:ilvl w:val="0"/>
          <w:numId w:val="2"/>
        </w:numPr>
        <w:spacing w:before="60" w:after="60"/>
      </w:pPr>
      <w:r>
        <w:rPr>
          <w:rFonts w:ascii="Arial" w:cs="Arial" w:eastAsia="Arial" w:hAnsi="Arial"/>
          <w:b w:val="false"/>
          <w:bCs w:val="false"/>
          <w:sz w:val="22"/>
          <w:szCs w:val="22"/>
        </w:rPr>
        <w:t xml:space="preserve">Begin Claude Code development — start with CoA ingestion and column mapping logic</w:t>
      </w:r>
    </w:p>
    <w:p>
      <w:pPr>
        <w:pStyle w:val="ListParagraph"/>
        <w:numPr>
          <w:ilvl w:val="0"/>
          <w:numId w:val="2"/>
        </w:numPr>
        <w:spacing w:before="60" w:after="60"/>
      </w:pPr>
      <w:r>
        <w:rPr>
          <w:rFonts w:ascii="Arial" w:cs="Arial" w:eastAsia="Arial" w:hAnsi="Arial"/>
          <w:b w:val="false"/>
          <w:bCs w:val="false"/>
          <w:sz w:val="22"/>
          <w:szCs w:val="22"/>
        </w:rPr>
        <w:t xml:space="preserve">Tax and audit teammates to document their classification rules for integration</w:t>
      </w:r>
    </w:p>
    <w:p>
      <w:pPr>
        <w:spacing w:before="300"/>
      </w:pPr>
      <w:r>
        <w:t xml:space="preserve"/>
      </w:r>
    </w:p>
    <w:p>
      <w:pPr>
        <w:pBdr>
          <w:top w:val="single" w:color="2E75B6" w:sz="4" w:space="1"/>
        </w:pBdr>
        <w:spacing w:before="200" w:after="60"/>
        <w:jc w:val="center"/>
      </w:pPr>
      <w:r>
        <w:rPr>
          <w:rFonts w:ascii="Arial" w:cs="Arial" w:eastAsia="Arial" w:hAnsi="Arial"/>
          <w:i/>
          <w:iCs/>
          <w:color w:val="888888"/>
          <w:sz w:val="18"/>
          <w:szCs w:val="18"/>
        </w:rPr>
        <w:t xml:space="preserve">CoA Architect  |  ACG 6415: AI in Accounting  |  Spring 2026  |  Due: March 26,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2026-02-23T02:08:53.277Z</dcterms:created>
  <dcterms:modified xsi:type="dcterms:W3CDTF">2026-02-23T02:08:53.278Z</dcterms:modified>
</cp:coreProperties>
</file>

<file path=docProps/custom.xml><?xml version="1.0" encoding="utf-8"?>
<Properties xmlns="http://schemas.openxmlformats.org/officeDocument/2006/custom-properties" xmlns:vt="http://schemas.openxmlformats.org/officeDocument/2006/docPropsVTypes"/>
</file>