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0"/>
          <w:szCs w:val="20"/>
        </w:rPr>
        <w:t xml:space="preserve">CoA Architect</w:t>
      </w:r>
    </w:p>
    <w:p>
      <w:r>
        <w:rPr>
          <w:rFonts w:ascii="Arial" w:cs="Arial" w:eastAsia="Arial" w:hAnsi="Arial"/>
          <w:sz w:val="20"/>
          <w:szCs w:val="20"/>
        </w:rPr>
        <w:t xml:space="preserve"/>
      </w:r>
    </w:p>
    <w:p>
      <w:pPr>
        <w:jc w:val="center"/>
      </w:pPr>
      <w:r>
        <w:rPr>
          <w:rFonts w:ascii="Arial" w:cs="Arial" w:eastAsia="Arial" w:hAnsi="Arial"/>
          <w:b/>
          <w:bCs/>
          <w:sz w:val="20"/>
          <w:szCs w:val="20"/>
        </w:rPr>
        <w:t xml:space="preserve">Report Documentation Notes</w:t>
      </w:r>
    </w:p>
    <w:p>
      <w:r>
        <w:rPr>
          <w:rFonts w:ascii="Arial" w:cs="Arial" w:eastAsia="Arial" w:hAnsi="Arial"/>
          <w:sz w:val="20"/>
          <w:szCs w:val="20"/>
        </w:rPr>
        <w:t xml:space="preserve"/>
      </w:r>
    </w:p>
    <w:p>
      <w:pPr>
        <w:jc w:val="center"/>
      </w:pPr>
      <w:r>
        <w:rPr>
          <w:rFonts w:ascii="Arial" w:cs="Arial" w:eastAsia="Arial" w:hAnsi="Arial"/>
          <w:i/>
          <w:iCs/>
          <w:sz w:val="20"/>
          <w:szCs w:val="20"/>
        </w:rPr>
        <w:t xml:space="preserve">Design Decisions to Document in the Written Report</w:t>
      </w:r>
    </w:p>
    <w:p>
      <w:r>
        <w:rPr>
          <w:rFonts w:ascii="Arial" w:cs="Arial" w:eastAsia="Arial" w:hAnsi="Arial"/>
          <w:sz w:val="20"/>
          <w:szCs w:val="20"/>
        </w:rPr>
        <w:t xml:space="preserve"/>
      </w:r>
    </w:p>
    <w:p>
      <w:r>
        <w:rPr>
          <w:rFonts w:ascii="Arial" w:cs="Arial" w:eastAsia="Arial" w:hAnsi="Arial"/>
          <w:sz w:val="20"/>
          <w:szCs w:val="20"/>
        </w:rPr>
        <w:t xml:space="preserve">ACG 6415: AI in Accounting  |  Spring 2026  |  Team: Silver Dolphins</w:t>
      </w:r>
    </w:p>
    <w:p>
      <w:r>
        <w:rPr>
          <w:rFonts w:ascii="Arial" w:cs="Arial" w:eastAsia="Arial" w:hAnsi="Arial"/>
          <w:sz w:val="20"/>
          <w:szCs w:val="20"/>
        </w:rPr>
        <w:t xml:space="preserve"/>
      </w:r>
    </w:p>
    <w:p>
      <w:r>
        <w:rPr>
          <w:rFonts w:ascii="Arial" w:cs="Arial" w:eastAsia="Arial" w:hAnsi="Arial"/>
          <w:sz w:val="20"/>
          <w:szCs w:val="20"/>
        </w:rPr>
        <w:t xml:space="preserve">This document captures design decisions and nuances that should be explicitly documented in the AUDIT project written report. Each note follows a consistent structure: title, report section(s), which graded questions it answers, and the full explanation. The goal is to ensure these decisions are framed as intentional and professional rather than incidental.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How to use this document: When writing each section of the report, review the notes below and ensure the corresponding design decisions are addressed explicitly. The 'Questions Answered' row maps each note to the specific graded questions in the AUDIT project instructions. These points distinguish a sophisticated project from one that just happens to work.</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Confirmation and clarifying questions workflow is an intentional design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makes this solution sophisticated vs. basic automation?  │  Technical design decisions and development process  │  Professional judgment requirements — where does AI stop and human expertise begin?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The application asks users to confirm column mappings, account number restrictions, and field meanings before proceeding with analysis. For example, it asks whether the Object Account column is restricted to 6 digits, and what a FERC Code column represents. This should be framed in the report as deliberate professional judgment integration — the application is designed to surface the right questions rather than make assumptions, reflecting that accounting classification requires human verification. This is not just how the app happens to work; it is a core architectural decision.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ℹ️  See also CLAUDE.md Suggestion #7 — this design decision is also embedded as a standing instruction in CLAUDE.md.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Posting Edit handling is an intentional professional judgment integration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makes this solution sophisticated vs. basic automation?  │  Technical design decisions and development process  │  Professional judgment requirements — where does AI stop and human expertise begin?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The application presents the full list of available Posting Edit codes and their descriptions to the requestor and asks them to choose, rather than attempting to automate the selection. This reflects that Posting Edit is inherently subjective — the correct code depends on operational context that only the requestor knows. The report should explain this as a deliberate human decision point built into the workflow, and frame it as an example of where professional judgment cannot and should not be automated away.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Company and Business Unit are excluded from pattern recognition analysis, but are included in the data and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design decisions and development process  │  Limitations and areas for improvement</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The test Chart of Accounts includes Company and Business Unit columns, and the final output of a new account includes both fields. However, the application deliberately excludes these fields from its pattern recognition and account suggestion logic — analyzing only the unique 6-digit account number. Company and Business Unit are instead presented to the human requestor as a selection at the end of the workflow, similar to Posting Edit. This is a deliberate scope decision that keeps the analytical logic clean and focused, while still producing a complete, realistic account record. The report should frame this as an intentional design choice rather than an oversight, and note that expanding the analysis to factor in Company or Business Unit context is a natural future enhancement.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Intentional gaps in account number ranges are a feature, not an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design decisions and development process  │  What makes this solution sophisticated vs. basic automation?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The test Chart of Accounts has deliberate gaps between account number ranges, modeled on real utility company CoA design where ranges are reserved for future categories — for example, to accommodate new GASB-required accounts or organizational restructuring. The application is specifically instructed not to suggest account numbers in those gap ranges. The report should describe this as a realistic design choice that reflects professional CoA management practice, and note that the instruction to respect gaps was explicitly built into the application's logic.</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GASB/FASB hybrid nuance is a known limitation, intentionally out of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Limitations and areas for improvement  │  Professional judgment requirements — where does AI stop and human expertise begin?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In the real utility company context that this project is modeled on, accounts can exist in a hybrid GASB/FASB environment where classification rules differ depending on which framework applies to the entity or transaction type. Municipal utilities in particular may follow GASB for governmental reporting while applying FASB standards for certain subsidiary or commercial operations. This complexity is acknowledged but intentionally excluded from the project scope. Documenting it in Section 3 demonstrates professional awareness of the limitation and shows the project was designed with real-world constraints in mind, not just academic ones.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Account ID is auto-generated and non-reusable by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design decisions and development process  │  What makes this solution sophisticated vs. basic automation?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Account IDs are automatically generated by the application as unique 10-digit numeric identifiers for every new account row. Even if an account is later deleted from the CoA, its Account ID does not become available again — it is permanently retired. This mirrors real accounting system behavior where unique identifiers are permanent records, ensuring audit trail integrity. The report should note this as a deliberate design decision that reflects professional accounting system standards rather than a technical limitation.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7</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Subsidiaries intentionally excluded from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Limitations and areas for improvement  │  Reflection on development process and lessons learned</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The application does not account for subsidiary structures, which in a real utility company would add another layer of account segmentation — for example, distinguishing customer accounts receivable from government accounts receivable under the same parent account. This was ruled out early in the design process to keep the project scope manageable and the pattern recognition logic focused. The report should document this as a known limitation with a clear rationale, and note that subsidiary-level segmentation is a natural future enhancement that the application's architecture could support.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8</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Hybrid description conversion uses a tiered approach — rule-based by default, Claude API as optional upgrade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design decisions and development process  │  What makes this solution sophisticated vs. basic automation?  │  Key challenges encountered and how you addressed them  │  Limitations and areas for improvement</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When creating a new account, the application generates a description using rule-based pattern recognition against the existing Chart of Accounts structure — drawing on account descriptions, parent category names, and keywords already present in the loaded CoA — rather than making a call to an external LLM API. The user is then offered three options: accept the rule-based description, edit it manually, or invoke the Claude API to generate a higher-quality version.</w:t>
      </w:r>
    </w:p>
    <w:p>
      <w:r>
        <w:rPr>
          <w:rFonts w:ascii="Arial" w:cs="Arial" w:eastAsia="Arial" w:hAnsi="Arial"/>
          <w:sz w:val="20"/>
          <w:szCs w:val="20"/>
        </w:rPr>
        <w:t xml:space="preserve"/>
      </w:r>
    </w:p>
    <w:p>
      <w:r>
        <w:rPr>
          <w:rFonts w:ascii="Arial" w:cs="Arial" w:eastAsia="Arial" w:hAnsi="Arial"/>
          <w:sz w:val="20"/>
          <w:szCs w:val="20"/>
        </w:rPr>
        <w:t xml:space="preserve">A Claude API integration was evaluated as the primary description engine and would produce better conversions for unusual or ambiguous inputs. However, it was ruled out as the default because it requires every user to hold an Anthropic API key and incur per-call costs, making the application impractical to run in a classroom or grading context. The rule-based approach keeps the application fully self-contained and runnable by anyone without credentials or external dependencies.</w:t>
      </w:r>
    </w:p>
    <w:p>
      <w:r>
        <w:rPr>
          <w:rFonts w:ascii="Arial" w:cs="Arial" w:eastAsia="Arial" w:hAnsi="Arial"/>
          <w:sz w:val="20"/>
          <w:szCs w:val="20"/>
        </w:rPr>
        <w:t xml:space="preserve"/>
      </w:r>
    </w:p>
    <w:p>
      <w:r>
        <w:rPr>
          <w:rFonts w:ascii="Arial" w:cs="Arial" w:eastAsia="Arial" w:hAnsi="Arial"/>
          <w:sz w:val="20"/>
          <w:szCs w:val="20"/>
        </w:rPr>
        <w:t xml:space="preserve">The report should document this as an intentional tiered architecture — a pragmatic prototype decision — and frame the Claude API path as a clear and natural production enhancement that reflects a realistic gap between a prototype and a deployed accounting tool. When the API option is selected, the application shows a one-time disclosure explaining the API key requirement and per-call cost before proceeding.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9</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FERC code suggestion relies on keyword matching without account type (BS/IS) filtering — known limitation, intentionally not fixed pre-submission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Limitations and areas for improvement  │  Professional judgment requirements — where does AI stop and human expertise begin?  │  Reflection on development process and lessons learned</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During testing, a request for a "natural gas combustion turbine generator unit used for peak load electric power production" produced a top FERC suggestion of 501 (Fuel) at 60% confidence, based on keyword matches for "gas, natural, power." The correct suggestion — FERC 314 (Turbogenerator units) or FERC 343/344 in the Other Production Plant range — appeared lower in the list at 28% confidence. The application already knew the account was a Balance Sheet account (BU Type: BS was confirmed earlier in the same session), but the suggester did not use that information to filter out Income Statement FERC codes like 501 before applying keyword scoring.</w:t>
      </w:r>
    </w:p>
    <w:p>
      <w:r>
        <w:rPr>
          <w:rFonts w:ascii="Arial" w:cs="Arial" w:eastAsia="Arial" w:hAnsi="Arial"/>
          <w:sz w:val="20"/>
          <w:szCs w:val="20"/>
        </w:rPr>
        <w:t xml:space="preserve"/>
      </w:r>
    </w:p>
    <w:p>
      <w:r>
        <w:rPr>
          <w:rFonts w:ascii="Arial" w:cs="Arial" w:eastAsia="Arial" w:hAnsi="Arial"/>
          <w:sz w:val="20"/>
          <w:szCs w:val="20"/>
        </w:rPr>
        <w:t xml:space="preserve">The root cause is that FERC candidate ranking is driven purely by keyword overlap, without a pre-filter that restricts candidates to codes compatible with the account's BS or IS classification. A targeted fix would add that filter in suggester.py before keyword scoring runs. However, this fix was intentionally deferred rather than rushed pre-submission to avoid destabilizing other working suggester logic this close to the deadline.</w:t>
      </w:r>
    </w:p>
    <w:p>
      <w:r>
        <w:rPr>
          <w:rFonts w:ascii="Arial" w:cs="Arial" w:eastAsia="Arial" w:hAnsi="Arial"/>
          <w:sz w:val="20"/>
          <w:szCs w:val="20"/>
        </w:rPr>
        <w:t xml:space="preserve"/>
      </w:r>
    </w:p>
    <w:p>
      <w:r>
        <w:rPr>
          <w:rFonts w:ascii="Arial" w:cs="Arial" w:eastAsia="Arial" w:hAnsi="Arial"/>
          <w:sz w:val="20"/>
          <w:szCs w:val="20"/>
        </w:rPr>
        <w:t xml:space="preserve">This example illustrates a core limitation of keyword-based classification in accounting contexts: domain terminology like "natural gas" carries different meaning depending on whether an account is an asset or plant account versus an operating expense account, and keyword matching alone cannot resolve that ambiguity. A human accountant immediately recognizes that a turbine generator is Electric Plant (FERC 300s) rather than a fuel cost (FERC 500s). The report should frame this as a meaningful professional judgment gap — one where expert knowledge of the FERC Uniform System of Accounts is required to validate or override the application's suggestion — and as a prioritized enhancement for a future development cycle.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10</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Account number suggestion ordering refined during beta testing — proximity-to-parent now leads over dominant spacing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challenges encountered and how you addressed them  │  Reflection on development process and lessons learned</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During beta testing, the account number suggestion list led with the "dominant spacing after last sibling" option (e.g., 120200, jumping well past the parent header at 112000), rather than numbers close to the parent header (e.g., 112100, 112200). While all suggested numbers were technically valid and within range, the default ordering was counterintuitive from a professional CoA management perspective — account managers generally expect new child accounts to be numbered near the parent header unless there is a specific reason to follow the last sibling. A fix to placer.py was identified to reorder candidates so proximity-to-parent leads, with dominant spacing still offered as a later option. The report should note this as an example of iterative refinement driven by realistic testing — a bug that only surfaced when a real account creation scenario was run end-to-end.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Asset Life advisory document integration exposed the gap between human-readable and machine-readable reference materials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(Development Process &amp; Technical Innovation)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challenges encountered and how you addressed them  │  Technical design decisions and development process  │  Professional judgment requirements — where does AI stop and human expertise begin?  │  Limitations and areas for improvement</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Asset Life (expressed in months) is one of the category fields CoA Architect assigns when a new depreciable account is created. The application is designed to consult advisory documents stored in its reference folder when making these determinations. One such document was produced by a team member who works with asset lives professionally — a structured table mapping asset types to their lives in months, formatted in plain English with descriptions first and values at the end of each line.</w:t>
      </w:r>
    </w:p>
    <w:p>
      <w:r>
        <w:rPr>
          <w:rFonts w:ascii="Arial" w:cs="Arial" w:eastAsia="Arial" w:hAnsi="Arial"/>
          <w:sz w:val="20"/>
          <w:szCs w:val="20"/>
        </w:rPr>
        <w:t xml:space="preserve"/>
      </w:r>
    </w:p>
    <w:p>
      <w:r>
        <w:rPr>
          <w:rFonts w:ascii="Arial" w:cs="Arial" w:eastAsia="Arial" w:hAnsi="Arial"/>
          <w:sz w:val="20"/>
          <w:szCs w:val="20"/>
        </w:rPr>
        <w:t xml:space="preserve">During testing, the application was asked to create a Transmission Lines account. The expected result based on the advisory document was 300 months (25 years). Instead, the application returned 240 months (20 years), with the internal explanation: "Keyword 'transmission line' suggests Pipeline (20 years)." This was incorrect on two levels. First, the application was matching on the word 'transmission' and associating it with petroleum/gas pipeline transport — a completely different asset class. Second, the advisory document was never consulted at all, because keyword matching ran before document lookup in the logic order.</w:t>
      </w:r>
    </w:p>
    <w:p>
      <w:r>
        <w:rPr>
          <w:rFonts w:ascii="Arial" w:cs="Arial" w:eastAsia="Arial" w:hAnsi="Arial"/>
          <w:sz w:val="20"/>
          <w:szCs w:val="20"/>
        </w:rPr>
        <w:t xml:space="preserve"/>
      </w:r>
    </w:p>
    <w:p>
      <w:r>
        <w:rPr>
          <w:rFonts w:ascii="Arial" w:cs="Arial" w:eastAsia="Arial" w:hAnsi="Arial"/>
          <w:sz w:val="20"/>
          <w:szCs w:val="20"/>
        </w:rPr>
        <w:t xml:space="preserve">A second root cause was also identified: the PDF parser was written to handle FERC-style formatting, where a numeric code appears first on each line followed by a description. The advisory document used the opposite structure — description first, value at the end. Even if the logic order had been correct, the parser would have returned no usable data.</w:t>
      </w:r>
    </w:p>
    <w:p>
      <w:r>
        <w:rPr>
          <w:rFonts w:ascii="Arial" w:cs="Arial" w:eastAsia="Arial" w:hAnsi="Arial"/>
          <w:sz w:val="20"/>
          <w:szCs w:val="20"/>
        </w:rPr>
        <w:t xml:space="preserve"/>
      </w:r>
    </w:p>
    <w:p>
      <w:r>
        <w:rPr>
          <w:rFonts w:ascii="Arial" w:cs="Arial" w:eastAsia="Arial" w:hAnsi="Arial"/>
          <w:sz w:val="20"/>
          <w:szCs w:val="20"/>
        </w:rPr>
        <w:t xml:space="preserve">Both issues were corrected: the logic order was fixed so that document lookup runs before keyword fallback, and the parser was updated to handle the description-first format. A CSV version of the advisory document was also produced as a more reliably parseable alternative.</w:t>
      </w:r>
    </w:p>
    <w:p>
      <w:r>
        <w:rPr>
          <w:rFonts w:ascii="Arial" w:cs="Arial" w:eastAsia="Arial" w:hAnsi="Arial"/>
          <w:sz w:val="20"/>
          <w:szCs w:val="20"/>
        </w:rPr>
        <w:t xml:space="preserve"/>
      </w:r>
    </w:p>
    <w:p>
      <w:r>
        <w:rPr>
          <w:rFonts w:ascii="Arial" w:cs="Arial" w:eastAsia="Arial" w:hAnsi="Arial"/>
          <w:sz w:val="20"/>
          <w:szCs w:val="20"/>
        </w:rPr>
        <w:t xml:space="preserve">The broader observation for the report is that a domain expert — someone who works with asset lives in practice and produced a well-organized reference table — created a document that is immediately readable and usable by another accountant. The application, however, required specific technical adjustments before it could interpret the same document correctly. This illustrates a meaningful distinction between human-readable professional materials and machine-readable structured data, and is worth framing as an example of where AI-assisted tools require careful integration work to match the interpretive flexibility of a trained professional.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Testing note: Tests 1 and 2 (Transmission Lines and ERP Software) passed after the fixes were applied. Test 3 (Company Vehicles) could not match via keyword or document and defaulted to sibling asset life — a separate known behavior. The CSV version of the advisory document is available as an alternative input for more reliable parsing.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Book-Tax Difference testing demonstrates the complexity of tax classification in CoA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Section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 (Problem Analysis)  │  Section 3 (Critical Assessment &amp; Professional Considerations)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 Answered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problem statement with evidence of complexity  │  Current solution analysis — how is this problem solved today?  │  Why AI automation adds value to existing approaches  │  Professional judgment requirements — where does AI stop and human expertise begin?</w:t>
            </w:r>
          </w:p>
        </w:tc>
      </w:tr>
    </w:tbl>
    <w:p>
      <w:r>
        <w:rPr>
          <w:rFonts w:ascii="Arial" w:cs="Arial" w:eastAsia="Arial" w:hAnsi="Arial"/>
          <w:sz w:val="20"/>
          <w:szCs w:val="20"/>
        </w:rPr>
        <w:t xml:space="preserve"/>
      </w:r>
    </w:p>
    <w:p>
      <w:r>
        <w:rPr>
          <w:rFonts w:ascii="Arial" w:cs="Arial" w:eastAsia="Arial" w:hAnsi="Arial"/>
          <w:b/>
          <w:bCs/>
          <w:sz w:val="20"/>
          <w:szCs w:val="20"/>
        </w:rPr>
        <w:t xml:space="preserve">Why it matters</w:t>
      </w:r>
    </w:p>
    <w:p>
      <w:r>
        <w:rPr>
          <w:rFonts w:ascii="Arial" w:cs="Arial" w:eastAsia="Arial" w:hAnsi="Arial"/>
          <w:sz w:val="20"/>
          <w:szCs w:val="20"/>
        </w:rPr>
        <w:t xml:space="preserve">One of the core challenges CoA Architect is designed to address is that creating a new account is not just a numbering exercise — it requires correctly applying tax classification rules that depend on understanding IRC concepts, not just account names. Testing the Book-Tax Difference field with three accounts produced results that illustrate this complexity directly and can be used in Section 1 to demonstrate why the problem is harder than it appears.</w:t>
      </w:r>
    </w:p>
    <w:p>
      <w:r>
        <w:rPr>
          <w:rFonts w:ascii="Arial" w:cs="Arial" w:eastAsia="Arial" w:hAnsi="Arial"/>
          <w:sz w:val="20"/>
          <w:szCs w:val="20"/>
        </w:rPr>
        <w:t xml:space="preserve"/>
      </w:r>
    </w:p>
    <w:p>
      <w:r>
        <w:rPr>
          <w:rFonts w:ascii="Arial" w:cs="Arial" w:eastAsia="Arial" w:hAnsi="Arial"/>
          <w:sz w:val="20"/>
          <w:szCs w:val="20"/>
        </w:rPr>
        <w:t xml:space="preserve">When an experienced tax professional looks at an account called "Penalty Expense," they immediately know it represents a permanent non-deductible item under IRC — code P+. No deduction is ever allowed for fines and penalties, regardless of period or timing. The application, using a rule-based keyword system against an advisory CSV, tagged it L274 at only 10% confidence, matching solely on the generic word "expense." The misclassification is not a minor error — L274 applies to a Meals and Entertainment limitation, a completely different IRC concept. This gap between what a trained tax accountant knows and what a keyword-matching system can infer is a direct illustration of why manual CoA classification is difficult to automate and why professional oversight remains essential.</w:t>
      </w:r>
    </w:p>
    <w:p>
      <w:r>
        <w:rPr>
          <w:rFonts w:ascii="Arial" w:cs="Arial" w:eastAsia="Arial" w:hAnsi="Arial"/>
          <w:sz w:val="20"/>
          <w:szCs w:val="20"/>
        </w:rPr>
        <w:t xml:space="preserve"/>
      </w:r>
    </w:p>
    <w:p>
      <w:r>
        <w:rPr>
          <w:rFonts w:ascii="Arial" w:cs="Arial" w:eastAsia="Arial" w:hAnsi="Arial"/>
          <w:sz w:val="20"/>
          <w:szCs w:val="20"/>
        </w:rPr>
        <w:t xml:space="preserve">A second test — "Other Compensation Above Threshold" — produced the correct code (L162m) but only because the word "compensation" happened to appear in the rule description. The system had no awareness of the IRC §162(m) covered employee concept, the $1 million deduction cap, or any of the statutory reasoning behind the code. A differently-named account for the same economic concept would likely have produced a wrong answer. Correct results from keyword matching are not reliable — they depend on whether the account name happens to use the right word.</w:t>
      </w:r>
    </w:p>
    <w:p>
      <w:r>
        <w:rPr>
          <w:rFonts w:ascii="Arial" w:cs="Arial" w:eastAsia="Arial" w:hAnsi="Arial"/>
          <w:sz w:val="20"/>
          <w:szCs w:val="20"/>
        </w:rPr>
        <w:t xml:space="preserve"/>
      </w:r>
    </w:p>
    <w:p>
      <w:r>
        <w:rPr>
          <w:rFonts w:ascii="Arial" w:cs="Arial" w:eastAsia="Arial" w:hAnsi="Arial"/>
          <w:sz w:val="20"/>
          <w:szCs w:val="20"/>
        </w:rPr>
        <w:t xml:space="preserve">A third observation relevant to Section 1 is the difference in reference material quality. FERC code suggestions — also keyword-based — produced confidence scores of 34–40% because they draw from the full Uniform System of Accounts, a comprehensive regulatory document with detailed descriptions for each code. Book-Tax suggestions peaked at 20% and were mostly at 10%, because the reference file is a small flat CSV with one-line rules. This reflects a real-world problem: tax classification standards exist in IRC statutory text and professional guidance that is harder to structure and encode than a uniform regulatory chart. That asymmetry is itself evidence of why the problem is difficult.</w:t>
      </w:r>
    </w:p>
    <w:p>
      <w:r>
        <w:rPr>
          <w:rFonts w:ascii="Arial" w:cs="Arial" w:eastAsia="Arial" w:hAnsi="Arial"/>
          <w:sz w:val="20"/>
          <w:szCs w:val="20"/>
        </w:rPr>
        <w:t xml:space="preserve"/>
      </w:r>
    </w:p>
    <w:p>
      <w:r>
        <w:rPr>
          <w:rFonts w:ascii="Arial" w:cs="Arial" w:eastAsia="Arial" w:hAnsi="Arial"/>
          <w:sz w:val="20"/>
          <w:szCs w:val="20"/>
        </w:rPr>
        <w:t xml:space="preserve">Taken together, these findings support Section 1's argument that professional tax classification requires tacit knowledge — the ability to map plain-English account descriptions to IRC concepts — that rule-based systems cannot reliably replicate. The application adds value by surfacing a candidate code and its reasoning, reducing the lookup burden on the preparer, but the testing demonstrates clearly that a tax professional's review is not optional. That is an honest, concrete problem statement supported by actual application output.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Testing note: Three accounts were tested — Entertainment Expense (L274, correct), Penalty Expense (L274, incorrect — should be P+), and Other Compensation Above Threshold (L162m, correct but keyword-only). The advisory CSV contains 9 codes. FERC PDF contains 100+ codes with full descriptions.</w:t>
            </w:r>
          </w:p>
        </w:tc>
      </w:tr>
    </w:tbl>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i/>
          <w:iCs/>
          <w:sz w:val="20"/>
          <w:szCs w:val="20"/>
        </w:rPr>
        <w:t xml:space="preserve">Reference this document when writing each section of the AUDIT </w:t>
      </w:r>
      <w:r>
        <w:rPr>
          <w:rFonts w:ascii="Arial" w:cs="Arial" w:eastAsia="Arial" w:hAnsi="Arial"/>
          <w:b/>
          <w:bCs/>
          <w:sz w:val="20"/>
          <w:szCs w:val="20"/>
        </w:rPr>
        <w:t xml:space="preserve">report</w:t>
      </w:r>
      <w:r>
        <w:rPr>
          <w:rFonts w:ascii="Arial" w:cs="Arial" w:eastAsia="Arial" w:hAnsi="Arial"/>
          <w:i/>
          <w:iCs/>
          <w:sz w:val="20"/>
          <w:szCs w:val="20"/>
        </w:rPr>
        <w:t xml:space="preserve">  |  CoA </w:t>
      </w:r>
      <w:r>
        <w:rPr>
          <w:rFonts w:ascii="Arial" w:cs="Arial" w:eastAsia="Arial" w:hAnsi="Arial"/>
          <w:b/>
          <w:bCs/>
          <w:sz w:val="20"/>
          <w:szCs w:val="20"/>
        </w:rPr>
        <w:t xml:space="preserve">Architect</w:t>
      </w:r>
      <w:r>
        <w:rPr>
          <w:rFonts w:ascii="Arial" w:cs="Arial" w:eastAsia="Arial" w:hAnsi="Arial"/>
          <w:i/>
          <w:iCs/>
          <w:sz w:val="20"/>
          <w:szCs w:val="20"/>
        </w:rPr>
        <w:t xml:space="preserve">  |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2026-03-23T02:35:02.929Z</dcterms:created>
  <dcterms:modified xsi:type="dcterms:W3CDTF">2026-03-23T02:35:02.930Z</dcterms:modified>
</cp:coreProperties>
</file>

<file path=docProps/custom.xml><?xml version="1.0" encoding="utf-8"?>
<Properties xmlns="http://schemas.openxmlformats.org/officeDocument/2006/custom-properties" xmlns:vt="http://schemas.openxmlformats.org/officeDocument/2006/docPropsVTypes"/>
</file>