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B3A5C"/>
          <w:sz w:val="40"/>
          <w:szCs w:val="40"/>
        </w:rPr>
        <w:t xml:space="preserve">Engineering Career Framework</w:t>
      </w:r>
    </w:p>
    <w:p>
      <w:pPr>
        <w:spacing w:after="80"/>
      </w:pPr>
      <w:r>
        <w:rPr>
          <w:rFonts w:ascii="Arial" w:cs="Arial" w:eastAsia="Arial" w:hAnsi="Arial"/>
          <w:color w:val="2E75B6"/>
          <w:sz w:val="36"/>
          <w:szCs w:val="36"/>
        </w:rPr>
        <w:t xml:space="preserve">Promotion Case</w:t>
      </w:r>
    </w:p>
    <w:p>
      <w:pPr>
        <w:pBdr>
          <w:bottom w:val="single" w:color="2E75B6" w:sz="8" w:space="8"/>
        </w:pBdr>
        <w:spacing w:after="300"/>
      </w:pPr>
    </w:p>
    <w:p>
      <w:pPr>
        <w:spacing w:after="60"/>
      </w:pPr>
      <w:r>
        <w:rPr>
          <w:rFonts w:ascii="Arial" w:cs="Arial" w:eastAsia="Arial" w:hAnsi="Arial"/>
          <w:b/>
          <w:bCs/>
          <w:color w:val="1A1A1A"/>
          <w:sz w:val="24"/>
          <w:szCs w:val="24"/>
        </w:rPr>
        <w:t xml:space="preserve">Engineer: </w:t>
      </w:r>
      <w:r>
        <w:rPr>
          <w:rFonts w:ascii="Arial" w:cs="Arial" w:eastAsia="Arial" w:hAnsi="Arial"/>
          <w:color w:val="333333"/>
          <w:sz w:val="24"/>
          <w:szCs w:val="24"/>
        </w:rPr>
        <w:t xml:space="preserve">Matt Anderson</w:t>
      </w:r>
    </w:p>
    <w:p>
      <w:pPr>
        <w:spacing w:after="60"/>
      </w:pPr>
      <w:r>
        <w:rPr>
          <w:rFonts w:ascii="Arial" w:cs="Arial" w:eastAsia="Arial" w:hAnsi="Arial"/>
          <w:b/>
          <w:bCs/>
          <w:color w:val="1A1A1A"/>
          <w:sz w:val="24"/>
          <w:szCs w:val="24"/>
        </w:rPr>
        <w:t xml:space="preserve">Current Level: </w:t>
      </w:r>
      <w:r>
        <w:rPr>
          <w:rFonts w:ascii="Arial" w:cs="Arial" w:eastAsia="Arial" w:hAnsi="Arial"/>
          <w:color w:val="333333"/>
          <w:sz w:val="24"/>
          <w:szCs w:val="24"/>
        </w:rPr>
        <w:t xml:space="preserve">Level 2 – Standard Engineer, Step 4</w:t>
      </w:r>
    </w:p>
    <w:p>
      <w:pPr>
        <w:spacing w:after="60"/>
      </w:pPr>
      <w:r>
        <w:rPr>
          <w:rFonts w:ascii="Arial" w:cs="Arial" w:eastAsia="Arial" w:hAnsi="Arial"/>
          <w:b/>
          <w:bCs/>
          <w:color w:val="1A1A1A"/>
          <w:sz w:val="24"/>
          <w:szCs w:val="24"/>
        </w:rPr>
        <w:t xml:space="preserve">Target Level: </w:t>
      </w:r>
      <w:r>
        <w:rPr>
          <w:rFonts w:ascii="Arial" w:cs="Arial" w:eastAsia="Arial" w:hAnsi="Arial"/>
          <w:color w:val="333333"/>
          <w:sz w:val="24"/>
          <w:szCs w:val="24"/>
        </w:rPr>
        <w:t xml:space="preserve">Level 4 – Senior Engineer, Step 1</w:t>
      </w:r>
    </w:p>
    <w:p>
      <w:pPr>
        <w:spacing w:after="60"/>
      </w:pPr>
      <w:r>
        <w:rPr>
          <w:rFonts w:ascii="Arial" w:cs="Arial" w:eastAsia="Arial" w:hAnsi="Arial"/>
          <w:b/>
          <w:bCs/>
          <w:color w:val="1A1A1A"/>
          <w:sz w:val="24"/>
          <w:szCs w:val="24"/>
        </w:rPr>
        <w:t xml:space="preserve">Project: </w:t>
      </w:r>
      <w:r>
        <w:rPr>
          <w:rFonts w:ascii="Arial" w:cs="Arial" w:eastAsia="Arial" w:hAnsi="Arial"/>
          <w:color w:val="333333"/>
          <w:sz w:val="24"/>
          <w:szCs w:val="24"/>
        </w:rPr>
        <w:t xml:space="preserve">TANF Data Portal (TDP) – raft-tech/TANF-app</w:t>
      </w:r>
    </w:p>
    <w:p>
      <w:pPr>
        <w:spacing w:after="300"/>
      </w:pPr>
      <w:r>
        <w:rPr>
          <w:rFonts w:ascii="Arial" w:cs="Arial" w:eastAsia="Arial" w:hAnsi="Arial"/>
          <w:b/>
          <w:bCs/>
          <w:color w:val="1A1A1A"/>
          <w:sz w:val="24"/>
          <w:szCs w:val="24"/>
        </w:rPr>
        <w:t xml:space="preserve">Date: </w:t>
      </w:r>
      <w:r>
        <w:rPr>
          <w:rFonts w:ascii="Arial" w:cs="Arial" w:eastAsia="Arial" w:hAnsi="Arial"/>
          <w:color w:val="333333"/>
          <w:sz w:val="24"/>
          <w:szCs w:val="24"/>
        </w:rPr>
        <w:t xml:space="preserve">April 6, 2026</w:t>
      </w:r>
    </w:p>
    <w:p>
      <w:r>
        <w:br w:type="page"/>
      </w:r>
    </w:p>
    <w:p>
      <w:pPr>
        <w:pStyle w:val="Heading1"/>
        <w:spacing w:after="200" w:before="360"/>
      </w:pPr>
      <w:r>
        <w:rPr>
          <w:rFonts w:ascii="Arial" w:cs="Arial" w:eastAsia="Arial" w:hAnsi="Arial"/>
          <w:b/>
          <w:bCs/>
          <w:color w:val="1B3A5C"/>
          <w:sz w:val="32"/>
          <w:szCs w:val="32"/>
        </w:rPr>
        <w:t xml:space="preserve">Level 2 – Standard Engineer (Current Level)</w:t>
      </w:r>
    </w:p>
    <w:p>
      <w:pPr>
        <w:spacing w:after="120"/>
      </w:pPr>
      <w:r>
        <w:rPr>
          <w:rFonts w:ascii="Arial" w:cs="Arial" w:eastAsia="Arial" w:hAnsi="Arial"/>
          <w:color w:val="333333"/>
          <w:sz w:val="21"/>
          <w:szCs w:val="21"/>
        </w:rPr>
        <w:t xml:space="preserve">The following documents Matt’s demonstrated mastery of all Level 2 core tenants and steps, establishing a strong foundation for promotion to Level 4.</w:t>
      </w:r>
    </w:p>
    <w:p>
      <w:pPr>
        <w:spacing w:after="120"/>
      </w:pPr>
    </w:p>
    <w:p>
      <w:pPr>
        <w:pStyle w:val="Heading2"/>
        <w:spacing w:after="160" w:before="280"/>
      </w:pPr>
      <w:r>
        <w:rPr>
          <w:rFonts w:ascii="Arial" w:cs="Arial" w:eastAsia="Arial" w:hAnsi="Arial"/>
          <w:b/>
          <w:bCs/>
          <w:color w:val="2E75B6"/>
          <w:sz w:val="26"/>
          <w:szCs w:val="26"/>
        </w:rPr>
        <w:t xml:space="preserve">Core Tenants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Independently delivers fully scoped features end-to-end across the TDP stack, including the complete Centralized Feedback Reports feature (backend models, API, admin UI, STT UI, E2E tests) spanning PRs #5438, #5486, #5529, and #5637.</w:t>
            </w:r>
          </w:p>
          <w:p>
            <w:pPr>
              <w:pStyle w:val="ListParagraph"/>
              <w:numPr>
                <w:ilvl w:val="0"/>
                <w:numId w:val="2"/>
              </w:numPr>
              <w:spacing w:after="60"/>
            </w:pPr>
            <w:r>
              <w:rPr>
                <w:rFonts w:ascii="Arial" w:cs="Arial" w:eastAsia="Arial" w:hAnsi="Arial"/>
                <w:color w:val="333333"/>
                <w:sz w:val="20"/>
                <w:szCs w:val="20"/>
              </w:rPr>
              <w:t xml:space="preserve">Operates as a reliable, autonomous contributor—consistently picking up, executing, and closing tickets without requiring hand-holding or repeated guidance from senior engineers.</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Knowledge</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Demonstrates solid command of Django REST Framework, React/Redux, PostgreSQL, Celery, and the full TDP architecture—including authentication flows, S3 storage via localstack, and the TANF data parsing pipeline.</w:t>
            </w:r>
          </w:p>
          <w:p>
            <w:pPr>
              <w:pStyle w:val="ListParagraph"/>
              <w:numPr>
                <w:ilvl w:val="0"/>
                <w:numId w:val="2"/>
              </w:numPr>
              <w:spacing w:after="60"/>
            </w:pPr>
            <w:r>
              <w:rPr>
                <w:rFonts w:ascii="Arial" w:cs="Arial" w:eastAsia="Arial" w:hAnsi="Arial"/>
                <w:color w:val="333333"/>
                <w:sz w:val="20"/>
                <w:szCs w:val="20"/>
              </w:rPr>
              <w:t xml:space="preserve">Understands team-level architecture deeply enough to design new subsystems (e.g., ReportFile/ReportSource models mirroring existing DataFile patterns) and resolve legacy migration conflicts spanning years of codebase history.</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 Complexity</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Regularly troubleshoots and solves multi-layer problems: diagnosed a Celery exporter metrics outage (PR #5674) by tracing through Prometheus → celery-exporter → Redis TLS URI construction → Cloud Foundry environment variable mismatches across all environments.</w:t>
            </w:r>
          </w:p>
          <w:p>
            <w:pPr>
              <w:pStyle w:val="ListParagraph"/>
              <w:numPr>
                <w:ilvl w:val="0"/>
                <w:numId w:val="2"/>
              </w:numPr>
              <w:spacing w:after="60"/>
            </w:pPr>
            <w:r>
              <w:rPr>
                <w:rFonts w:ascii="Arial" w:cs="Arial" w:eastAsia="Arial" w:hAnsi="Arial"/>
                <w:color w:val="333333"/>
                <w:sz w:val="20"/>
                <w:szCs w:val="20"/>
              </w:rPr>
              <w:t xml:space="preserve">Resolved a database index collision caused by a 2020 Django app rename that left orphaned indexes—requiring archaeological analysis of the migration history and direct pg_indexes inspection.</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Skill</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Writes production-ready, well-tested code with minimal supervision. The Feedback Reports backend PR (#5438) included 2,425 lines across 33 files with comprehensive test coverage (680+ lines of tests). All 60 backend and 792 frontend tests passing on merge.</w:t>
            </w:r>
          </w:p>
          <w:p>
            <w:pPr>
              <w:pStyle w:val="ListParagraph"/>
              <w:numPr>
                <w:ilvl w:val="0"/>
                <w:numId w:val="2"/>
              </w:numPr>
              <w:spacing w:after="60"/>
            </w:pPr>
            <w:r>
              <w:rPr>
                <w:rFonts w:ascii="Arial" w:cs="Arial" w:eastAsia="Arial" w:hAnsi="Arial"/>
                <w:color w:val="333333"/>
                <w:sz w:val="20"/>
                <w:szCs w:val="20"/>
              </w:rPr>
              <w:t xml:space="preserve">Implements accessibility-first solutions: fixed a screenreader banner interruption issue (#5584) using ARIA live regions, sr-only patterns, and tested with actual screenreaders (VoiceOver/NVDA)—touching 6 components and fixing 10 related test failures.</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Supervision</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Operates semi-independently—takes tickets from requirements through implementation, testing, and PR review resolution without needing ongoing direction. Addressed all 6 review comments on PR #5529 (STT Feedback Reports) proactively, including refactoring components and moving filtering logic to the backend.</w:t>
            </w:r>
          </w:p>
          <w:p>
            <w:pPr>
              <w:pStyle w:val="ListParagraph"/>
              <w:numPr>
                <w:ilvl w:val="0"/>
                <w:numId w:val="2"/>
              </w:numPr>
              <w:spacing w:after="60"/>
            </w:pPr>
            <w:r>
              <w:rPr>
                <w:rFonts w:ascii="Arial" w:cs="Arial" w:eastAsia="Arial" w:hAnsi="Arial"/>
                <w:color w:val="333333"/>
                <w:sz w:val="20"/>
                <w:szCs w:val="20"/>
              </w:rPr>
              <w:t xml:space="preserve">Trusted to present technical findings directly to clients and external stakeholders in cross-product meetings (Data Retention Spike, Feedback Reports demos) without manager mediation.</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Delivered the entire Centralized Feedback Reports feature—a major product capability enabling OFA admins to distribute quarterly feedback to states/tribes and for STTs to access their reports—used daily in production.</w:t>
            </w:r>
          </w:p>
          <w:p>
            <w:pPr>
              <w:pStyle w:val="ListParagraph"/>
              <w:numPr>
                <w:ilvl w:val="0"/>
                <w:numId w:val="2"/>
              </w:numPr>
              <w:spacing w:after="60"/>
            </w:pPr>
            <w:r>
              <w:rPr>
                <w:rFonts w:ascii="Arial" w:cs="Arial" w:eastAsia="Arial" w:hAnsi="Arial"/>
                <w:color w:val="333333"/>
                <w:sz w:val="20"/>
                <w:szCs w:val="20"/>
              </w:rPr>
              <w:t xml:space="preserve">Fixed critical infrastructure outages: restored Celery monitoring across all environments (dev, staging, prod) and resolved the Loki dashboard log level filtering issue (#5576), directly improving team observability and incident response capability.</w:t>
            </w:r>
          </w:p>
        </w:tc>
      </w:tr>
    </w:tbl>
    <w:p>
      <w:pPr>
        <w:spacing w:after="200"/>
      </w:pPr>
    </w:p>
    <w:p>
      <w:pPr>
        <w:pStyle w:val="Heading2"/>
        <w:spacing w:after="160" w:before="280"/>
      </w:pPr>
      <w:r>
        <w:rPr>
          <w:rFonts w:ascii="Arial" w:cs="Arial" w:eastAsia="Arial" w:hAnsi="Arial"/>
          <w:b/>
          <w:bCs/>
          <w:color w:val="2E75B6"/>
          <w:sz w:val="26"/>
          <w:szCs w:val="26"/>
        </w:rPr>
        <w:t xml:space="preserve">Steps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1</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Writes quality code for known problems with some help.</w:t>
            </w:r>
          </w:p>
          <w:p>
            <w:pPr>
              <w:pStyle w:val="ListParagraph"/>
              <w:numPr>
                <w:ilvl w:val="0"/>
                <w:numId w:val="2"/>
              </w:numPr>
              <w:spacing w:after="60"/>
            </w:pPr>
            <w:r>
              <w:rPr>
                <w:rFonts w:ascii="Arial" w:cs="Arial" w:eastAsia="Arial" w:hAnsi="Arial"/>
                <w:color w:val="333333"/>
                <w:sz w:val="20"/>
                <w:szCs w:val="20"/>
              </w:rPr>
              <w:t xml:space="preserve">Early contributions demonstrate solid fundamentals: implemented file extension validation (PR #3495), Grafana authentication redirects (#3362), and FRA pilot state flag with validation rules (PR #3577)—all clean, well-tested implementations.</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2</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Participates in code reviews; seeks and applies feedback effectively.</w:t>
            </w:r>
          </w:p>
          <w:p>
            <w:pPr>
              <w:pStyle w:val="ListParagraph"/>
              <w:numPr>
                <w:ilvl w:val="0"/>
                <w:numId w:val="2"/>
              </w:numPr>
              <w:spacing w:after="60"/>
            </w:pPr>
            <w:r>
              <w:rPr>
                <w:rFonts w:ascii="Arial" w:cs="Arial" w:eastAsia="Arial" w:hAnsi="Arial"/>
                <w:color w:val="333333"/>
                <w:sz w:val="20"/>
                <w:szCs w:val="20"/>
              </w:rPr>
              <w:t xml:space="preserve">Actively engages in code reviews and applies feedback thoughtfully. On PR #5529 (STT Feedback Reports), addressed all 6 reviewer comments from @elipe17—including refactoring FeedbackReportAlert to self-fetch data, removing deprecated PropTypes, and extracting a reusable blob download utility.</w:t>
            </w:r>
          </w:p>
          <w:p>
            <w:pPr>
              <w:pStyle w:val="ListParagraph"/>
              <w:numPr>
                <w:ilvl w:val="0"/>
                <w:numId w:val="2"/>
              </w:numPr>
              <w:spacing w:after="60"/>
            </w:pPr>
            <w:r>
              <w:rPr>
                <w:rFonts w:ascii="Arial" w:cs="Arial" w:eastAsia="Arial" w:hAnsi="Arial"/>
                <w:color w:val="333333"/>
                <w:sz w:val="20"/>
                <w:szCs w:val="20"/>
              </w:rPr>
              <w:t xml:space="preserve">On the E2E test PR (#5637), responded to reviewer questions with technical justifications (e.g., explaining Cypress session cookie handling and CSRF token behavior) and adopted suggestions like switching from generic “user” to named test actors.</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3</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Begins mentoring interns or new hires; documents work well.</w:t>
            </w:r>
          </w:p>
          <w:p>
            <w:pPr>
              <w:pStyle w:val="ListParagraph"/>
              <w:numPr>
                <w:ilvl w:val="0"/>
                <w:numId w:val="2"/>
              </w:numPr>
              <w:spacing w:after="60"/>
            </w:pPr>
            <w:r>
              <w:rPr>
                <w:rFonts w:ascii="Arial" w:cs="Arial" w:eastAsia="Arial" w:hAnsi="Arial"/>
                <w:color w:val="333333"/>
                <w:sz w:val="20"/>
                <w:szCs w:val="20"/>
              </w:rPr>
              <w:t xml:space="preserve">Unblocked teammate Jan during Dev office hours by diagnosing the Mattermost webhook failure—identifying both the channel name mismatch and the subtle Mattermost requirement for URL handles vs. display names. Eric Lipe acknowledged: “Thanks Matt, good find for both of those.”</w:t>
            </w:r>
          </w:p>
          <w:p>
            <w:pPr>
              <w:pStyle w:val="ListParagraph"/>
              <w:numPr>
                <w:ilvl w:val="0"/>
                <w:numId w:val="2"/>
              </w:numPr>
              <w:spacing w:after="60"/>
            </w:pPr>
            <w:r>
              <w:rPr>
                <w:rFonts w:ascii="Arial" w:cs="Arial" w:eastAsia="Arial" w:hAnsi="Arial"/>
                <w:color w:val="333333"/>
                <w:sz w:val="20"/>
                <w:szCs w:val="20"/>
              </w:rPr>
              <w:t xml:space="preserve">Documents work extensively: created the E2E test setup runbook for the team, writes detailed issue descriptions with root cause analysis and test plans (see #5673 Celery exporter write-up), and maintains an Obsidian vault of technical knowledge.</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4</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Can lead small feature development cycles independently.</w:t>
            </w:r>
          </w:p>
          <w:p>
            <w:pPr>
              <w:pStyle w:val="ListParagraph"/>
              <w:numPr>
                <w:ilvl w:val="0"/>
                <w:numId w:val="2"/>
              </w:numPr>
              <w:spacing w:after="60"/>
            </w:pPr>
            <w:r>
              <w:rPr>
                <w:rFonts w:ascii="Arial" w:cs="Arial" w:eastAsia="Arial" w:hAnsi="Arial"/>
                <w:color w:val="333333"/>
                <w:sz w:val="20"/>
                <w:szCs w:val="20"/>
              </w:rPr>
              <w:t xml:space="preserve">Led the full Centralized Feedback Reports feature cycle from initial backend implementation through admin UI, STT UI, UX redesign (after client feedback from Yun), E2E test coverage, and FRA extension—coordinating with UX (Miles Reiter, Victoria Amoroso) and presenting demos to the client.</w:t>
            </w:r>
          </w:p>
          <w:p>
            <w:pPr>
              <w:pStyle w:val="ListParagraph"/>
              <w:numPr>
                <w:ilvl w:val="0"/>
                <w:numId w:val="2"/>
              </w:numPr>
              <w:spacing w:after="60"/>
            </w:pPr>
            <w:r>
              <w:rPr>
                <w:rFonts w:ascii="Arial" w:cs="Arial" w:eastAsia="Arial" w:hAnsi="Arial"/>
                <w:color w:val="333333"/>
                <w:sz w:val="20"/>
                <w:szCs w:val="20"/>
              </w:rPr>
              <w:t xml:space="preserve">Independently conducted the Data Retention Spike (#5649): queried production PostgreSQL, analyzed 13,540 submissions, proposed two concrete feature designs (SubmissionWindowRequest workflow and DownloadEvent tracking), and presented findings directly to the client—resulting in both proposals being approved for implementation.</w:t>
            </w:r>
          </w:p>
        </w:tc>
      </w:tr>
    </w:tbl>
    <w:p>
      <w:r>
        <w:br w:type="page"/>
      </w:r>
    </w:p>
    <w:p>
      <w:pPr>
        <w:pStyle w:val="Heading1"/>
        <w:spacing w:after="200" w:before="360"/>
      </w:pPr>
      <w:r>
        <w:rPr>
          <w:rFonts w:ascii="Arial" w:cs="Arial" w:eastAsia="Arial" w:hAnsi="Arial"/>
          <w:b/>
          <w:bCs/>
          <w:color w:val="1B3A5C"/>
          <w:sz w:val="32"/>
          <w:szCs w:val="32"/>
        </w:rPr>
        <w:t xml:space="preserve">Level 4 – Senior Engineer (Target Level)</w:t>
      </w:r>
    </w:p>
    <w:p>
      <w:pPr>
        <w:spacing w:after="120"/>
      </w:pPr>
      <w:r>
        <w:rPr>
          <w:rFonts w:ascii="Arial" w:cs="Arial" w:eastAsia="Arial" w:hAnsi="Arial"/>
          <w:color w:val="333333"/>
          <w:sz w:val="21"/>
          <w:szCs w:val="21"/>
        </w:rPr>
        <w:t xml:space="preserve">The following documents evidence that Matt is already operating at or approaching Level 4 expectations across the core tenants and steps.</w:t>
      </w:r>
    </w:p>
    <w:p>
      <w:pPr>
        <w:spacing w:after="120"/>
      </w:pPr>
    </w:p>
    <w:p>
      <w:pPr>
        <w:pStyle w:val="Heading2"/>
        <w:spacing w:after="160" w:before="280"/>
      </w:pPr>
      <w:r>
        <w:rPr>
          <w:rFonts w:ascii="Arial" w:cs="Arial" w:eastAsia="Arial" w:hAnsi="Arial"/>
          <w:b/>
          <w:bCs/>
          <w:color w:val="2E75B6"/>
          <w:sz w:val="26"/>
          <w:szCs w:val="26"/>
        </w:rPr>
        <w:t xml:space="preserve">Core Tenants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Owns the Centralized Feedback Reports feature as a large, multi-phase service—spanning backend, frontend, admin UI, E2E tests, accessibility, and ongoing FRA extension (#5663). This is not a single ticket but a sustained product capability that Matt has architected, implemented, and continues to evolve.</w:t>
            </w:r>
          </w:p>
          <w:p>
            <w:pPr>
              <w:pStyle w:val="ListParagraph"/>
              <w:numPr>
                <w:ilvl w:val="0"/>
                <w:numId w:val="2"/>
              </w:numPr>
              <w:spacing w:after="60"/>
            </w:pPr>
            <w:r>
              <w:rPr>
                <w:rFonts w:ascii="Arial" w:cs="Arial" w:eastAsia="Arial" w:hAnsi="Arial"/>
                <w:color w:val="333333"/>
                <w:sz w:val="20"/>
                <w:szCs w:val="20"/>
              </w:rPr>
              <w:t xml:space="preserve">Contributes beyond his immediate feature work: volunteered to lead the KeyCloak authentication integration effort—a cross-cutting initiative that will affect the entire TDP authentication architecture—stepping up to own and spearhead a complex system-wide change.</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Knowledge</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Demonstrates deep, systems-level knowledge across the full TDP stack: Django ORM and migrations, DRF permissions and serializers, React/Redux state management, Celery task orchestration, Redis TLS configuration, Cloud Foundry deployment, nginx routing, Prometheus/Grafana monitoring, and ARIA accessibility patterns.</w:t>
            </w:r>
          </w:p>
          <w:p>
            <w:pPr>
              <w:pStyle w:val="ListParagraph"/>
              <w:numPr>
                <w:ilvl w:val="0"/>
                <w:numId w:val="2"/>
              </w:numPr>
              <w:spacing w:after="60"/>
            </w:pPr>
            <w:r>
              <w:rPr>
                <w:rFonts w:ascii="Arial" w:cs="Arial" w:eastAsia="Arial" w:hAnsi="Arial"/>
                <w:color w:val="333333"/>
                <w:sz w:val="20"/>
                <w:szCs w:val="20"/>
              </w:rPr>
              <w:t xml:space="preserve">Understands software design well enough to propose new architectural patterns: designed the SubmissionWindowRequest and DownloadEvent models for data retention based on existing codebase patterns (mirroring UserChangeRequest), demonstrating the ability to extend the system’s design vocabulary.</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 Complexity</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Solves ambiguous, multi-layer problems independently. The Celery exporter outage (#5673) required tracing through five layers of infrastructure (Grafana → Prometheus → celery-exporter → Redis → Cloud Foundry environment variables) to identify a TLS scheme mismatch and missing per-environment database numbers—plus discovering a secondary bug in the production network policy.</w:t>
            </w:r>
          </w:p>
          <w:p>
            <w:pPr>
              <w:pStyle w:val="ListParagraph"/>
              <w:numPr>
                <w:ilvl w:val="0"/>
                <w:numId w:val="2"/>
              </w:numPr>
              <w:spacing w:after="60"/>
            </w:pPr>
            <w:r>
              <w:rPr>
                <w:rFonts w:ascii="Arial" w:cs="Arial" w:eastAsia="Arial" w:hAnsi="Arial"/>
                <w:color w:val="333333"/>
                <w:sz w:val="20"/>
                <w:szCs w:val="20"/>
              </w:rPr>
              <w:t xml:space="preserve">Handles ambiguity in requirements: when the Feedback Reports UX didn’t match client expectations after a demo, Matt worked with UX to redesign the feature—replacing the quarter field with date_extracted_on, updating models, APIs, admin UI, STT UI, and email templates—managing scope change without disruption.</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Skill</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Writes production features without guidance across the entire stack. The STT Feedback Reports PR (#5529) delivered 5,242 lines of code across 56 files—including new React components, regional staff permission logic, and 1,873 lines of tests—with all tests green on merge.</w:t>
            </w:r>
          </w:p>
          <w:p>
            <w:pPr>
              <w:pStyle w:val="ListParagraph"/>
              <w:numPr>
                <w:ilvl w:val="0"/>
                <w:numId w:val="2"/>
              </w:numPr>
              <w:spacing w:after="60"/>
            </w:pPr>
            <w:r>
              <w:rPr>
                <w:rFonts w:ascii="Arial" w:cs="Arial" w:eastAsia="Arial" w:hAnsi="Arial"/>
                <w:color w:val="333333"/>
                <w:sz w:val="20"/>
                <w:szCs w:val="20"/>
              </w:rPr>
              <w:t xml:space="preserve">Proactively tests work and improves code quality: built a complete Cypress BDD test suite for Feedback Reports (13 scenarios + 2 accessibility tests in PR #5637), including a custom Cypress command for polling async Celery task completion and nginx configuration fixes for SPA routing.</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Supervision</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Operates with low supervision. Takes features from concept through delivery, coordinating cross-functionally with UX designers, product owners, and clients without requiring manager intermediation. Trusted to present technical recommendations directly to the client and contract holder.</w:t>
            </w:r>
          </w:p>
          <w:p>
            <w:pPr>
              <w:pStyle w:val="ListParagraph"/>
              <w:numPr>
                <w:ilvl w:val="0"/>
                <w:numId w:val="2"/>
              </w:numPr>
              <w:spacing w:after="60"/>
            </w:pPr>
            <w:r>
              <w:rPr>
                <w:rFonts w:ascii="Arial" w:cs="Arial" w:eastAsia="Arial" w:hAnsi="Arial"/>
                <w:color w:val="333333"/>
                <w:sz w:val="20"/>
                <w:szCs w:val="20"/>
              </w:rPr>
              <w:t xml:space="preserve">Takes initiative to identify and solve problems beyond assigned scope: discovered the secondary network policy bug during the Celery investigation, created documentation runbooks for the team, and volunteered for the KeyCloak integration leadership role.</w:t>
            </w:r>
          </w:p>
        </w:tc>
      </w:tr>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pStyle w:val="ListParagraph"/>
              <w:numPr>
                <w:ilvl w:val="0"/>
                <w:numId w:val="2"/>
              </w:numPr>
              <w:spacing w:after="60"/>
            </w:pPr>
            <w:r>
              <w:rPr>
                <w:rFonts w:ascii="Arial" w:cs="Arial" w:eastAsia="Arial" w:hAnsi="Arial"/>
                <w:color w:val="333333"/>
                <w:sz w:val="20"/>
                <w:szCs w:val="20"/>
              </w:rPr>
              <w:t xml:space="preserve">Broad impact within the team: the Feedback Reports system is a core product capability used daily by OFA administrators and state/tribal grantees. The Data Retention research directly shaped the product roadmap with two new features approved for implementation.</w:t>
            </w:r>
          </w:p>
          <w:p>
            <w:pPr>
              <w:pStyle w:val="ListParagraph"/>
              <w:numPr>
                <w:ilvl w:val="0"/>
                <w:numId w:val="2"/>
              </w:numPr>
              <w:spacing w:after="60"/>
            </w:pPr>
            <w:r>
              <w:rPr>
                <w:rFonts w:ascii="Arial" w:cs="Arial" w:eastAsia="Arial" w:hAnsi="Arial"/>
                <w:color w:val="333333"/>
                <w:sz w:val="20"/>
                <w:szCs w:val="20"/>
              </w:rPr>
              <w:t xml:space="preserve">Impact extends across the project: fixed observability across all environments (Celery metrics, Loki log filtering), improved accessibility for assistive technology users, unblocked teammates on operational issues, and contributed to team knowledge through runbooks and detailed documentation.</w:t>
            </w:r>
          </w:p>
        </w:tc>
      </w:tr>
    </w:tbl>
    <w:p>
      <w:pPr>
        <w:spacing w:after="200"/>
      </w:pPr>
    </w:p>
    <w:p>
      <w:pPr>
        <w:pStyle w:val="Heading2"/>
        <w:spacing w:after="160" w:before="280"/>
      </w:pPr>
      <w:r>
        <w:rPr>
          <w:rFonts w:ascii="Arial" w:cs="Arial" w:eastAsia="Arial" w:hAnsi="Arial"/>
          <w:b/>
          <w:bCs/>
          <w:color w:val="2E75B6"/>
          <w:sz w:val="26"/>
          <w:szCs w:val="26"/>
        </w:rPr>
        <w:t xml:space="preserve">Steps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1</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Leads features end-to-end; starts influencing design discussions.</w:t>
            </w:r>
          </w:p>
          <w:p>
            <w:pPr>
              <w:pStyle w:val="ListParagraph"/>
              <w:numPr>
                <w:ilvl w:val="0"/>
                <w:numId w:val="2"/>
              </w:numPr>
              <w:spacing w:after="60"/>
            </w:pPr>
            <w:r>
              <w:rPr>
                <w:rFonts w:ascii="Arial" w:cs="Arial" w:eastAsia="Arial" w:hAnsi="Arial"/>
                <w:color w:val="333333"/>
                <w:sz w:val="20"/>
                <w:szCs w:val="20"/>
              </w:rPr>
              <w:t xml:space="preserve">Led the full implementation of the Centralized Feedback Reports feature from initial architecture through delivery and iteration—designing the data model, building the backend API, implementing admin and STT UIs, writing E2E tests, and iterating on UX based on client feedback. Served as the sole implementer and subject matter expert for the entire feature.</w:t>
            </w:r>
          </w:p>
          <w:p>
            <w:pPr>
              <w:pStyle w:val="ListParagraph"/>
              <w:numPr>
                <w:ilvl w:val="0"/>
                <w:numId w:val="2"/>
              </w:numPr>
              <w:spacing w:after="60"/>
            </w:pPr>
            <w:r>
              <w:rPr>
                <w:rFonts w:ascii="Arial" w:cs="Arial" w:eastAsia="Arial" w:hAnsi="Arial"/>
                <w:color w:val="333333"/>
                <w:sz w:val="20"/>
                <w:szCs w:val="20"/>
              </w:rPr>
              <w:t xml:space="preserve">Actively influences design decisions: recommended two concrete feature architectures during the Data Retention Spike (#5649) that were adopted by the team and approved by the client for future implementation. Collaborated with UX (Miles Reiter, Victoria Amoroso) on Feedback Report design changes based on client feedback.</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2</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Partners with PM/Design for delivery; unblocks teammates.</w:t>
            </w:r>
          </w:p>
          <w:p>
            <w:pPr>
              <w:pStyle w:val="ListParagraph"/>
              <w:numPr>
                <w:ilvl w:val="0"/>
                <w:numId w:val="2"/>
              </w:numPr>
              <w:spacing w:after="60"/>
            </w:pPr>
            <w:r>
              <w:rPr>
                <w:rFonts w:ascii="Arial" w:cs="Arial" w:eastAsia="Arial" w:hAnsi="Arial"/>
                <w:color w:val="333333"/>
                <w:sz w:val="20"/>
                <w:szCs w:val="20"/>
              </w:rPr>
              <w:t xml:space="preserve">Partners directly with UX and product stakeholders: participated in cross-product meetings with the client/contract holder to provide technical expertise on FRA Feedback Reports (#5663) and Data Retention (#5649), giving recommendations that shaped product direction.</w:t>
            </w:r>
          </w:p>
          <w:p>
            <w:pPr>
              <w:pStyle w:val="ListParagraph"/>
              <w:numPr>
                <w:ilvl w:val="0"/>
                <w:numId w:val="2"/>
              </w:numPr>
              <w:spacing w:after="60"/>
            </w:pPr>
            <w:r>
              <w:rPr>
                <w:rFonts w:ascii="Arial" w:cs="Arial" w:eastAsia="Arial" w:hAnsi="Arial"/>
                <w:color w:val="333333"/>
                <w:sz w:val="20"/>
                <w:szCs w:val="20"/>
              </w:rPr>
              <w:t xml:space="preserve">Actively unblocks teammates: resolved Jan’s Mattermost webhook failure during office hours by researching the bug live and identifying two independent root causes. Provides detailed, actionable code review feedback and documents solutions for team reuse.</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3</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Advocates for best practices and long-term tech investments.</w:t>
            </w:r>
          </w:p>
          <w:p>
            <w:pPr>
              <w:pStyle w:val="ListParagraph"/>
              <w:numPr>
                <w:ilvl w:val="0"/>
                <w:numId w:val="2"/>
              </w:numPr>
              <w:spacing w:after="60"/>
            </w:pPr>
            <w:r>
              <w:rPr>
                <w:rFonts w:ascii="Arial" w:cs="Arial" w:eastAsia="Arial" w:hAnsi="Arial"/>
                <w:color w:val="333333"/>
                <w:sz w:val="20"/>
                <w:szCs w:val="20"/>
              </w:rPr>
              <w:t xml:space="preserve">The Data Retention Spike (#5649) is a clear example of advocating for long-term technical investment: Matt researched historical data patterns, quantified the scope (88.7% of submissions covered by a 2-FY window), and proposed sustainable architectural solutions rather than quick fixes—presenting the case directly to stakeholders.</w:t>
            </w:r>
          </w:p>
          <w:p>
            <w:pPr>
              <w:pStyle w:val="ListParagraph"/>
              <w:numPr>
                <w:ilvl w:val="0"/>
                <w:numId w:val="2"/>
              </w:numPr>
              <w:spacing w:after="60"/>
            </w:pPr>
            <w:r>
              <w:rPr>
                <w:rFonts w:ascii="Arial" w:cs="Arial" w:eastAsia="Arial" w:hAnsi="Arial"/>
                <w:color w:val="333333"/>
                <w:sz w:val="20"/>
                <w:szCs w:val="20"/>
              </w:rPr>
              <w:t xml:space="preserve">Advocates for code quality and best practices in reviews and office hours discussions. Created the E2E test runbook documenting infrastructure gotchas and workarounds, investing in long-term team productivity and test reliability.</w:t>
            </w:r>
          </w:p>
        </w:tc>
      </w:tr>
      <w:tr>
        <w:tc>
          <w:tcPr>
            <w:tcW w:type="dxa" w:w="2200"/>
            <w:tcBorders>
              <w:top w:val="single" w:color="E0E0E0" w:sz="1"/>
              <w:left w:val="single" w:color="E0E0E0" w:sz="1"/>
              <w:bottom w:val="single" w:color="E0E0E0" w:sz="1"/>
              <w:right w:val="single" w:color="E0E0E0"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 4</w:t>
            </w:r>
          </w:p>
        </w:tc>
        <w:tc>
          <w:tcPr>
            <w:tcW w:type="dxa" w:w="7160"/>
            <w:tcBorders>
              <w:top w:val="single" w:color="E0E0E0" w:sz="1"/>
              <w:left w:val="single" w:color="E0E0E0" w:sz="1"/>
              <w:bottom w:val="single" w:color="E0E0E0" w:sz="1"/>
              <w:right w:val="single" w:color="E0E0E0" w:sz="1"/>
            </w:tcBorders>
            <w:tcMar>
              <w:top w:type="dxa" w:w="100"/>
              <w:left w:type="dxa" w:w="160"/>
              <w:bottom w:type="dxa" w:w="100"/>
              <w:right w:type="dxa" w:w="160"/>
            </w:tcMar>
          </w:tcPr>
          <w:p>
            <w:pPr>
              <w:spacing w:after="60"/>
            </w:pPr>
            <w:r>
              <w:rPr>
                <w:rFonts w:ascii="Arial" w:cs="Arial" w:eastAsia="Arial" w:hAnsi="Arial"/>
                <w:i/>
                <w:iCs/>
                <w:color w:val="666666"/>
                <w:sz w:val="20"/>
                <w:szCs w:val="20"/>
              </w:rPr>
              <w:t xml:space="preserve">Recognized as a go-to engineer for key systems.</w:t>
            </w:r>
          </w:p>
          <w:p>
            <w:pPr>
              <w:pStyle w:val="ListParagraph"/>
              <w:numPr>
                <w:ilvl w:val="0"/>
                <w:numId w:val="2"/>
              </w:numPr>
              <w:spacing w:after="60"/>
            </w:pPr>
            <w:r>
              <w:rPr>
                <w:rFonts w:ascii="Arial" w:cs="Arial" w:eastAsia="Arial" w:hAnsi="Arial"/>
                <w:color w:val="333333"/>
                <w:sz w:val="20"/>
                <w:szCs w:val="20"/>
              </w:rPr>
              <w:t xml:space="preserve">Recognized as the subject matter expert and go-to engineer for the Centralized Feedback Reports system—brought into cross-product meetings specifically for this expertise and consulted on future enhancements like FRA integration (#5663).</w:t>
            </w:r>
          </w:p>
          <w:p>
            <w:pPr>
              <w:pStyle w:val="ListParagraph"/>
              <w:numPr>
                <w:ilvl w:val="0"/>
                <w:numId w:val="2"/>
              </w:numPr>
              <w:spacing w:after="60"/>
            </w:pPr>
            <w:r>
              <w:rPr>
                <w:rFonts w:ascii="Arial" w:cs="Arial" w:eastAsia="Arial" w:hAnsi="Arial"/>
                <w:color w:val="333333"/>
                <w:sz w:val="20"/>
                <w:szCs w:val="20"/>
              </w:rPr>
              <w:t xml:space="preserve">Recognized as the point person for data retention policy work. Volunteered to lead the KeyCloak authentication integration—taking ownership of a critical cross-cutting system that the team needed someone to spearhead going forward.</w:t>
            </w:r>
          </w:p>
        </w:tc>
      </w:tr>
    </w:tbl>
    <w:p>
      <w:r>
        <w:br w:type="page"/>
      </w:r>
    </w:p>
    <w:p>
      <w:pPr>
        <w:pStyle w:val="Heading1"/>
        <w:spacing w:after="200" w:before="360"/>
      </w:pPr>
      <w:r>
        <w:rPr>
          <w:rFonts w:ascii="Arial" w:cs="Arial" w:eastAsia="Arial" w:hAnsi="Arial"/>
          <w:b/>
          <w:bCs/>
          <w:color w:val="1B3A5C"/>
          <w:sz w:val="32"/>
          <w:szCs w:val="32"/>
        </w:rPr>
        <w:t xml:space="preserve">Key Evidence Summary</w:t>
      </w:r>
    </w:p>
    <w:p>
      <w:pPr>
        <w:spacing w:after="120"/>
      </w:pPr>
      <w:r>
        <w:rPr>
          <w:rFonts w:ascii="Arial" w:cs="Arial" w:eastAsia="Arial" w:hAnsi="Arial"/>
          <w:color w:val="333333"/>
          <w:sz w:val="21"/>
          <w:szCs w:val="21"/>
        </w:rPr>
        <w:t xml:space="preserve">The table below summarizes the major contributions referenced throughout this document.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 Area</w:t>
            </w:r>
          </w:p>
        </w:tc>
        <w:tc>
          <w:tcPr>
            <w:tcW w:type="dxa" w:w="4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Feedback Reports Backend</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Designed and built entire reports Django app: models, API, Celery processing, permissions, and 680+ lines of tests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#5397 / PR #5438</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Feedback Reports Admin UI</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Built React admin interface for uploading and managing feedback reports with comprehensive test coverage</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#5390 / PR #5486</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Feedback Reports STT UI</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Created STT-facing interface with regional staff support, 5,242 lines across 56 files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#5417 / PR #5529</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Feedback Reports E2E Tests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Built complete Cypress BDD test suite: 13 scenarios, 2 a11y tests, custom async polling commands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#5421 / PR #5637</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FRA Feedback Reports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Extending feedback reports to support FRA alongside TANF/SSP (in progress)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#5663</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Data Retention Spike</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Independently researched data patterns, proposed two feature architectures, presented to client—both approved</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#5649</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Celery Exporter Fix</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Diagnosed and fixed metrics outage across all environments; found secondary network policy bug</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#5673 / PR #5674</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Accessibility Fix</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Fixed screenreader interruption with ARIA live regions across 6 components; updated 10 tests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#5584</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Loki Dashboard Fix</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Fixed log level filtering by adding label promotion in Alloy pipeline config</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#5576</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Mattermost Webhook</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Unblocked teammate by identifying two independent root causes in office hours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Accomplishment Note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19"/>
                <w:szCs w:val="19"/>
              </w:rPr>
              <w:t xml:space="preserve">KeyCloak Integration</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9"/>
                <w:szCs w:val="19"/>
              </w:rPr>
              <w:t xml:space="preserve">Volunteered to lead authentication system migration (upcoming)</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E75B6"/>
                <w:sz w:val="19"/>
                <w:szCs w:val="19"/>
              </w:rPr>
              <w:t xml:space="preserve">Pending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999999"/>
        <w:sz w:val="18"/>
        <w:szCs w:val="18"/>
      </w:rPr>
      <w:t xml:space="preserve">Promotion Case: Matt Anderson</w:t>
    </w:r>
    <w:r>
      <w:rPr>
        <w:rFonts w:ascii="Arial" w:cs="Arial" w:eastAsia="Arial" w:hAnsi="Arial"/>
        <w:color w:val="999999"/>
        <w:sz w:val="18"/>
        <w:szCs w:val="18"/>
      </w:rPr>
      <w:t xml:space="preserve">	Level 2 → Level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2026-04-06T19:31:16.732Z</dcterms:created>
  <dcterms:modified xsi:type="dcterms:W3CDTF">2026-04-06T19:31:16.732Z</dcterms:modified>
</cp:coreProperties>
</file>

<file path=docProps/custom.xml><?xml version="1.0" encoding="utf-8"?>
<Properties xmlns="http://schemas.openxmlformats.org/officeDocument/2006/custom-properties" xmlns:vt="http://schemas.openxmlformats.org/officeDocument/2006/docPropsVTypes"/>
</file>