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A"/>
          <w:sz w:val="44"/>
          <w:szCs w:val="44"/>
        </w:rPr>
        <w:t xml:space="preserve">TDP Data Retention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Cross-Prod Meeting Technical Brief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20,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TDP currently retains all data indefinitely with no lifecycle management, which was flagged as a compliance risk in ADR-007 (Object Storage). The system stores data in two tiers: PostgreSQL (parsed records and metadata) and AWS S3 (raw submission files). The only existing cleanup mechanism removes old file versions nightly but does not address time-based retention, archival, or disposal. This brief covers the current architecture, identifies gaps, and provides technical recommendations for the warm/cold storage discussion.</w:t>
      </w:r>
    </w:p>
    <w:p>
      <w:pPr>
        <w:pBdr>
          <w:bottom w:val="single" w:color="2B579A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Current Data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TDP system stores data across multiple layers. Understanding this architecture is essential for designing retention policies.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1.1 Storage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60"/>
        <w:gridCol w:w="1560"/>
        <w:gridCol w:w="264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Retention</w:t>
            </w:r>
          </w:p>
        </w:tc>
        <w:tc>
          <w:tcPr>
            <w:tcW w:type="dxa" w:w="2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(Raw Files)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via Cloud.gov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submission version + error reports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Indefinite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resubmission adds a new version object; bucket grows linearly with submissions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Cloud.gov 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parsed records, file metadata, user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Indefinite (latest version only)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Grows with each new FY of data; old FY records never pruned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OpenSearch via Cloud.gov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Indexed parsed records for search/reporting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Mirrors PostgreSQL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Scales with database; supports ILM policies for tiering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1.2 Data Flow: Submission to Storage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grantee submits a TANF data file, it follows this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uploaded via React frontend to Django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ClamAV antivirus scan (file rejected if malware detected)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stored in S3 with versioning enabled (S3 version ID captured in 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Celery task enqueued; parser validates file line-by-line against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Parsed records bulk-created in PostgreSQL and indexed in Elasticsearch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Errors stored in ParserError table and associated with DataFile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Key detail: Each resubmission creates a new DataFile record with an incremented version number. S3 also maintains its own object versioning. Both the database version and the S3 version ID are tracked.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1.3 DataFile Model (Core Entity)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DataFile model is the central entity. Each record represents one submitted file and is uniquely constrained by: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TANF, SSP, Tribal TANF, or FRA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Case, Closed Case, Aggregate, Stratum, or FRA-specific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Fiscal year (integer, starting 2019)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Q1, Q2, Q3, Q4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Tribe, or Territory (FK to STT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Incremented integer per resubmission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is_program_audit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flag for audit submissions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Cascade delete behavior: When a DataFile is deleted, all associated parsed records (TANF_T1, TANF_T2, SSP_M1, Tribal_TANF_T1, TANF_Exiter1), ParserErrors, ReparseFileMeta, and DataFileSummary records are automatically deleted via Django CASCADE. However, the S3 object is NOT deleted.</w:t>
      </w:r>
    </w:p>
    <w:p>
      <w:pPr>
        <w:pBdr>
          <w:bottom w:val="single" w:color="2B579A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Existing Retention Mechanism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Version Cleanup Task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only existing retention mechanism is a Celery task called remove_all_old_versions() in scheduling/datafile_retention_tasks.py. It runs nightly as part of the database backup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backup runs at 4:00 AM UTC (midnight 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successful backup, remove_all_old_versions.delay() is triggered asynchronously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task iterates over every combination of year/quarter/program_type/section/STT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combination, it keeps ONLY the newest version and deletes all older versions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this does: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Removes superseded file versions (e.g., if an STT resubmitted Q1 FY23 three times, versions 1 and 2 are deleted, version 3 is kept)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Cascades deletion to parsed records in PostgreSQL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this does NOT 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not delete data based on age or fiscal year (FY21 data persists forever as long as it is the latest version)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not delete S3 objects (orphaned files remain in the bucket after database records are removed)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not archive data before deletion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not have configurable retention periods (min_year of 2019 is hardcoded)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Known Compliance Gap (ADR-007)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 Decision Record 007 (Object Storage) explicitly flagged this risk:</w:t>
      </w:r>
    </w:p>
    <w:p>
      <w:pPr>
        <w:pBdr>
          <w:left w:val="single" w:color="2B579A" w:sz="12" w:space="8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"Information stored in AWS S3 buckets is retained indefinitely by default. This behavior is out of compliance with the current SORN and will need to be resolved before release 3."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was identified early in the project and remains unresolved. The SORN (System of Records Notice) likely requires defined retention periods and disposition schedules per NARA guidelines.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Technical Analysis: Warm vs. Cold Storage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agenda asks about storage tiering. Here is how warm and cold storage maps to the TDP architecture: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Proposed Storage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800"/>
        <w:gridCol w:w="1760"/>
      </w:tblGrid>
      <w:t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Included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Pattern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Options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 (Active)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FY + correction window (6-9 months post-FY close)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parsed records, active submissions, error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Frequent reads/writes by STTs and OFA; real-time queries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Elasticsearch + S3 Standard (current setup)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(Historical)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 FYs within compliance retention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version of completed FY submissions; metadata and summary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Occasional access for audits, compliance checks, research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Infrequent Access (S3-IA); reduced DB indexes; read-only Elasticsearch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 (Archive)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Beyond active retention but within NARA disposition 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files only (no parsed records needed); metadata preserved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 access; retrieval may take minutes to hours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Glacier or S3 Glacier Deep Archive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Architectural Decisions Needed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Submission window controls: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system currently allows submissions for FY21+. There is no admin-controlled mechanism to close submission windows for a given FY.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Recommendation: Add an admin-configurable setting per FY to close submissions, which would also serve as the trigger for moving data from hot to warm.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lifecycle policies: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Cloud.gov managed S3 supports lifecycle policies. These can automatically transition objects to S3-IA or Glacier based on age.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Current gap: No lifecycle policies are configured. All objects remain in S3 Standard.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partitioning strategy: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Currently, all parsed records (TANF_T1, SSP_M1, etc.) share the same tables regardless of fiscal year.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 warm/cold tiering, consider PostgreSQL table partitioning by fiscal year, or moving historical parsed records to a separate read-only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Elasticsearch Index Lifecycle Management (ILM):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ADR-017 noted that Elasticsearch supports ILM policies that can move indices to cold storage.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is not yet implemented but is a built-in capability of the current OpenSearch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orphan cleanup: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current version cleanup task deletes database records but NOT S3 objects. This means orphaned files are accumulating in S3.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Any retention policy must address both the database AND S3 layers.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Cost Considerations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Cloud.gov S3 pricing follows AWS GovCloud rates. The savings from tiering can be significant: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Class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GB / Month (approx)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Retrieval Cost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submissions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Infrequent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$0.0125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$0.01/GB retrieved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FY data (warm)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Glacier Instant Retrieval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$0.03/GB retrieved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archive (cold)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Glacier Deep Archive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$0.02/GB + 12-48hr wait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NARA retention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Note: RDS (PostgreSQL) costs are driven primarily by instance size and provisioned storage, not by row count. However, large tables impact query performance, backup duration, and migration times.</w:t>
      </w:r>
    </w:p>
    <w:p>
      <w:pPr>
        <w:pBdr>
          <w:bottom w:val="single" w:color="2B579A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Key Risks to Consider Early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SORN/NARA compliance: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system is currently out of compliance with its SORN regarding data disposition. OFA needs to clarify the required retention periods before technical implementation begins.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STT audit dependency: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STTs rely on submission history metadata for jurisdiction-level audits. Archiving or deleting historical data could break this workflow if not handled carefully.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Cascade delete data loss: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current CASCADE delete pattern means deleting a DataFile removes ALL associated parsed records. Any archival strategy should export/preserve data before triggering deletion.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orphaned files: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Years of version cleanup have likely left orphaned S3 objects that no longer have corresponding database records. An S3 audit should be performed to quantify this.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rollback mechanism: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Once data is deleted from PostgreSQL, recovery requires restoring from the nightly backup. There is no soft-delete or recycle bin pattern.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Reparse dependency: 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clean-and-reparse system requires raw files in S3 to re-validate data with updated parsers. If raw files are moved to Glacier, reparse operations would require retrieval time (minutes to hours).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Recommended Approach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1: Define Policy (No Code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OFA to clarify NARA disposition schedule requirements for TANF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what constitutes "active" vs "historical" data operationally (e.g., current FY + 9-month correction window = 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Determine minimum retention periods for each data type (raw files, parsed records, error reports, submission metadata)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Clarify whether STTs need access to historical submission metadata after data is archived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2: Quick Wins (Low Effort)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S3 lifecycle policies to transition old objects to S3-IA after defined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the S3 orphan problem: update remove_all_old_versions() to also delete S3 objects when removing old database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an S3 audit to quantify orphaned objects and reclaim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admin UI controls to close submission windows per FY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3: Tiered Storage (Moderate Effort)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database-level archival: move historical FY parsed records to archive tables or a separate read-only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Elasticsearch ILM policies to move historical indices to cold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an export-before-archive mechanism to preserve data before deletion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retention configuration from hardcoded values to environment variables or admin settings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4: Full Lifecycle (Higher Effort)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S3 Glacier lifecycle for cold storage beyond compliance retention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scheduled disposal task that deletes data per NARA schedule after retention period expires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audit logging for all retention/archival/disposal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litigation/FOIA hold capability to prevent automated disposal of flagged records</w:t>
      </w:r>
    </w:p>
    <w:p>
      <w:pPr>
        <w:pBdr>
          <w:bottom w:val="single" w:color="2B579A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Questions to Raise in the Meeting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For OFA / Program 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NARA disposition schedule that applies to TANF submission data? Has OFA confirmed this with their records management office?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6-9 month correction window closes, what specific access patterns remain? (e.g., how often does OFA query FY22 data today?)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there any pending or anticipated FOIA requests, litigation holds, or Congressional inquiries that would affect data disposition timing?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submission metadata (who submitted, when, which version) be retained longer than the raw data itself?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there a need to distinguish retention policies by program type (TANF vs. SSP vs. Tribal vs. FRA)?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For Technical / Engineering 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current S3 bucket size in production? How fast is it growing quarter over quarter?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current PostgreSQL database size in production? What percentage is historical (closed FY) data?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there Cloud.gov-specific constraints on S3 lifecycle policies or Glacier access that we should be aware of?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we have monitoring in place to track storage growth trends? (ADR-022 monitoring proposal is still pending)</w:t>
      </w:r>
    </w:p>
    <w:p>
      <w:pPr>
        <w:pBdr>
          <w:bottom w:val="single" w:color="2B579A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Key Codebase References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deeper investigation, the relevant code paths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tdpservice/scheduling/datafile_retention_tasks.py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cleanup task (only existing retention logic)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tdpservice/data_files/models.py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DataFile model with S3 versioning, cascade relationships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tdpservice/common/fields.py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S3VersionedFileField - captures S3 version IDs on upload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tdpservice/search_indexes/models/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Parsed record models (TANF_T1, SSP_M1, etc.) with CASCADE FKs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tdpservice/settings/common.py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bucket config, Celery beat schedule, database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tdpservice/backends.py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storage backends (DataFilesS3Storage)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tdpservice/data_files/s3_client.py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client with version-aware download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docs/Architecture-Decision-Record/007-object-storage.md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ADR flagging indefinite retention as SORN non-compliance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docs/Architecture-Decision-Record/017-elastisearch.md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ADR noting Elasticsearch ILM for cold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docs/Security-Compliance/records-management.md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NARA records management requirements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-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B579A"/>
        <w:sz w:val="18"/>
        <w:szCs w:val="18"/>
      </w:rPr>
      <w:t xml:space="preserve">TDP Cross-Prod Meeting Brief</w:t>
    </w:r>
    <w:r>
      <w:rPr>
        <w:rFonts w:ascii="Arial" w:cs="Arial" w:eastAsia="Arial" w:hAnsi="Arial"/>
        <w:color w:val="888888"/>
        <w:sz w:val="18"/>
        <w:szCs w:val="18"/>
      </w:rPr>
      <w:t xml:space="preserve">	February 20,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2026-02-20T16:23:25.929Z</dcterms:created>
  <dcterms:modified xsi:type="dcterms:W3CDTF">2026-02-20T16:23:25.930Z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