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Heading1"/>
      </w:pPr>
      <w:r>
        <w:rPr>
          <w:rStyle w:val="Normal"/>
        </w:rPr>
        <w:t xml:space="preserve">Australia's Involvement in World War II</w:t>
      </w:r>
    </w:p>
    <w:p>
      <w:pPr>
        <w:pStyle w:val="Heading2"/>
      </w:pPr>
      <w:r>
        <w:rPr>
          <w:rStyle w:val="Normal"/>
        </w:rPr>
        <w:t xml:space="preserve">Overview</w:t>
      </w:r>
    </w:p>
    <w:p>
      <w:pPr>
        <w:pStyle w:val="Normal"/>
      </w:pPr>
      <w:r>
        <w:rPr>
          <w:rStyle w:val="Normal"/>
        </w:rPr>
        <w:t xml:space="preserve">Australia played a significant role in World War II, both in the Pacific and European theatres. This report covers various aspects of Australia's participation in the war, highlighting key events, contributions, and the impact on Australian society.</w:t>
      </w:r>
    </w:p>
    <w:p>
      <w:pPr>
        <w:pStyle w:val="Heading2"/>
      </w:pPr>
      <w:r>
        <w:rPr>
          <w:rStyle w:val="Normal"/>
        </w:rPr>
        <w:t xml:space="preserve">Table of Contents</w:t>
      </w:r>
    </w:p>
    <w:p>
      <w:pPr>
        <w:numPr>
          <w:ilvl w:val="0"/>
          <w:numId w:val="6308"/>
        </w:numPr>
        <w:pStyle w:val="ListBullet"/>
      </w:pPr>
      <w:hyperlink w:id="#prelude-to-war" w:tgtFrame="_blank">
        <w:r>
          <w:t xml:space="preserve">Prelude to War</w:t>
        </w:r>
      </w:hyperlink>
    </w:p>
    <w:p>
      <w:pPr>
        <w:numPr>
          <w:ilvl w:val="0"/>
          <w:numId w:val="6308"/>
        </w:numPr>
        <w:pStyle w:val="ListBullet"/>
      </w:pPr>
      <w:hyperlink w:id="#military-contributions" w:tgtFrame="_blank">
        <w:r>
          <w:t xml:space="preserve">Military Contributions</w:t>
        </w:r>
      </w:hyperlink>
    </w:p>
    <w:p>
      <w:pPr>
        <w:numPr>
          <w:ilvl w:val="1"/>
          <w:numId w:val="6308"/>
        </w:numPr>
        <w:pStyle w:val="ListNumber"/>
      </w:pPr>
      <w:hyperlink w:id="#european-theatre" w:tgtFrame="_blank">
        <w:r>
          <w:t xml:space="preserve">European Theatre</w:t>
        </w:r>
      </w:hyperlink>
    </w:p>
    <w:p>
      <w:pPr>
        <w:numPr>
          <w:ilvl w:val="1"/>
          <w:numId w:val="6308"/>
        </w:numPr>
        <w:pStyle w:val="ListNumber"/>
      </w:pPr>
      <w:hyperlink w:id="#pacific-theatre" w:tgtFrame="_blank">
        <w:r>
          <w:t xml:space="preserve">Pacific Theatre</w:t>
        </w:r>
      </w:hyperlink>
    </w:p>
    <w:p>
      <w:pPr>
        <w:numPr>
          <w:ilvl w:val="0"/>
          <w:numId w:val="6308"/>
        </w:numPr>
        <w:pStyle w:val="ListBullet"/>
      </w:pPr>
      <w:hyperlink w:id="#home-front" w:tgtFrame="_blank">
        <w:r>
          <w:t xml:space="preserve">Home Front</w:t>
        </w:r>
      </w:hyperlink>
    </w:p>
    <w:p>
      <w:pPr>
        <w:numPr>
          <w:ilvl w:val="0"/>
          <w:numId w:val="6308"/>
        </w:numPr>
        <w:pStyle w:val="ListBullet"/>
      </w:pPr>
      <w:hyperlink w:id="#post-war-impact" w:tgtFrame="_blank">
        <w:r>
          <w:t xml:space="preserve">Post-War Impact</w:t>
        </w:r>
      </w:hyperlink>
    </w:p>
    <w:p>
      <w:pPr>
        <w:numPr>
          <w:ilvl w:val="0"/>
          <w:numId w:val="6308"/>
        </w:numPr>
        <w:pStyle w:val="ListBullet"/>
      </w:pPr>
      <w:hyperlink w:id="#key-figures" w:tgtFrame="_blank">
        <w:r>
          <w:t xml:space="preserve">Key Figures</w:t>
        </w:r>
      </w:hyperlink>
    </w:p>
    <w:p>
      <w:pPr>
        <w:numPr>
          <w:ilvl w:val="0"/>
          <w:numId w:val="6308"/>
        </w:numPr>
        <w:pStyle w:val="ListBullet"/>
      </w:pPr>
      <w:hyperlink w:id="#references" w:tgtFrame="_blank">
        <w:r>
          <w:t xml:space="preserve">References</w:t>
        </w:r>
      </w:hyperlink>
    </w:p>
    <w:p>
      <w:pPr>
        <w:pStyle w:val="Heading2"/>
      </w:pPr>
      <w:r>
        <w:rPr>
          <w:rStyle w:val="Normal"/>
        </w:rPr>
        <w:t xml:space="preserve">Prelude to War</w:t>
      </w:r>
    </w:p>
    <w:p>
      <w:pPr>
        <w:pStyle w:val="Heading3"/>
      </w:pPr>
      <w:r>
        <w:rPr>
          <w:rStyle w:val="Normal"/>
        </w:rPr>
        <w:t xml:space="preserve">Political Context</w:t>
      </w:r>
    </w:p>
    <w:p>
      <w:pPr>
        <w:numPr>
          <w:ilvl w:val="0"/>
          <w:numId w:val="3423"/>
        </w:numPr>
        <w:pStyle w:val="ListNumber"/>
      </w:pPr>
      <w:r>
        <w:rPr>
          <w:rStyle w:val="Strong"/>
          <w:b/>
        </w:rPr>
        <w:t xml:space="preserve">Australia</w:t>
      </w:r>
      <w:r>
        <w:rPr>
          <w:rStyle w:val="Normal"/>
        </w:rPr>
        <w:t xml:space="preserve"> declared war on Germany on 3 September 1939, following the United Kingdom's declaration.</w:t>
      </w:r>
    </w:p>
    <w:p>
      <w:pPr>
        <w:numPr>
          <w:ilvl w:val="0"/>
          <w:numId w:val="3423"/>
        </w:numPr>
        <w:pStyle w:val="ListNumber"/>
      </w:pPr>
      <w:r>
        <w:rPr>
          <w:rStyle w:val="Normal"/>
        </w:rPr>
        <w:t xml:space="preserve">Prime Minister </w:t>
      </w:r>
      <w:r>
        <w:rPr>
          <w:rStyle w:val="Strong"/>
          <w:b/>
        </w:rPr>
        <w:t xml:space="preserve">Robert Menzies</w:t>
      </w:r>
      <w:r>
        <w:rPr>
          <w:rStyle w:val="Normal"/>
        </w:rPr>
        <w:t xml:space="preserve"> announced the declaration on national radio.</w:t>
      </w:r>
    </w:p>
    <w:p>
      <w:pPr>
        <w:pStyle w:val="Normal"/>
      </w:pPr>
      <w:r>
        <w:rPr>
          <w:rStyle w:val="Normal"/>
        </w:rPr>
        <w:t xml:space="preserve">"Fellow Australians, it is my melancholy duty to inform you officially that in consequence of a persistence by Germany in her invasion of Poland, Great Britain has declared war upon her and that, as a result, Australia is also at war." - Robert Menzies</w:t>
      </w:r>
    </w:p>
    <w:p>
      <w:pPr>
        <w:pStyle w:val="Heading3"/>
      </w:pPr>
      <w:r>
        <w:rPr>
          <w:rStyle w:val="Normal"/>
        </w:rPr>
        <w:t xml:space="preserve">Early Preparations</w:t>
      </w:r>
    </w:p>
    <w:p>
      <w:pPr>
        <w:numPr>
          <w:ilvl w:val="0"/>
          <w:numId w:val="9129"/>
        </w:numPr>
        <w:pStyle w:val="ListNumber"/>
      </w:pPr>
      <w:r>
        <w:rPr>
          <w:rStyle w:val="Normal"/>
        </w:rPr>
        <w:t xml:space="preserve">Australia began mobilizing its military forces and implemented measures for the defense of the nation.</w:t>
      </w:r>
    </w:p>
    <w:p>
      <w:pPr>
        <w:numPr>
          <w:ilvl w:val="0"/>
          <w:numId w:val="9129"/>
        </w:numPr>
        <w:pStyle w:val="ListNumber"/>
      </w:pPr>
      <w:r>
        <w:rPr>
          <w:rStyle w:val="Normal"/>
        </w:rPr>
        <w:t xml:space="preserve">The Australian government introduced </w:t>
      </w:r>
      <w:r>
        <w:rPr>
          <w:rStyle w:val="Strong"/>
          <w:b/>
        </w:rPr>
        <w:t xml:space="preserve">conscription</w:t>
      </w:r>
      <w:r>
        <w:rPr>
          <w:rStyle w:val="Normal"/>
        </w:rPr>
        <w:t xml:space="preserve"> for home defense but initially relied on volunteers for overseas service.</w:t>
      </w:r>
    </w:p>
    <w:p>
      <w:pPr>
        <w:pStyle w:val="Heading2"/>
      </w:pPr>
      <w:r>
        <w:rPr>
          <w:rStyle w:val="Normal"/>
        </w:rPr>
        <w:t xml:space="preserve">Military Contributions</w:t>
      </w:r>
    </w:p>
    <w:p>
      <w:pPr>
        <w:pStyle w:val="Heading3"/>
      </w:pPr>
      <w:r>
        <w:rPr>
          <w:rStyle w:val="Normal"/>
        </w:rPr>
        <w:t xml:space="preserve">European Theatre</w:t>
      </w:r>
    </w:p>
    <w:p>
      <w:pPr>
        <w:pStyle w:val="Heading4"/>
      </w:pPr>
      <w:r>
        <w:rPr>
          <w:rStyle w:val="Normal"/>
        </w:rPr>
        <w:t xml:space="preserve">North Africa</w:t>
      </w:r>
    </w:p>
    <w:p>
      <w:pPr>
        <w:numPr>
          <w:ilvl w:val="0"/>
          <w:numId w:val="1134"/>
        </w:numPr>
        <w:pStyle w:val="ListNumber"/>
      </w:pPr>
      <w:r>
        <w:rPr>
          <w:rStyle w:val="Normal"/>
        </w:rPr>
        <w:t xml:space="preserve">Australian forces were involved in significant campaigns in North Africa, including the </w:t>
      </w:r>
      <w:r>
        <w:rPr>
          <w:rStyle w:val="Strong"/>
          <w:b/>
        </w:rPr>
        <w:t xml:space="preserve">Siege of Tobruk</w:t>
      </w:r>
      <w:r>
        <w:rPr>
          <w:rStyle w:val="Normal"/>
        </w:rPr>
        <w:t xml:space="preserve"> and the </w:t>
      </w:r>
      <w:r>
        <w:rPr>
          <w:rStyle w:val="Strong"/>
          <w:b/>
        </w:rPr>
        <w:t xml:space="preserve">Second Battle of El Alamein</w:t>
      </w:r>
      <w:r>
        <w:rPr>
          <w:rStyle w:val="Normal"/>
        </w:rPr>
        <w:t xml:space="preserve">.
</w:t>
      </w:r>
    </w:p>
    <w:p>
      <w:pPr>
        <w:numPr>
          <w:ilvl w:val="1"/>
          <w:numId w:val="1134"/>
        </w:numPr>
        <w:pStyle w:val="ListNumber"/>
      </w:pPr>
      <w:r>
        <w:rPr>
          <w:rStyle w:val="Normal"/>
        </w:rPr>
        <w:t xml:space="preserve">The </w:t>
      </w:r>
      <w:r>
        <w:rPr>
          <w:rStyle w:val="Strong"/>
          <w:b/>
        </w:rPr>
        <w:t xml:space="preserve">9th Division</w:t>
      </w:r>
      <w:r>
        <w:rPr>
          <w:rStyle w:val="Normal"/>
        </w:rPr>
        <w:t xml:space="preserve"> played a crucial role in these battles.</w:t>
      </w:r>
    </w:p>
    <w:p>
      <w:pPr>
        <w:numPr>
          <w:ilvl w:val="0"/>
          <w:numId w:val="1134"/>
        </w:numPr>
        <w:pStyle w:val="ListNumber"/>
      </w:pPr>
      <w:r>
        <w:rPr>
          <w:rStyle w:val="Normal"/>
        </w:rPr>
        <w:t xml:space="preserve">Australians also fought in Greece and Crete, facing a challenging campaign against German forces.</w:t>
      </w:r>
    </w:p>
    <w:p>
      <w:pPr>
        <w:pStyle w:val="Heading4"/>
      </w:pPr>
      <w:r>
        <w:rPr>
          <w:rStyle w:val="Normal"/>
        </w:rPr>
        <w:t xml:space="preserve">Key Battles</w:t>
      </w:r>
    </w:p>
    <w:p>
      <w:pPr>
        <w:numPr>
          <w:ilvl w:val="0"/>
          <w:numId w:val="2768"/>
        </w:numPr>
        <w:pStyle w:val="ListBullet"/>
      </w:pPr>
      <w:r>
        <w:rPr>
          <w:rStyle w:val="Strong"/>
          <w:b/>
        </w:rPr>
        <w:t xml:space="preserve">Battle of Greece</w:t>
      </w:r>
      <w:r>
        <w:rPr>
          <w:rStyle w:val="Normal"/>
        </w:rPr>
        <w:t xml:space="preserve"> (1941)</w:t>
      </w:r>
    </w:p>
    <w:p>
      <w:pPr>
        <w:numPr>
          <w:ilvl w:val="0"/>
          <w:numId w:val="2768"/>
        </w:numPr>
        <w:pStyle w:val="ListBullet"/>
      </w:pPr>
      <w:r>
        <w:rPr>
          <w:rStyle w:val="Strong"/>
          <w:b/>
        </w:rPr>
        <w:t xml:space="preserve">Siege of Tobruk</w:t>
      </w:r>
      <w:r>
        <w:rPr>
          <w:rStyle w:val="Normal"/>
        </w:rPr>
        <w:t xml:space="preserve"> (1941)</w:t>
      </w:r>
    </w:p>
    <w:p>
      <w:pPr>
        <w:numPr>
          <w:ilvl w:val="0"/>
          <w:numId w:val="2768"/>
        </w:numPr>
        <w:pStyle w:val="ListBullet"/>
      </w:pPr>
      <w:r>
        <w:rPr>
          <w:rStyle w:val="Strong"/>
          <w:b/>
        </w:rPr>
        <w:t xml:space="preserve">Second Battle of El Alamein</w:t>
      </w:r>
      <w:r>
        <w:rPr>
          <w:rStyle w:val="Normal"/>
        </w:rPr>
        <w:t xml:space="preserve"> (1942)</w:t>
      </w:r>
    </w:p>
    <w:p>
      <w:pPr>
        <w:pStyle w:val="Heading3"/>
      </w:pPr>
      <w:r>
        <w:rPr>
          <w:rStyle w:val="Normal"/>
        </w:rPr>
        <w:t xml:space="preserve">Pacific Theatre</w:t>
      </w:r>
    </w:p>
    <w:p>
      <w:pPr>
        <w:pStyle w:val="Heading4"/>
      </w:pPr>
      <w:r>
        <w:rPr>
          <w:rStyle w:val="Normal"/>
        </w:rPr>
        <w:t xml:space="preserve">Initial Engagements</w:t>
      </w:r>
    </w:p>
    <w:p>
      <w:pPr>
        <w:numPr>
          <w:ilvl w:val="0"/>
          <w:numId w:val="5409"/>
        </w:numPr>
        <w:pStyle w:val="ListNumber"/>
      </w:pPr>
      <w:r>
        <w:rPr>
          <w:rStyle w:val="Normal"/>
        </w:rPr>
        <w:t xml:space="preserve">Following Japan's entry into the war, Australia faced direct threats to its territory.</w:t>
      </w:r>
    </w:p>
    <w:p>
      <w:pPr>
        <w:numPr>
          <w:ilvl w:val="0"/>
          <w:numId w:val="5409"/>
        </w:numPr>
        <w:pStyle w:val="ListNumber"/>
      </w:pPr>
      <w:r>
        <w:rPr>
          <w:rStyle w:val="Normal"/>
        </w:rPr>
        <w:t xml:space="preserve">The </w:t>
      </w:r>
      <w:r>
        <w:rPr>
          <w:rStyle w:val="Strong"/>
          <w:b/>
        </w:rPr>
        <w:t xml:space="preserve">Fall of Singapore</w:t>
      </w:r>
      <w:r>
        <w:rPr>
          <w:rStyle w:val="Normal"/>
        </w:rPr>
        <w:t xml:space="preserve"> in 1942 was a significant blow, resulting in many Australian soldiers becoming prisoners of war.</w:t>
      </w:r>
    </w:p>
    <w:p>
      <w:pPr>
        <w:pStyle w:val="Heading4"/>
      </w:pPr>
      <w:r>
        <w:rPr>
          <w:rStyle w:val="Normal"/>
        </w:rPr>
        <w:t xml:space="preserve">Defense of Australia</w:t>
      </w:r>
    </w:p>
    <w:p>
      <w:pPr>
        <w:numPr>
          <w:ilvl w:val="0"/>
          <w:numId w:val="2030"/>
        </w:numPr>
        <w:pStyle w:val="ListNumber"/>
      </w:pPr>
      <w:r>
        <w:rPr>
          <w:rStyle w:val="Normal"/>
        </w:rPr>
        <w:t xml:space="preserve">The </w:t>
      </w:r>
      <w:r>
        <w:rPr>
          <w:rStyle w:val="Strong"/>
          <w:b/>
        </w:rPr>
        <w:t xml:space="preserve">Battle of the Coral Sea</w:t>
      </w:r>
      <w:r>
        <w:rPr>
          <w:rStyle w:val="Normal"/>
        </w:rPr>
        <w:t xml:space="preserve"> (May 1942) marked the turning point in the Pacific, with Australian and American forces halting the Japanese advance.</w:t>
      </w:r>
    </w:p>
    <w:p>
      <w:pPr>
        <w:numPr>
          <w:ilvl w:val="0"/>
          <w:numId w:val="2030"/>
        </w:numPr>
        <w:pStyle w:val="ListNumber"/>
      </w:pPr>
      <w:r>
        <w:rPr>
          <w:rStyle w:val="Normal"/>
        </w:rPr>
        <w:t xml:space="preserve">Australian troops were also involved in the </w:t>
      </w:r>
      <w:r>
        <w:rPr>
          <w:rStyle w:val="Strong"/>
          <w:b/>
        </w:rPr>
        <w:t xml:space="preserve">New Guinea Campaign</w:t>
      </w:r>
      <w:r>
        <w:rPr>
          <w:rStyle w:val="Normal"/>
        </w:rPr>
        <w:t xml:space="preserve">, notably the </w:t>
      </w:r>
      <w:r>
        <w:rPr>
          <w:rStyle w:val="Strong"/>
          <w:b/>
        </w:rPr>
        <w:t xml:space="preserve">Kokoda Track Campaign</w:t>
      </w:r>
      <w:r>
        <w:rPr>
          <w:rStyle w:val="Normal"/>
        </w:rPr>
        <w:t xml:space="preserve">.</w:t>
      </w:r>
    </w:p>
    <w:p>
      <w:pPr>
        <w:pStyle w:val="Heading2"/>
      </w:pPr>
      <w:r>
        <w:rPr>
          <w:rStyle w:val="Normal"/>
        </w:rPr>
        <w:t xml:space="preserve">Home Front</w:t>
      </w:r>
    </w:p>
    <w:p>
      <w:pPr>
        <w:pStyle w:val="Heading3"/>
      </w:pPr>
      <w:r>
        <w:rPr>
          <w:rStyle w:val="Normal"/>
        </w:rPr>
        <w:t xml:space="preserve">Economic Measures</w:t>
      </w:r>
    </w:p>
    <w:p>
      <w:pPr>
        <w:numPr>
          <w:ilvl w:val="0"/>
          <w:numId w:val="2827"/>
        </w:numPr>
        <w:pStyle w:val="ListNumber"/>
      </w:pPr>
      <w:r>
        <w:rPr>
          <w:rStyle w:val="Normal"/>
        </w:rPr>
        <w:t xml:space="preserve">The war led to significant changes in Australia's economy.</w:t>
      </w:r>
    </w:p>
    <w:p>
      <w:pPr>
        <w:numPr>
          <w:ilvl w:val="0"/>
          <w:numId w:val="2827"/>
        </w:numPr>
        <w:pStyle w:val="ListNumber"/>
      </w:pPr>
      <w:r>
        <w:rPr>
          <w:rStyle w:val="Strong"/>
          <w:b/>
        </w:rPr>
        <w:t xml:space="preserve">Rationing</w:t>
      </w:r>
      <w:r>
        <w:rPr>
          <w:rStyle w:val="Normal"/>
        </w:rPr>
        <w:t xml:space="preserve"> was introduced to manage shortages of essential goods.</w:t>
      </w:r>
    </w:p>
    <w:p>
      <w:pPr>
        <w:numPr>
          <w:ilvl w:val="0"/>
          <w:numId w:val="2827"/>
        </w:numPr>
        <w:pStyle w:val="ListNumber"/>
      </w:pPr>
      <w:r>
        <w:rPr>
          <w:rStyle w:val="Normal"/>
        </w:rPr>
        <w:t xml:space="preserve">The government also encouraged </w:t>
      </w:r>
      <w:r>
        <w:rPr>
          <w:rStyle w:val="Strong"/>
          <w:b/>
        </w:rPr>
        <w:t xml:space="preserve">war bonds</w:t>
      </w:r>
      <w:r>
        <w:rPr>
          <w:rStyle w:val="Normal"/>
        </w:rPr>
        <w:t xml:space="preserve"> and </w:t>
      </w:r>
      <w:r>
        <w:rPr>
          <w:rStyle w:val="Strong"/>
          <w:b/>
        </w:rPr>
        <w:t xml:space="preserve">savings programs</w:t>
      </w:r>
      <w:r>
        <w:rPr>
          <w:rStyle w:val="Normal"/>
        </w:rPr>
        <w:t xml:space="preserve"> to support the war effort.</w:t>
      </w:r>
    </w:p>
    <w:p>
      <w:pPr>
        <w:pStyle w:val="Heading3"/>
      </w:pPr>
      <w:r>
        <w:rPr>
          <w:rStyle w:val="Normal"/>
        </w:rPr>
        <w:t xml:space="preserve">Social Changes</w:t>
      </w:r>
    </w:p>
    <w:p>
      <w:pPr>
        <w:numPr>
          <w:ilvl w:val="0"/>
          <w:numId w:val="2397"/>
        </w:numPr>
        <w:pStyle w:val="ListNumber"/>
      </w:pPr>
      <w:r>
        <w:rPr>
          <w:rStyle w:val="Normal"/>
        </w:rPr>
        <w:t xml:space="preserve">The role of women in the workforce expanded significantly, with many taking on jobs traditionally held by men.
</w:t>
      </w:r>
    </w:p>
    <w:p>
      <w:pPr>
        <w:numPr>
          <w:ilvl w:val="1"/>
          <w:numId w:val="2397"/>
        </w:numPr>
        <w:pStyle w:val="ListNumber"/>
      </w:pPr>
      <w:r>
        <w:rPr>
          <w:rStyle w:val="Normal"/>
        </w:rPr>
        <w:t xml:space="preserve">The establishment of the </w:t>
      </w:r>
      <w:r>
        <w:rPr>
          <w:rStyle w:val="Strong"/>
          <w:b/>
        </w:rPr>
        <w:t xml:space="preserve">Australian Women's Army Service</w:t>
      </w:r>
      <w:r>
        <w:rPr>
          <w:rStyle w:val="Normal"/>
        </w:rPr>
        <w:t xml:space="preserve"> (AWAS) and the </w:t>
      </w:r>
      <w:r>
        <w:rPr>
          <w:rStyle w:val="Strong"/>
          <w:b/>
        </w:rPr>
        <w:t xml:space="preserve">Women's Auxiliary Australian Air Force</w:t>
      </w:r>
      <w:r>
        <w:rPr>
          <w:rStyle w:val="Normal"/>
        </w:rPr>
        <w:t xml:space="preserve"> (WAAAF) marked key developments.
</w:t>
      </w:r>
    </w:p>
    <w:p>
      <w:pPr>
        <w:numPr>
          <w:ilvl w:val="2"/>
          <w:numId w:val="2397"/>
        </w:numPr>
        <w:pStyle w:val="ListNumber"/>
      </w:pPr>
      <w:r>
        <w:rPr>
          <w:rStyle w:val="Normal"/>
        </w:rPr>
        <w:t xml:space="preserve">this is a third level bullet point</w:t>
      </w:r>
    </w:p>
    <w:p>
      <w:pPr>
        <w:numPr>
          <w:ilvl w:val="1"/>
          <w:numId w:val="2397"/>
        </w:numPr>
        <w:pStyle w:val="ListNumber"/>
      </w:pPr>
      <w:r>
        <w:rPr>
          <w:rStyle w:val="Normal"/>
        </w:rPr>
        <w:t xml:space="preserve">this is a third level bullet point</w:t>
      </w:r>
    </w:p>
    <w:p>
      <w:pPr>
        <w:pStyle w:val="Heading2"/>
      </w:pPr>
      <w:r>
        <w:rPr>
          <w:rStyle w:val="Normal"/>
        </w:rPr>
        <w:t xml:space="preserve">Post-War Impact</w:t>
      </w:r>
    </w:p>
    <w:p>
      <w:pPr>
        <w:pStyle w:val="Heading3"/>
      </w:pPr>
      <w:r>
        <w:rPr>
          <w:rStyle w:val="Normal"/>
        </w:rPr>
        <w:t xml:space="preserve">Veterans' Return</w:t>
      </w:r>
    </w:p>
    <w:p>
      <w:pPr>
        <w:numPr>
          <w:ilvl w:val="0"/>
          <w:numId w:val="8000"/>
        </w:numPr>
        <w:pStyle w:val="ListNumber"/>
      </w:pPr>
      <w:r>
        <w:rPr>
          <w:rStyle w:val="Normal"/>
        </w:rPr>
        <w:t xml:space="preserve">The return of service members to civilian life posed challenges, including employment and psychological adjustment.</w:t>
      </w:r>
    </w:p>
    <w:p>
      <w:pPr>
        <w:numPr>
          <w:ilvl w:val="0"/>
          <w:numId w:val="8000"/>
        </w:numPr>
        <w:pStyle w:val="ListNumber"/>
      </w:pPr>
      <w:r>
        <w:rPr>
          <w:rStyle w:val="Normal"/>
        </w:rPr>
        <w:t xml:space="preserve">The government implemented various support programs, including the </w:t>
      </w:r>
      <w:r>
        <w:rPr>
          <w:rStyle w:val="Strong"/>
          <w:b/>
        </w:rPr>
        <w:t xml:space="preserve">Repatriation Department</w:t>
      </w:r>
      <w:r>
        <w:rPr>
          <w:rStyle w:val="Normal"/>
        </w:rPr>
        <w:t xml:space="preserve">.</w:t>
      </w:r>
    </w:p>
    <w:p>
      <w:pPr>
        <w:pStyle w:val="Heading3"/>
      </w:pPr>
      <w:r>
        <w:rPr>
          <w:rStyle w:val="Normal"/>
        </w:rPr>
        <w:t xml:space="preserve">Economic Growth</w:t>
      </w:r>
    </w:p>
    <w:p>
      <w:pPr>
        <w:numPr>
          <w:ilvl w:val="0"/>
          <w:numId w:val="2926"/>
        </w:numPr>
        <w:pStyle w:val="ListNumber"/>
      </w:pPr>
      <w:r>
        <w:rPr>
          <w:rStyle w:val="Normal"/>
        </w:rPr>
        <w:t xml:space="preserve">Post-war Australia experienced significant economic growth and industrial expansion.</w:t>
      </w:r>
    </w:p>
    <w:p>
      <w:pPr>
        <w:numPr>
          <w:ilvl w:val="0"/>
          <w:numId w:val="2926"/>
        </w:numPr>
        <w:pStyle w:val="ListNumber"/>
      </w:pPr>
      <w:r>
        <w:rPr>
          <w:rStyle w:val="Normal"/>
        </w:rPr>
        <w:t xml:space="preserve">Immigration policies were relaxed, leading to a large influx of immigrants, which contributed to the nation's growth.</w:t>
      </w:r>
    </w:p>
    <w:p>
      <w:pPr>
        <w:pStyle w:val="Heading2"/>
      </w:pPr>
      <w:r>
        <w:rPr>
          <w:rStyle w:val="Normal"/>
        </w:rPr>
        <w:t xml:space="preserve">Key Figures</w:t>
      </w:r>
    </w:p>
    <w:p>
      <w:pPr>
        <w:numPr>
          <w:ilvl w:val="0"/>
          <w:numId w:val="9378"/>
        </w:numPr>
        <w:pStyle w:val="ListNumber"/>
      </w:pPr>
      <w:r>
        <w:rPr>
          <w:rStyle w:val="Strong"/>
          <w:b/>
        </w:rPr>
        <w:t xml:space="preserve">Robert Menzies</w:t>
      </w:r>
      <w:r>
        <w:rPr>
          <w:rStyle w:val="Normal"/>
        </w:rPr>
        <w:t xml:space="preserve"> - Prime Minister at the outbreak of the war.</w:t>
      </w:r>
    </w:p>
    <w:p>
      <w:pPr>
        <w:numPr>
          <w:ilvl w:val="0"/>
          <w:numId w:val="9378"/>
        </w:numPr>
        <w:pStyle w:val="ListNumber"/>
      </w:pPr>
      <w:r>
        <w:rPr>
          <w:rStyle w:val="Strong"/>
          <w:b/>
        </w:rPr>
        <w:t xml:space="preserve">John Curtin</w:t>
      </w:r>
      <w:r>
        <w:rPr>
          <w:rStyle w:val="Normal"/>
        </w:rPr>
        <w:t xml:space="preserve"> - Prime Minister during critical war years, known for his leadership.</w:t>
      </w:r>
    </w:p>
    <w:p>
      <w:pPr>
        <w:numPr>
          <w:ilvl w:val="0"/>
          <w:numId w:val="9378"/>
        </w:numPr>
        <w:pStyle w:val="ListNumber"/>
      </w:pPr>
      <w:r>
        <w:rPr>
          <w:rStyle w:val="Strong"/>
          <w:b/>
        </w:rPr>
        <w:t xml:space="preserve">General Sir Thomas Blamey</w:t>
      </w:r>
      <w:r>
        <w:rPr>
          <w:rStyle w:val="Normal"/>
        </w:rPr>
        <w:t xml:space="preserve"> - Commander of Australian forces in the Middle East and later in the Pacific.</w:t>
      </w:r>
    </w:p>
    <w:p>
      <w:pPr>
        <w:pStyle w:val="Heading2"/>
      </w:pPr>
      <w:r>
        <w:rPr>
          <w:rStyle w:val="Normal"/>
        </w:rPr>
        <w:t xml:space="preserve">References</w:t>
      </w:r>
    </w:p>
    <w:p>
      <w:pPr>
        <w:numPr>
          <w:ilvl w:val="0"/>
          <w:numId w:val="2783"/>
        </w:numPr>
        <w:pStyle w:val="ListBullet"/>
      </w:pPr>
      <w:r>
        <w:rPr>
          <w:rStyle w:val="Normal"/>
        </w:rPr>
        <w:t xml:space="preserve">Australian War Memorial. </w:t>
      </w:r>
      <w:hyperlink w:id="https://www.awm.gov.au/articles/second-world-war" w:tgtFrame="_blank">
        <w:r>
          <w:t xml:space="preserve">Australia's War 1939-1945</w:t>
        </w:r>
      </w:hyperlink>
    </w:p>
    <w:p>
      <w:pPr>
        <w:numPr>
          <w:ilvl w:val="0"/>
          <w:numId w:val="2783"/>
        </w:numPr>
        <w:pStyle w:val="ListBullet"/>
      </w:pPr>
      <w:r>
        <w:rPr>
          <w:rStyle w:val="Normal"/>
        </w:rPr>
        <w:t xml:space="preserve">Department of Veterans' Affairs. </w:t>
      </w:r>
      <w:hyperlink w:id="https://anzacportal.dva.gov.au/wars-and-missions/ww2" w:tgtFrame="_blank">
        <w:r>
          <w:t xml:space="preserve">Australia and the Second World War</w:t>
        </w:r>
      </w:hyperlink>
    </w:p>
    <w:p>
      <w:pPr>
        <w:numPr>
          <w:ilvl w:val="0"/>
          <w:numId w:val="2783"/>
        </w:numPr>
        <w:pStyle w:val="ListBullet"/>
      </w:pPr>
      <w:r>
        <w:rPr>
          <w:rStyle w:val="Normal"/>
        </w:rPr>
        <w:t xml:space="preserve">"The Second World War and Australia," Australian Government.</w:t>
      </w:r>
    </w:p>
    <w:p>
      <w:pPr>
        <w:pStyle w:val="Normal"/>
      </w:pPr>
      <w:r>
        <w:rPr>
          <w:rStyle w:val="Strong"/>
          <w:b/>
        </w:rPr>
        <w:t xml:space="preserve">Note</w:t>
      </w:r>
      <w:r>
        <w:rPr>
          <w:rStyle w:val="Normal"/>
        </w:rPr>
        <w:t xml:space="preserve">: This report provides a comprehensive overview of Australia's involvement in World War II. For further reading, consider exploring the references listed above.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