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Variable Reference and Data Dictionary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Variable Name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data_year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Academic year of assessment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district_id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Unique district identifier (district number + district type)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Constructed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school_id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Unique school identifier (district_id + school number)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Constructed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school_name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School name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district_type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District organizational type (1, 3 = traditional public; 7 = charter)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MDE codes (from `District Type` column)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is_charter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Indicator for charter school (1 = charter; 0 = traditional public)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Derived from district_type (7 =&gt; 1; 1/3 =&gt; 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school_classification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School classification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MDE codes; constant = 10 in this elementary-only analytic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n_​elem_​schools_​in_​district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Number of elementary schools in district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single_elem_dist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Indicator for single-elementary-school district (1=yes)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per_proficient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Percent proficient in reading all grades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MCA Reading (All Grades, All students); 6 suppressed/blank values converted to NA and excluded from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total_enroll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Total school enrollment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per_frpl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Percent eligible for FRPL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Top-coded at 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per_ell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Percent English learners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per_sped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Percent special education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Grade tested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Constant = 'All Grades' (aggregated across tested grades to reduce suppression)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Subject tested (Reading)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Constant = 'Reading'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student_group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Student group (All students)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Constant = 'All students'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total_tested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Number of students tested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Number tested (All Grades, All students)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valid_scores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Count of valid MCA scores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Count of valid MCA scores (All Grades, All students)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