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Minnesota MCA Reading Achievement Analysis for Grades 3-5 in School Year 24-25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Author: Matt Berg-Wall</w:t>
        <w:br w:type="textWrapping"/>
        <w:t xml:space="preserve">Date: March 13,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analysis examines whether district elementary-school structure moderates the association between poverty and school-level reading proficiency on Minnesota’s MCA Reading assessment. The outcome is percent proficient at the school level, aggregated across tested grades 3-5 to reduce count-too-small-to-report (CTSTR) suppression. The central hypothesis is a buffering effect: as poverty increases, proficiency declines, but the decline is less steep for schools located in very small districts (districts with 1–3 elementary schools) than for schools in medium+ districts (districts with 4+ elementary schools).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Key finding (all elementary schools, with charter status controlled and district-clustered standard errors): the interaction between poverty (FRPL) and the 1–3 vs 4+ district structure indicator is positive and statistically significant (estimate ≈ 0.188; p ≈ 2.3e-06), consistent with a buffering effect.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Collect Data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Imported the most updated Excel file containing elementary-school MCA Reading proficiency and school/district covariates.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the imported object size and field names (initially 908 rows × 20 columns).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key identifiers for merges/joins and later auditing: district_ID and school_ID.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Preliminary Checks for Data Quality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Confirmed that the dataset contains only elementary schools (School Classification = 10) and the intended reporting level (All Grades; All students).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Converted the outcome (Per_Proficient) to numeric and identified 6 schools with missing/suppressed proficiency.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charter indicator (is_charter) using District Type (7 = charter; 1 and 3 = traditional).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two analysis subsets: all schools (mn_all; N = 902 after outcome filtering) and traditional-only (mn_trad; N = 766).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3. Diagnose Relationships and Candidate Predictors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Summarized distributions for the outcome and core covariates: proficiency, FRPL, enrollment, % students of color, ELL, and special education.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district elementary-school counts and the prevalence of single-elementary districts within the traditional subset.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 that the district elementary-school count is right-skewed (1 to 40), motivating later checks of log and binned specifications.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4. Missingness Diagnostics and Remedial Measures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Quantified missingness in key covariates (traditional subset): Per_ELL (19), Per_FRPL (5), Per_SpEd (5); 24 schools missing at least one of these.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missingness flags (FRPL_miss, ELL_miss, SpEd_miss) and tested whether missingness was related to single-elementary status (it was similar across groups).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Compared schools with any missing covariate to those without: missingness cases tended to be smaller and higher proficiency, consistent with small-N reporting artifacts.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a district coverage check (n_schools_in_file vs n_elem_schools_in_district) after dropping the 6 missing outcome cases: 323 districts matched, 3 were short by one school; none had extra schools.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5. Baseline Models and Initial Interaction Test (Traditional Schools)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 a baseline OLS model on traditional schools with core predictors (Single_Elem_Dist, FRPL, enrollment, % students of color).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Centered FRPL (Per_FRPL_c) to make main effects interpretable at average poverty.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Tested the theory-driven interaction Single_Elem_Dist × FRPL; the interaction was positive and statistically significant, supporting a buffering interpretation.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6. Curvature/Gradient vs Threshold: Continuum, Bins, and Model Selection (Traditional Schools)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Explored a continuous size gradient using log(n_elem_schools_in_district); found a significant log_n_elem × FRPL interaction indicating the poverty penalty steepens as districts have more elementaries.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Introduced an interpretable binned specification for district elementary count: 1, 2–3, 4–6, 7–10, 11+.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Derived FRPL slopes by bin and observed a clear threshold pattern: 1 vs 2–3 were similar; 4+ bins had substantially steeper poverty slopes.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Collapsed bins into a parsimonious threshold indicator small_1to3 (1–3 vs 4+) and compared against the multi-bin model. Although bins improved RSS, AIC/BIC favored the simpler threshold model due to added parameters.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7. Model Diagnostics: Residuals, Influence, and Collinearity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standard diagnostic plots (Residuals vs Fitted; Q–Q; Scale–Location; Residuals vs Leverage) and found no major violations; mild tail deviations and a few higher-leverage points.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influence sensitivity checks using Cook’s distance: dropping the top 2 and top 5 influential observations yielded nearly identical interaction estimates, confirming robustness.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Evaluated multicollinearity via VIF in the final all-schools model: moderate overlap for FRPL and % students of color (VIF ≈ 5), not extreme; interaction VIF ≈ 2.3.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8. Cluster-Robust Inference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Recognized non-independence of schools within districts; computed district-clustered standard errors via vcovCL and coeftest.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Re-evaluated key terms under clustered SEs; the core buffering interaction remained statistically significant across specifications.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9. Validity Checks and Generalization to Charters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Re-estimated the threshold interaction model in the full sample (mn_all_imp; N = 902) controlling for is_charter; the small_1to3 × FRPL interaction remained significant (estimate ≈ 0.188).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Attempted a 3-way interaction small_1to3 × FRPL × charter; found it was not estimable because no charter schools occur in 4+ elementary districts (structural zero cell).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small districts only (1–3 elementaries), tested FRPL × charter; the difference in poverty slope between charters and traditional schools was small and not statistically significant (≈ −0.062; p ≈ 0.345).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10. Final Reporting Model and Communication Artifact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Adopted the all-schools threshold interaction model with clustered SEs as the primary reporting model.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a communication artifact (predicted proficiency at FRPL = 20, 40, 60, 80) comparing small-districted vs medium+ district schools, holding other covariates at their means.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Summarized variance explained by modeling blocks (R²): FRPL alone ≈ 0.663; baseline controls +0.028; composition block (ELL + % students of color) +0.015; small_1to3 main effect +0.0017; interaction +0.014; final R² ≈ 0.722.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Key Tables and Reportable Quantities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Table 1. FRPL slope by district elementary-count bin (traditional schools, imputed)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District elementary-count bin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Estimated FRPL slope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 +10 FRPL points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-0.302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-3.02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-0.343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-3.43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-0.591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-5.91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7–10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-0.460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-4.60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11+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-0.558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-5.58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Note: more negative slopes indicate a steeper poverty-associated decline in proficiency.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Table 2. Model selection: threshold vs multi-bin (traditional schools, imputed)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RSS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AIC / BIC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Binary threshold: small_1to3 × FRPL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766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53144.64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AIC 5445.340; BIC 5501.034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Multi-bin: n_elem_bin × FRPL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766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52497.28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AIC 5447.952; BIC 5531.493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Table 3. Final model—key terms (all schools; clustered SEs)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Estimate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Cluster SE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p-value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small_1to3 × FRPL (Per_FRPL_c_imp)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0.188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0.040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2.34e-06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FRPL main effect (Per_FRPL_c_imp)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-0.519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0.047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Charter indicator (is_charter)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-2.151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1.329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0.106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Table 4. Influence sensitivity (all schools; clustered SEs)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Estimate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p-value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Full sample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0.188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0.040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2.34e-06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Drop top 2 Cook’s D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0.187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0.039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2.41e-06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Drop top 5 Cook’s D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0.179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0.038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3.06e-06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Across Minnesota elementary schools, higher poverty (FRPL) is strongly associated with lower reading proficiency. However, the poverty–proficiency association depends on district elementary-school structure. In the final all-schools model (with charter status, enrollment, composition, ELL, and special education controls, and district-clustered standard errors), the interaction between FRPL and the small-district indicator (districts with 1–3 elementary schools) is positive and statistically significant (β ≈ 0.188; p ≈ 2.3×10⁻⁶). This indicates that as poverty rises, proficiency declines less steeply in small districts than in medium+ districts (4+ elementaries). Sensitivity checks dropping the most influential observations yield nearly identical interaction estimates, supporting the robustness of this result.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