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80"/>
      </w:pPr>
      <w:r>
        <w:rPr>
          <w:b/>
          <w:color w:val="1F4E79"/>
          <w:sz w:val="30"/>
        </w:rPr>
        <w:t xml:space="preserve">Grilles d'évaluation capacitaires — Module M23 : Langue vivante étrangère (Anglais)</w:t>
      </w:r>
    </w:p>
    <w:p>
      <w:pPr>
        <w:spacing w:before="30" w:after="50"/>
      </w:pPr>
      <w:r>
        <w:rPr>
          <w:b/>
          <w:sz w:val="18"/>
          <w:szCs w:val="18"/>
        </w:rPr>
        <w:t xml:space="preserve">BTSA ACSE — Référentiel non rénové — Évaluation en CCF (coefficient 2).</w:t>
      </w:r>
    </w:p>
    <w:p>
      <w:pPr>
        <w:spacing w:before="30" w:after="50"/>
      </w:pPr>
      <w:r>
        <w:rPr>
          <w:i/>
          <w:sz w:val="18"/>
          <w:szCs w:val="18"/>
        </w:rPr>
        <w:t xml:space="preserve">Objectif du module : permettre au futur technicien supérieur agricole de communiquer efficacement en langue anglaise dans des contextes professionnels, techniques et interculturels liés à l'agriculture, à l'économie et au développement rural.</w:t>
      </w:r>
    </w:p>
    <w:p>
      <w:pPr>
        <w:spacing w:before="30" w:after="50"/>
      </w:pPr>
      <w:r>
        <w:rPr>
          <w:i/>
          <w:sz w:val="18"/>
          <w:szCs w:val="18"/>
        </w:rPr>
        <w:t xml:space="preserve">Organisation du CCF — Situation 1 (S1) : compréhension + expression orales (fin de 1re ou début de 2e année) — document audio/vidéo authentique + interaction (15 à 20 min). Situation 2 (S2) : expression écrite + communication professionnelle (avant fin de 2e année) — écrits professionnels (courriel, présentation d'entreprise…) (20 à 30 min). Supports authentiques (audio, vidéo, texte) liés aux secteurs agricoles, économiques et environnementaux.</w:t>
      </w:r>
    </w:p>
    <w:p>
      <w:pPr>
        <w:spacing w:before="30" w:after="50"/>
        <w:shd w:val="clear" w:fill="FFF4E6"/>
      </w:pPr>
      <w:r>
        <w:rPr>
          <w:b/>
          <w:sz w:val="18"/>
          <w:szCs w:val="18"/>
        </w:rPr>
        <w:t xml:space="preserve">Mode d'emploi : pour chaque indicateur, cocher le niveau de maîtrise atteint (- - / - / + / + +) et reporter les points dans la case « Barème / Note ». Chaque capacité est notée sur 20 (répartition des points : 7 + 7 + 6). La note finale est la moyenne des 5 capacités.</w:t>
      </w:r>
    </w:p>
    <w:p>
      <w:pPr>
        <w:spacing w:before="160" w:after="60"/>
        <w:shd w:val="clear" w:fill="2E74B5"/>
      </w:pPr>
      <w:r>
        <w:rPr>
          <w:b/>
          <w:color w:val="FFFFFF"/>
          <w:sz w:val="24"/>
        </w:rPr>
        <w:t xml:space="preserve">C1 – Comprendre un message oral en langue étrangère</w:t>
      </w:r>
    </w:p>
    <w:tbl>
      <w:tblPr>
        <w:tblW w:w="0" w:type="auto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  <w:tblLayout w:type="fixed"/>
      </w:tblPr>
      <w:tblGrid>
        <w:gridCol w:w="1700"/>
        <w:gridCol w:w="2300"/>
        <w:gridCol w:w="3400"/>
        <w:gridCol w:w="640"/>
        <w:gridCol w:w="640"/>
        <w:gridCol w:w="640"/>
        <w:gridCol w:w="640"/>
        <w:gridCol w:w="1150"/>
        <w:gridCol w:w="3300"/>
      </w:tblGrid>
      <w:tr>
        <w:trPr>
          <w:tblHeader/>
        </w:trPr>
        <w:tc>
          <w:tcPr>
            <w:tcW w:w="170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Capacité</w:t>
            </w:r>
          </w:p>
        </w:tc>
        <w:tc>
          <w:tcPr>
            <w:tcW w:w="230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Composante de capacité</w:t>
            </w:r>
          </w:p>
        </w:tc>
        <w:tc>
          <w:tcPr>
            <w:tcW w:w="340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Indicateurs observables de réussite</w:t>
            </w:r>
          </w:p>
        </w:tc>
        <w:tc>
          <w:tcPr>
            <w:tcW w:w="64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- -</w:t>
            </w:r>
          </w:p>
        </w:tc>
        <w:tc>
          <w:tcPr>
            <w:tcW w:w="64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-</w:t>
            </w:r>
          </w:p>
        </w:tc>
        <w:tc>
          <w:tcPr>
            <w:tcW w:w="64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+</w:t>
            </w:r>
          </w:p>
        </w:tc>
        <w:tc>
          <w:tcPr>
            <w:tcW w:w="64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+ +</w:t>
            </w:r>
          </w:p>
        </w:tc>
        <w:tc>
          <w:tcPr>
            <w:tcW w:w="115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Barème / Note</w:t>
            </w:r>
          </w:p>
        </w:tc>
        <w:tc>
          <w:tcPr>
            <w:tcW w:w="330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Commentaires</w:t>
            </w:r>
          </w:p>
        </w:tc>
      </w:tr>
      <w:tr>
        <w:tc>
          <w:tcPr>
            <w:tcW w:w="1700" w:type="dxa"/>
            <w:vMerge w:val="restart"/>
            <w:shd w:val="clear" w:fill="D6E4F0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8"/>
                <w:szCs w:val="18"/>
              </w:rPr>
              <w:t xml:space="preserve">C1 – Comprendre un message oral en langue étrangère</w:t>
            </w:r>
          </w:p>
        </w:tc>
        <w:tc>
          <w:tcPr>
            <w:tcW w:w="2300" w:type="dxa"/>
            <w:vMerge w:val="restart"/>
            <w:shd w:val="clear" w:fill="EAF0F9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Identifier le thème général et les informations clés d'un document sonore.</w:t>
            </w:r>
          </w:p>
        </w:tc>
        <w:tc>
          <w:tcPr>
            <w:tcW w:w="340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Repère le sujet principal du message.   (7 pts)</w:t>
            </w:r>
          </w:p>
        </w:tc>
        <w:tc>
          <w:tcPr>
            <w:tcW w:w="64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 xml:space="preserve">0 – 1</w:t>
            </w:r>
          </w:p>
        </w:tc>
        <w:tc>
          <w:tcPr>
            <w:tcW w:w="64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 xml:space="preserve">2 – 3</w:t>
            </w:r>
          </w:p>
        </w:tc>
        <w:tc>
          <w:tcPr>
            <w:tcW w:w="64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 xml:space="preserve">4 – 5</w:t>
            </w:r>
          </w:p>
        </w:tc>
        <w:tc>
          <w:tcPr>
            <w:tcW w:w="64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 xml:space="preserve">6 – 7</w:t>
            </w:r>
          </w:p>
        </w:tc>
        <w:tc>
          <w:tcPr>
            <w:tcW w:w="1150" w:type="dxa"/>
            <w:vMerge w:val="restart"/>
            <w:shd w:val="clear" w:fill="FFF4E6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……… / 20</w:t>
            </w:r>
          </w:p>
        </w:tc>
        <w:tc>
          <w:tcPr>
            <w:tcW w:w="3300" w:type="dxa"/>
            <w:vMerge w:val="restart"/>
            <w:vAlign w:val="center"/>
          </w:tcPr>
          <w:p>
            <w:pPr>
              <w:spacing w:before="20" w:after="20"/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w="170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2300" w:type="dxa"/>
            <w:vMerge w:val="continue"/>
            <w:shd w:val="clear" w:fill="EAF0F9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400" w:type="dxa"/>
            <w:shd w:val="clear" w:fill="F2F7FB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Distingue les interlocuteurs et le contexte.   (7 pts)</w:t>
            </w:r>
          </w:p>
        </w:tc>
        <w:tc>
          <w:tcPr>
            <w:tcW w:w="640" w:type="dxa"/>
            <w:shd w:val="clear" w:fill="F2F7FB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 xml:space="preserve">0 – 1</w:t>
            </w:r>
          </w:p>
        </w:tc>
        <w:tc>
          <w:tcPr>
            <w:tcW w:w="640" w:type="dxa"/>
            <w:shd w:val="clear" w:fill="F2F7FB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 xml:space="preserve">2 – 3</w:t>
            </w:r>
          </w:p>
        </w:tc>
        <w:tc>
          <w:tcPr>
            <w:tcW w:w="640" w:type="dxa"/>
            <w:shd w:val="clear" w:fill="F2F7FB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 xml:space="preserve">4 – 5</w:t>
            </w:r>
          </w:p>
        </w:tc>
        <w:tc>
          <w:tcPr>
            <w:tcW w:w="640" w:type="dxa"/>
            <w:shd w:val="clear" w:fill="F2F7FB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 xml:space="preserve">6 – 7</w:t>
            </w:r>
          </w:p>
        </w:tc>
        <w:tc>
          <w:tcPr>
            <w:tcW w:w="115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30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w="170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2300" w:type="dxa"/>
            <w:vMerge w:val="continue"/>
            <w:shd w:val="clear" w:fill="EAF0F9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40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Sélectionne les informations pertinentes pour la tâche demandée.   (6 pts)</w:t>
            </w:r>
          </w:p>
        </w:tc>
        <w:tc>
          <w:tcPr>
            <w:tcW w:w="64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 xml:space="preserve">0 – 1</w:t>
            </w:r>
          </w:p>
        </w:tc>
        <w:tc>
          <w:tcPr>
            <w:tcW w:w="64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 xml:space="preserve">2 – 3</w:t>
            </w:r>
          </w:p>
        </w:tc>
        <w:tc>
          <w:tcPr>
            <w:tcW w:w="64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 xml:space="preserve">4</w:t>
            </w:r>
          </w:p>
        </w:tc>
        <w:tc>
          <w:tcPr>
            <w:tcW w:w="64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 xml:space="preserve">5 – 6</w:t>
            </w:r>
          </w:p>
        </w:tc>
        <w:tc>
          <w:tcPr>
            <w:tcW w:w="115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30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</w:tr>
    </w:tbl>
    <w:p>
      <w:pPr>
        <w:spacing w:before="20" w:after="120"/>
        <w:shd w:val="clear" w:fill="F2F2F2"/>
      </w:pPr>
      <w:r>
        <w:rPr>
          <w:b/>
          <w:sz w:val="16"/>
          <w:szCs w:val="16"/>
        </w:rPr>
        <w:t xml:space="preserve">Niveaux de maîtrise — </w:t>
      </w:r>
      <w:r>
        <w:rPr>
          <w:b/>
          <w:sz w:val="16"/>
          <w:szCs w:val="16"/>
        </w:rPr>
        <w:t xml:space="preserve">- - : </w:t>
      </w:r>
      <w:r>
        <w:rPr>
          <w:sz w:val="16"/>
          <w:szCs w:val="16"/>
        </w:rPr>
        <w:t xml:space="preserve">Compréhension lacunaire, contresens fréquents     </w:t>
      </w:r>
      <w:r>
        <w:rPr>
          <w:b/>
          <w:sz w:val="16"/>
          <w:szCs w:val="16"/>
        </w:rPr>
        <w:t xml:space="preserve">- : </w:t>
      </w:r>
      <w:r>
        <w:rPr>
          <w:sz w:val="16"/>
          <w:szCs w:val="16"/>
        </w:rPr>
        <w:t xml:space="preserve">Compréhension globale approximative     </w:t>
      </w:r>
      <w:r>
        <w:rPr>
          <w:b/>
          <w:sz w:val="16"/>
          <w:szCs w:val="16"/>
        </w:rPr>
        <w:t xml:space="preserve">+ : </w:t>
      </w:r>
      <w:r>
        <w:rPr>
          <w:sz w:val="16"/>
          <w:szCs w:val="16"/>
        </w:rPr>
        <w:t xml:space="preserve">Compréhension satisfaisante, quelques imprécisions     </w:t>
      </w:r>
      <w:r>
        <w:rPr>
          <w:b/>
          <w:sz w:val="16"/>
          <w:szCs w:val="16"/>
        </w:rPr>
        <w:t xml:space="preserve">+ + : </w:t>
      </w:r>
      <w:r>
        <w:rPr>
          <w:sz w:val="16"/>
          <w:szCs w:val="16"/>
        </w:rPr>
        <w:t xml:space="preserve">Compréhension fine et autonome     </w:t>
      </w:r>
    </w:p>
    <w:p>
      <w:pPr>
        <w:pageBreakBefore/>
        <w:spacing w:before="160" w:after="60"/>
        <w:shd w:val="clear" w:fill="2E74B5"/>
      </w:pPr>
      <w:r>
        <w:rPr>
          <w:b/>
          <w:color w:val="FFFFFF"/>
          <w:sz w:val="24"/>
        </w:rPr>
        <w:t xml:space="preserve">C2 – S'exprimer à l'oral dans une langue étrangère</w:t>
      </w:r>
    </w:p>
    <w:tbl>
      <w:tblPr>
        <w:tblW w:w="0" w:type="auto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  <w:tblLayout w:type="fixed"/>
      </w:tblPr>
      <w:tblGrid>
        <w:gridCol w:w="1700"/>
        <w:gridCol w:w="2300"/>
        <w:gridCol w:w="3400"/>
        <w:gridCol w:w="640"/>
        <w:gridCol w:w="640"/>
        <w:gridCol w:w="640"/>
        <w:gridCol w:w="640"/>
        <w:gridCol w:w="1150"/>
        <w:gridCol w:w="3300"/>
      </w:tblGrid>
      <w:tr>
        <w:trPr>
          <w:tblHeader/>
        </w:trPr>
        <w:tc>
          <w:tcPr>
            <w:tcW w:w="170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Capacité</w:t>
            </w:r>
          </w:p>
        </w:tc>
        <w:tc>
          <w:tcPr>
            <w:tcW w:w="230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Composante de capacité</w:t>
            </w:r>
          </w:p>
        </w:tc>
        <w:tc>
          <w:tcPr>
            <w:tcW w:w="340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Indicateurs observables de réussite</w:t>
            </w:r>
          </w:p>
        </w:tc>
        <w:tc>
          <w:tcPr>
            <w:tcW w:w="64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- -</w:t>
            </w:r>
          </w:p>
        </w:tc>
        <w:tc>
          <w:tcPr>
            <w:tcW w:w="64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-</w:t>
            </w:r>
          </w:p>
        </w:tc>
        <w:tc>
          <w:tcPr>
            <w:tcW w:w="64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+</w:t>
            </w:r>
          </w:p>
        </w:tc>
        <w:tc>
          <w:tcPr>
            <w:tcW w:w="64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+ +</w:t>
            </w:r>
          </w:p>
        </w:tc>
        <w:tc>
          <w:tcPr>
            <w:tcW w:w="115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Barème / Note</w:t>
            </w:r>
          </w:p>
        </w:tc>
        <w:tc>
          <w:tcPr>
            <w:tcW w:w="330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Commentaires</w:t>
            </w:r>
          </w:p>
        </w:tc>
      </w:tr>
      <w:tr>
        <w:tc>
          <w:tcPr>
            <w:tcW w:w="1700" w:type="dxa"/>
            <w:vMerge w:val="restart"/>
            <w:shd w:val="clear" w:fill="D6E4F0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8"/>
                <w:szCs w:val="18"/>
              </w:rPr>
              <w:t xml:space="preserve">C2 – S'exprimer à l'oral dans une langue étrangère</w:t>
            </w:r>
          </w:p>
        </w:tc>
        <w:tc>
          <w:tcPr>
            <w:tcW w:w="2300" w:type="dxa"/>
            <w:vMerge w:val="restart"/>
            <w:shd w:val="clear" w:fill="EAF0F9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Produire un discours clair et cohérent / interagir en situation simulée ou réelle.</w:t>
            </w:r>
          </w:p>
        </w:tc>
        <w:tc>
          <w:tcPr>
            <w:tcW w:w="340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Utilise un lexique adapté à la situation professionnelle.   (7 pts)</w:t>
            </w:r>
          </w:p>
        </w:tc>
        <w:tc>
          <w:tcPr>
            <w:tcW w:w="64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 xml:space="preserve">0 – 1</w:t>
            </w:r>
          </w:p>
        </w:tc>
        <w:tc>
          <w:tcPr>
            <w:tcW w:w="64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 xml:space="preserve">2 – 3</w:t>
            </w:r>
          </w:p>
        </w:tc>
        <w:tc>
          <w:tcPr>
            <w:tcW w:w="64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 xml:space="preserve">4 – 5</w:t>
            </w:r>
          </w:p>
        </w:tc>
        <w:tc>
          <w:tcPr>
            <w:tcW w:w="64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 xml:space="preserve">6 – 7</w:t>
            </w:r>
          </w:p>
        </w:tc>
        <w:tc>
          <w:tcPr>
            <w:tcW w:w="1150" w:type="dxa"/>
            <w:vMerge w:val="restart"/>
            <w:shd w:val="clear" w:fill="FFF4E6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……… / 20</w:t>
            </w:r>
          </w:p>
        </w:tc>
        <w:tc>
          <w:tcPr>
            <w:tcW w:w="3300" w:type="dxa"/>
            <w:vMerge w:val="restart"/>
            <w:vAlign w:val="center"/>
          </w:tcPr>
          <w:p>
            <w:pPr>
              <w:spacing w:before="20" w:after="20"/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w="170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2300" w:type="dxa"/>
            <w:vMerge w:val="continue"/>
            <w:shd w:val="clear" w:fill="EAF0F9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400" w:type="dxa"/>
            <w:shd w:val="clear" w:fill="F2F7FB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S'exprime de manière fluide et intelligible.   (7 pts)</w:t>
            </w:r>
          </w:p>
        </w:tc>
        <w:tc>
          <w:tcPr>
            <w:tcW w:w="640" w:type="dxa"/>
            <w:shd w:val="clear" w:fill="F2F7FB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 xml:space="preserve">0 – 1</w:t>
            </w:r>
          </w:p>
        </w:tc>
        <w:tc>
          <w:tcPr>
            <w:tcW w:w="640" w:type="dxa"/>
            <w:shd w:val="clear" w:fill="F2F7FB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 xml:space="preserve">2 – 3</w:t>
            </w:r>
          </w:p>
        </w:tc>
        <w:tc>
          <w:tcPr>
            <w:tcW w:w="640" w:type="dxa"/>
            <w:shd w:val="clear" w:fill="F2F7FB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 xml:space="preserve">4 – 5</w:t>
            </w:r>
          </w:p>
        </w:tc>
        <w:tc>
          <w:tcPr>
            <w:tcW w:w="640" w:type="dxa"/>
            <w:shd w:val="clear" w:fill="F2F7FB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 xml:space="preserve">6 – 7</w:t>
            </w:r>
          </w:p>
        </w:tc>
        <w:tc>
          <w:tcPr>
            <w:tcW w:w="115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30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w="170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2300" w:type="dxa"/>
            <w:vMerge w:val="continue"/>
            <w:shd w:val="clear" w:fill="EAF0F9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40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Réagit avec pertinence aux questions de l'interlocuteur.   (6 pts)</w:t>
            </w:r>
          </w:p>
        </w:tc>
        <w:tc>
          <w:tcPr>
            <w:tcW w:w="64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 xml:space="preserve">0 – 1</w:t>
            </w:r>
          </w:p>
        </w:tc>
        <w:tc>
          <w:tcPr>
            <w:tcW w:w="64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 xml:space="preserve">2 – 3</w:t>
            </w:r>
          </w:p>
        </w:tc>
        <w:tc>
          <w:tcPr>
            <w:tcW w:w="64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 xml:space="preserve">4</w:t>
            </w:r>
          </w:p>
        </w:tc>
        <w:tc>
          <w:tcPr>
            <w:tcW w:w="64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 xml:space="preserve">5 – 6</w:t>
            </w:r>
          </w:p>
        </w:tc>
        <w:tc>
          <w:tcPr>
            <w:tcW w:w="115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30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</w:tr>
    </w:tbl>
    <w:p>
      <w:pPr>
        <w:spacing w:before="20" w:after="120"/>
        <w:shd w:val="clear" w:fill="F2F2F2"/>
      </w:pPr>
      <w:r>
        <w:rPr>
          <w:b/>
          <w:sz w:val="16"/>
          <w:szCs w:val="16"/>
        </w:rPr>
        <w:t xml:space="preserve">Niveaux de maîtrise — </w:t>
      </w:r>
      <w:r>
        <w:rPr>
          <w:b/>
          <w:sz w:val="16"/>
          <w:szCs w:val="16"/>
        </w:rPr>
        <w:t xml:space="preserve">- - : </w:t>
      </w:r>
      <w:r>
        <w:rPr>
          <w:sz w:val="16"/>
          <w:szCs w:val="16"/>
        </w:rPr>
        <w:t xml:space="preserve">Expression hésitante, discours incohérent     </w:t>
      </w:r>
      <w:r>
        <w:rPr>
          <w:b/>
          <w:sz w:val="16"/>
          <w:szCs w:val="16"/>
        </w:rPr>
        <w:t xml:space="preserve">- : </w:t>
      </w:r>
      <w:r>
        <w:rPr>
          <w:sz w:val="16"/>
          <w:szCs w:val="16"/>
        </w:rPr>
        <w:t xml:space="preserve">Expression compréhensible mais pauvre ou incomplète     </w:t>
      </w:r>
      <w:r>
        <w:rPr>
          <w:b/>
          <w:sz w:val="16"/>
          <w:szCs w:val="16"/>
        </w:rPr>
        <w:t xml:space="preserve">+ : </w:t>
      </w:r>
      <w:r>
        <w:rPr>
          <w:sz w:val="16"/>
          <w:szCs w:val="16"/>
        </w:rPr>
        <w:t xml:space="preserve">Expression claire, quelques maladresses     </w:t>
      </w:r>
      <w:r>
        <w:rPr>
          <w:b/>
          <w:sz w:val="16"/>
          <w:szCs w:val="16"/>
        </w:rPr>
        <w:t xml:space="preserve">+ + : </w:t>
      </w:r>
      <w:r>
        <w:rPr>
          <w:sz w:val="16"/>
          <w:szCs w:val="16"/>
        </w:rPr>
        <w:t xml:space="preserve">Expression aisée, naturelle et argumentée     </w:t>
      </w:r>
    </w:p>
    <w:p>
      <w:pPr>
        <w:pageBreakBefore/>
        <w:spacing w:before="160" w:after="60"/>
        <w:shd w:val="clear" w:fill="2E74B5"/>
      </w:pPr>
      <w:r>
        <w:rPr>
          <w:b/>
          <w:color w:val="FFFFFF"/>
          <w:sz w:val="24"/>
        </w:rPr>
        <w:t xml:space="preserve">C3 – Comprendre un document écrit en langue étrangère</w:t>
      </w:r>
    </w:p>
    <w:tbl>
      <w:tblPr>
        <w:tblW w:w="0" w:type="auto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  <w:tblLayout w:type="fixed"/>
      </w:tblPr>
      <w:tblGrid>
        <w:gridCol w:w="1700"/>
        <w:gridCol w:w="2300"/>
        <w:gridCol w:w="3400"/>
        <w:gridCol w:w="640"/>
        <w:gridCol w:w="640"/>
        <w:gridCol w:w="640"/>
        <w:gridCol w:w="640"/>
        <w:gridCol w:w="1150"/>
        <w:gridCol w:w="3300"/>
      </w:tblGrid>
      <w:tr>
        <w:trPr>
          <w:tblHeader/>
        </w:trPr>
        <w:tc>
          <w:tcPr>
            <w:tcW w:w="170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Capacité</w:t>
            </w:r>
          </w:p>
        </w:tc>
        <w:tc>
          <w:tcPr>
            <w:tcW w:w="230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Composante de capacité</w:t>
            </w:r>
          </w:p>
        </w:tc>
        <w:tc>
          <w:tcPr>
            <w:tcW w:w="340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Indicateurs observables de réussite</w:t>
            </w:r>
          </w:p>
        </w:tc>
        <w:tc>
          <w:tcPr>
            <w:tcW w:w="64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- -</w:t>
            </w:r>
          </w:p>
        </w:tc>
        <w:tc>
          <w:tcPr>
            <w:tcW w:w="64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-</w:t>
            </w:r>
          </w:p>
        </w:tc>
        <w:tc>
          <w:tcPr>
            <w:tcW w:w="64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+</w:t>
            </w:r>
          </w:p>
        </w:tc>
        <w:tc>
          <w:tcPr>
            <w:tcW w:w="64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+ +</w:t>
            </w:r>
          </w:p>
        </w:tc>
        <w:tc>
          <w:tcPr>
            <w:tcW w:w="115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Barème / Note</w:t>
            </w:r>
          </w:p>
        </w:tc>
        <w:tc>
          <w:tcPr>
            <w:tcW w:w="330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Commentaires</w:t>
            </w:r>
          </w:p>
        </w:tc>
      </w:tr>
      <w:tr>
        <w:tc>
          <w:tcPr>
            <w:tcW w:w="1700" w:type="dxa"/>
            <w:vMerge w:val="restart"/>
            <w:shd w:val="clear" w:fill="D6E4F0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8"/>
                <w:szCs w:val="18"/>
              </w:rPr>
              <w:t xml:space="preserve">C3 – Comprendre un document écrit en langue étrangère</w:t>
            </w:r>
          </w:p>
        </w:tc>
        <w:tc>
          <w:tcPr>
            <w:tcW w:w="2300" w:type="dxa"/>
            <w:vMerge w:val="restart"/>
            <w:shd w:val="clear" w:fill="EAF0F9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Identifier le type de texte, les informations essentielles et leur sens global.</w:t>
            </w:r>
          </w:p>
        </w:tc>
        <w:tc>
          <w:tcPr>
            <w:tcW w:w="340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Dégage les idées principales.   (7 pts)</w:t>
            </w:r>
          </w:p>
        </w:tc>
        <w:tc>
          <w:tcPr>
            <w:tcW w:w="64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 xml:space="preserve">0 – 1</w:t>
            </w:r>
          </w:p>
        </w:tc>
        <w:tc>
          <w:tcPr>
            <w:tcW w:w="64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 xml:space="preserve">2 – 3</w:t>
            </w:r>
          </w:p>
        </w:tc>
        <w:tc>
          <w:tcPr>
            <w:tcW w:w="64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 xml:space="preserve">4 – 5</w:t>
            </w:r>
          </w:p>
        </w:tc>
        <w:tc>
          <w:tcPr>
            <w:tcW w:w="64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 xml:space="preserve">6 – 7</w:t>
            </w:r>
          </w:p>
        </w:tc>
        <w:tc>
          <w:tcPr>
            <w:tcW w:w="1150" w:type="dxa"/>
            <w:vMerge w:val="restart"/>
            <w:shd w:val="clear" w:fill="FFF4E6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……… / 20</w:t>
            </w:r>
          </w:p>
        </w:tc>
        <w:tc>
          <w:tcPr>
            <w:tcW w:w="3300" w:type="dxa"/>
            <w:vMerge w:val="restart"/>
            <w:vAlign w:val="center"/>
          </w:tcPr>
          <w:p>
            <w:pPr>
              <w:spacing w:before="20" w:after="20"/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w="170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2300" w:type="dxa"/>
            <w:vMerge w:val="continue"/>
            <w:shd w:val="clear" w:fill="EAF0F9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400" w:type="dxa"/>
            <w:shd w:val="clear" w:fill="F2F7FB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Reformule avec justesse.   (7 pts)</w:t>
            </w:r>
          </w:p>
        </w:tc>
        <w:tc>
          <w:tcPr>
            <w:tcW w:w="640" w:type="dxa"/>
            <w:shd w:val="clear" w:fill="F2F7FB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 xml:space="preserve">0 – 1</w:t>
            </w:r>
          </w:p>
        </w:tc>
        <w:tc>
          <w:tcPr>
            <w:tcW w:w="640" w:type="dxa"/>
            <w:shd w:val="clear" w:fill="F2F7FB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 xml:space="preserve">2 – 3</w:t>
            </w:r>
          </w:p>
        </w:tc>
        <w:tc>
          <w:tcPr>
            <w:tcW w:w="640" w:type="dxa"/>
            <w:shd w:val="clear" w:fill="F2F7FB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 xml:space="preserve">4 – 5</w:t>
            </w:r>
          </w:p>
        </w:tc>
        <w:tc>
          <w:tcPr>
            <w:tcW w:w="640" w:type="dxa"/>
            <w:shd w:val="clear" w:fill="F2F7FB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 xml:space="preserve">6 – 7</w:t>
            </w:r>
          </w:p>
        </w:tc>
        <w:tc>
          <w:tcPr>
            <w:tcW w:w="115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30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w="170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2300" w:type="dxa"/>
            <w:vMerge w:val="continue"/>
            <w:shd w:val="clear" w:fill="EAF0F9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40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Fait le lien entre les informations et le contexte professionnel.   (6 pts)</w:t>
            </w:r>
          </w:p>
        </w:tc>
        <w:tc>
          <w:tcPr>
            <w:tcW w:w="64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 xml:space="preserve">0 – 1</w:t>
            </w:r>
          </w:p>
        </w:tc>
        <w:tc>
          <w:tcPr>
            <w:tcW w:w="64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 xml:space="preserve">2 – 3</w:t>
            </w:r>
          </w:p>
        </w:tc>
        <w:tc>
          <w:tcPr>
            <w:tcW w:w="64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 xml:space="preserve">4</w:t>
            </w:r>
          </w:p>
        </w:tc>
        <w:tc>
          <w:tcPr>
            <w:tcW w:w="64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 xml:space="preserve">5 – 6</w:t>
            </w:r>
          </w:p>
        </w:tc>
        <w:tc>
          <w:tcPr>
            <w:tcW w:w="115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30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</w:tr>
    </w:tbl>
    <w:p>
      <w:pPr>
        <w:spacing w:before="20" w:after="120"/>
        <w:shd w:val="clear" w:fill="F2F2F2"/>
      </w:pPr>
      <w:r>
        <w:rPr>
          <w:b/>
          <w:sz w:val="16"/>
          <w:szCs w:val="16"/>
        </w:rPr>
        <w:t xml:space="preserve">Niveaux de maîtrise — </w:t>
      </w:r>
      <w:r>
        <w:rPr>
          <w:b/>
          <w:sz w:val="16"/>
          <w:szCs w:val="16"/>
        </w:rPr>
        <w:t xml:space="preserve">- - : </w:t>
      </w:r>
      <w:r>
        <w:rPr>
          <w:sz w:val="16"/>
          <w:szCs w:val="16"/>
        </w:rPr>
        <w:t xml:space="preserve">Lecture partielle, contresens     </w:t>
      </w:r>
      <w:r>
        <w:rPr>
          <w:b/>
          <w:sz w:val="16"/>
          <w:szCs w:val="16"/>
        </w:rPr>
        <w:t xml:space="preserve">- : </w:t>
      </w:r>
      <w:r>
        <w:rPr>
          <w:sz w:val="16"/>
          <w:szCs w:val="16"/>
        </w:rPr>
        <w:t xml:space="preserve">Lecture globale avec erreurs     </w:t>
      </w:r>
      <w:r>
        <w:rPr>
          <w:b/>
          <w:sz w:val="16"/>
          <w:szCs w:val="16"/>
        </w:rPr>
        <w:t xml:space="preserve">+ : </w:t>
      </w:r>
      <w:r>
        <w:rPr>
          <w:sz w:val="16"/>
          <w:szCs w:val="16"/>
        </w:rPr>
        <w:t xml:space="preserve">Bonne compréhension, quelques imprécisions     </w:t>
      </w:r>
      <w:r>
        <w:rPr>
          <w:b/>
          <w:sz w:val="16"/>
          <w:szCs w:val="16"/>
        </w:rPr>
        <w:t xml:space="preserve">+ + : </w:t>
      </w:r>
      <w:r>
        <w:rPr>
          <w:sz w:val="16"/>
          <w:szCs w:val="16"/>
        </w:rPr>
        <w:t xml:space="preserve">Compréhension fine et interprétation pertinente     </w:t>
      </w:r>
    </w:p>
    <w:p>
      <w:pPr>
        <w:pageBreakBefore/>
        <w:spacing w:before="160" w:after="60"/>
        <w:shd w:val="clear" w:fill="2E74B5"/>
      </w:pPr>
      <w:r>
        <w:rPr>
          <w:b/>
          <w:color w:val="FFFFFF"/>
          <w:sz w:val="24"/>
        </w:rPr>
        <w:t xml:space="preserve">C4 – Rédiger un message simple et cohérent</w:t>
      </w:r>
    </w:p>
    <w:tbl>
      <w:tblPr>
        <w:tblW w:w="0" w:type="auto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  <w:tblLayout w:type="fixed"/>
      </w:tblPr>
      <w:tblGrid>
        <w:gridCol w:w="1700"/>
        <w:gridCol w:w="2300"/>
        <w:gridCol w:w="3400"/>
        <w:gridCol w:w="640"/>
        <w:gridCol w:w="640"/>
        <w:gridCol w:w="640"/>
        <w:gridCol w:w="640"/>
        <w:gridCol w:w="1150"/>
        <w:gridCol w:w="3300"/>
      </w:tblGrid>
      <w:tr>
        <w:trPr>
          <w:tblHeader/>
        </w:trPr>
        <w:tc>
          <w:tcPr>
            <w:tcW w:w="170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Capacité</w:t>
            </w:r>
          </w:p>
        </w:tc>
        <w:tc>
          <w:tcPr>
            <w:tcW w:w="230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Composante de capacité</w:t>
            </w:r>
          </w:p>
        </w:tc>
        <w:tc>
          <w:tcPr>
            <w:tcW w:w="340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Indicateurs observables de réussite</w:t>
            </w:r>
          </w:p>
        </w:tc>
        <w:tc>
          <w:tcPr>
            <w:tcW w:w="64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- -</w:t>
            </w:r>
          </w:p>
        </w:tc>
        <w:tc>
          <w:tcPr>
            <w:tcW w:w="64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-</w:t>
            </w:r>
          </w:p>
        </w:tc>
        <w:tc>
          <w:tcPr>
            <w:tcW w:w="64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+</w:t>
            </w:r>
          </w:p>
        </w:tc>
        <w:tc>
          <w:tcPr>
            <w:tcW w:w="64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+ +</w:t>
            </w:r>
          </w:p>
        </w:tc>
        <w:tc>
          <w:tcPr>
            <w:tcW w:w="115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Barème / Note</w:t>
            </w:r>
          </w:p>
        </w:tc>
        <w:tc>
          <w:tcPr>
            <w:tcW w:w="330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Commentaires</w:t>
            </w:r>
          </w:p>
        </w:tc>
      </w:tr>
      <w:tr>
        <w:tc>
          <w:tcPr>
            <w:tcW w:w="1700" w:type="dxa"/>
            <w:vMerge w:val="restart"/>
            <w:shd w:val="clear" w:fill="D6E4F0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8"/>
                <w:szCs w:val="18"/>
              </w:rPr>
              <w:t xml:space="preserve">C4 – Rédiger un message simple et cohérent</w:t>
            </w:r>
          </w:p>
        </w:tc>
        <w:tc>
          <w:tcPr>
            <w:tcW w:w="2300" w:type="dxa"/>
            <w:vMerge w:val="restart"/>
            <w:shd w:val="clear" w:fill="EAF0F9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Rédiger un texte court et structuré en lien avec la vie professionnelle.</w:t>
            </w:r>
          </w:p>
        </w:tc>
        <w:tc>
          <w:tcPr>
            <w:tcW w:w="340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Produit un texte clair et adapté au destinataire.   (7 pts)</w:t>
            </w:r>
          </w:p>
        </w:tc>
        <w:tc>
          <w:tcPr>
            <w:tcW w:w="64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 xml:space="preserve">0 – 1</w:t>
            </w:r>
          </w:p>
        </w:tc>
        <w:tc>
          <w:tcPr>
            <w:tcW w:w="64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 xml:space="preserve">2 – 3</w:t>
            </w:r>
          </w:p>
        </w:tc>
        <w:tc>
          <w:tcPr>
            <w:tcW w:w="64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 xml:space="preserve">4 – 5</w:t>
            </w:r>
          </w:p>
        </w:tc>
        <w:tc>
          <w:tcPr>
            <w:tcW w:w="64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 xml:space="preserve">6 – 7</w:t>
            </w:r>
          </w:p>
        </w:tc>
        <w:tc>
          <w:tcPr>
            <w:tcW w:w="1150" w:type="dxa"/>
            <w:vMerge w:val="restart"/>
            <w:shd w:val="clear" w:fill="FFF4E6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……… / 20</w:t>
            </w:r>
          </w:p>
        </w:tc>
        <w:tc>
          <w:tcPr>
            <w:tcW w:w="3300" w:type="dxa"/>
            <w:vMerge w:val="restart"/>
            <w:vAlign w:val="center"/>
          </w:tcPr>
          <w:p>
            <w:pPr>
              <w:spacing w:before="20" w:after="20"/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w="170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2300" w:type="dxa"/>
            <w:vMerge w:val="continue"/>
            <w:shd w:val="clear" w:fill="EAF0F9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400" w:type="dxa"/>
            <w:shd w:val="clear" w:fill="F2F7FB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Utilise une grammaire correcte et un vocabulaire professionnel.   (7 pts)</w:t>
            </w:r>
          </w:p>
        </w:tc>
        <w:tc>
          <w:tcPr>
            <w:tcW w:w="640" w:type="dxa"/>
            <w:shd w:val="clear" w:fill="F2F7FB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 xml:space="preserve">0 – 1</w:t>
            </w:r>
          </w:p>
        </w:tc>
        <w:tc>
          <w:tcPr>
            <w:tcW w:w="640" w:type="dxa"/>
            <w:shd w:val="clear" w:fill="F2F7FB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 xml:space="preserve">2 – 3</w:t>
            </w:r>
          </w:p>
        </w:tc>
        <w:tc>
          <w:tcPr>
            <w:tcW w:w="640" w:type="dxa"/>
            <w:shd w:val="clear" w:fill="F2F7FB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 xml:space="preserve">4 – 5</w:t>
            </w:r>
          </w:p>
        </w:tc>
        <w:tc>
          <w:tcPr>
            <w:tcW w:w="640" w:type="dxa"/>
            <w:shd w:val="clear" w:fill="F2F7FB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 xml:space="preserve">6 – 7</w:t>
            </w:r>
          </w:p>
        </w:tc>
        <w:tc>
          <w:tcPr>
            <w:tcW w:w="115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30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w="170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2300" w:type="dxa"/>
            <w:vMerge w:val="continue"/>
            <w:shd w:val="clear" w:fill="EAF0F9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40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Respecte la cohérence du message.   (6 pts)</w:t>
            </w:r>
          </w:p>
        </w:tc>
        <w:tc>
          <w:tcPr>
            <w:tcW w:w="64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 xml:space="preserve">0 – 1</w:t>
            </w:r>
          </w:p>
        </w:tc>
        <w:tc>
          <w:tcPr>
            <w:tcW w:w="64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 xml:space="preserve">2 – 3</w:t>
            </w:r>
          </w:p>
        </w:tc>
        <w:tc>
          <w:tcPr>
            <w:tcW w:w="64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 xml:space="preserve">4</w:t>
            </w:r>
          </w:p>
        </w:tc>
        <w:tc>
          <w:tcPr>
            <w:tcW w:w="64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 xml:space="preserve">5 – 6</w:t>
            </w:r>
          </w:p>
        </w:tc>
        <w:tc>
          <w:tcPr>
            <w:tcW w:w="115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30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</w:tr>
    </w:tbl>
    <w:p>
      <w:pPr>
        <w:spacing w:before="20" w:after="120"/>
        <w:shd w:val="clear" w:fill="F2F2F2"/>
      </w:pPr>
      <w:r>
        <w:rPr>
          <w:b/>
          <w:sz w:val="16"/>
          <w:szCs w:val="16"/>
        </w:rPr>
        <w:t xml:space="preserve">Niveaux de maîtrise — </w:t>
      </w:r>
      <w:r>
        <w:rPr>
          <w:b/>
          <w:sz w:val="16"/>
          <w:szCs w:val="16"/>
        </w:rPr>
        <w:t xml:space="preserve">- - : </w:t>
      </w:r>
      <w:r>
        <w:rPr>
          <w:sz w:val="16"/>
          <w:szCs w:val="16"/>
        </w:rPr>
        <w:t xml:space="preserve">Texte incomplet, fautes majeures     </w:t>
      </w:r>
      <w:r>
        <w:rPr>
          <w:b/>
          <w:sz w:val="16"/>
          <w:szCs w:val="16"/>
        </w:rPr>
        <w:t xml:space="preserve">- : </w:t>
      </w:r>
      <w:r>
        <w:rPr>
          <w:sz w:val="16"/>
          <w:szCs w:val="16"/>
        </w:rPr>
        <w:t xml:space="preserve">Texte compréhensible mais maladroit     </w:t>
      </w:r>
      <w:r>
        <w:rPr>
          <w:b/>
          <w:sz w:val="16"/>
          <w:szCs w:val="16"/>
        </w:rPr>
        <w:t xml:space="preserve">+ : </w:t>
      </w:r>
      <w:r>
        <w:rPr>
          <w:sz w:val="16"/>
          <w:szCs w:val="16"/>
        </w:rPr>
        <w:t xml:space="preserve">Texte globalement correct     </w:t>
      </w:r>
      <w:r>
        <w:rPr>
          <w:b/>
          <w:sz w:val="16"/>
          <w:szCs w:val="16"/>
        </w:rPr>
        <w:t xml:space="preserve">+ + : </w:t>
      </w:r>
      <w:r>
        <w:rPr>
          <w:sz w:val="16"/>
          <w:szCs w:val="16"/>
        </w:rPr>
        <w:t xml:space="preserve">Texte précis, fluide et adapté     </w:t>
      </w:r>
    </w:p>
    <w:p>
      <w:pPr>
        <w:pageBreakBefore/>
        <w:spacing w:before="160" w:after="60"/>
        <w:shd w:val="clear" w:fill="2E74B5"/>
      </w:pPr>
      <w:r>
        <w:rPr>
          <w:b/>
          <w:color w:val="FFFFFF"/>
          <w:sz w:val="24"/>
        </w:rPr>
        <w:t xml:space="preserve">C5 – Mobiliser la langue en contexte professionnel agricole</w:t>
      </w:r>
    </w:p>
    <w:tbl>
      <w:tblPr>
        <w:tblW w:w="0" w:type="auto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  <w:tblLayout w:type="fixed"/>
      </w:tblPr>
      <w:tblGrid>
        <w:gridCol w:w="1700"/>
        <w:gridCol w:w="2300"/>
        <w:gridCol w:w="3400"/>
        <w:gridCol w:w="640"/>
        <w:gridCol w:w="640"/>
        <w:gridCol w:w="640"/>
        <w:gridCol w:w="640"/>
        <w:gridCol w:w="1150"/>
        <w:gridCol w:w="3300"/>
      </w:tblGrid>
      <w:tr>
        <w:trPr>
          <w:tblHeader/>
        </w:trPr>
        <w:tc>
          <w:tcPr>
            <w:tcW w:w="170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Capacité</w:t>
            </w:r>
          </w:p>
        </w:tc>
        <w:tc>
          <w:tcPr>
            <w:tcW w:w="230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Composante de capacité</w:t>
            </w:r>
          </w:p>
        </w:tc>
        <w:tc>
          <w:tcPr>
            <w:tcW w:w="340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Indicateurs observables de réussite</w:t>
            </w:r>
          </w:p>
        </w:tc>
        <w:tc>
          <w:tcPr>
            <w:tcW w:w="64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- -</w:t>
            </w:r>
          </w:p>
        </w:tc>
        <w:tc>
          <w:tcPr>
            <w:tcW w:w="64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-</w:t>
            </w:r>
          </w:p>
        </w:tc>
        <w:tc>
          <w:tcPr>
            <w:tcW w:w="64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+</w:t>
            </w:r>
          </w:p>
        </w:tc>
        <w:tc>
          <w:tcPr>
            <w:tcW w:w="64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+ +</w:t>
            </w:r>
          </w:p>
        </w:tc>
        <w:tc>
          <w:tcPr>
            <w:tcW w:w="115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Barème / Note</w:t>
            </w:r>
          </w:p>
        </w:tc>
        <w:tc>
          <w:tcPr>
            <w:tcW w:w="330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Commentaires</w:t>
            </w:r>
          </w:p>
        </w:tc>
      </w:tr>
      <w:tr>
        <w:tc>
          <w:tcPr>
            <w:tcW w:w="1700" w:type="dxa"/>
            <w:vMerge w:val="restart"/>
            <w:shd w:val="clear" w:fill="D6E4F0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8"/>
                <w:szCs w:val="18"/>
              </w:rPr>
              <w:t xml:space="preserve">C5 – Mobiliser la langue en contexte professionnel agricole</w:t>
            </w:r>
          </w:p>
        </w:tc>
        <w:tc>
          <w:tcPr>
            <w:tcW w:w="2300" w:type="dxa"/>
            <w:vMerge w:val="restart"/>
            <w:shd w:val="clear" w:fill="EAF0F9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Présenter et argumenter dans un contexte professionnel (stage, projet, visite, accueil).</w:t>
            </w:r>
          </w:p>
        </w:tc>
        <w:tc>
          <w:tcPr>
            <w:tcW w:w="340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Présente son entreprise, un produit ou une mission en anglais technique.   (7 pts)</w:t>
            </w:r>
          </w:p>
        </w:tc>
        <w:tc>
          <w:tcPr>
            <w:tcW w:w="64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 xml:space="preserve">0 – 1</w:t>
            </w:r>
          </w:p>
        </w:tc>
        <w:tc>
          <w:tcPr>
            <w:tcW w:w="64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 xml:space="preserve">2 – 3</w:t>
            </w:r>
          </w:p>
        </w:tc>
        <w:tc>
          <w:tcPr>
            <w:tcW w:w="64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 xml:space="preserve">4 – 5</w:t>
            </w:r>
          </w:p>
        </w:tc>
        <w:tc>
          <w:tcPr>
            <w:tcW w:w="64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 xml:space="preserve">6 – 7</w:t>
            </w:r>
          </w:p>
        </w:tc>
        <w:tc>
          <w:tcPr>
            <w:tcW w:w="1150" w:type="dxa"/>
            <w:vMerge w:val="restart"/>
            <w:shd w:val="clear" w:fill="FFF4E6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……… / 20</w:t>
            </w:r>
          </w:p>
        </w:tc>
        <w:tc>
          <w:tcPr>
            <w:tcW w:w="3300" w:type="dxa"/>
            <w:vMerge w:val="restart"/>
            <w:vAlign w:val="center"/>
          </w:tcPr>
          <w:p>
            <w:pPr>
              <w:spacing w:before="20" w:after="20"/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w="170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2300" w:type="dxa"/>
            <w:vMerge w:val="continue"/>
            <w:shd w:val="clear" w:fill="EAF0F9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400" w:type="dxa"/>
            <w:shd w:val="clear" w:fill="F2F7FB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Met en valeur son expérience de stage ou un projet.   (7 pts)</w:t>
            </w:r>
          </w:p>
        </w:tc>
        <w:tc>
          <w:tcPr>
            <w:tcW w:w="640" w:type="dxa"/>
            <w:shd w:val="clear" w:fill="F2F7FB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 xml:space="preserve">0 – 1</w:t>
            </w:r>
          </w:p>
        </w:tc>
        <w:tc>
          <w:tcPr>
            <w:tcW w:w="640" w:type="dxa"/>
            <w:shd w:val="clear" w:fill="F2F7FB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 xml:space="preserve">2 – 3</w:t>
            </w:r>
          </w:p>
        </w:tc>
        <w:tc>
          <w:tcPr>
            <w:tcW w:w="640" w:type="dxa"/>
            <w:shd w:val="clear" w:fill="F2F7FB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 xml:space="preserve">4 – 5</w:t>
            </w:r>
          </w:p>
        </w:tc>
        <w:tc>
          <w:tcPr>
            <w:tcW w:w="640" w:type="dxa"/>
            <w:shd w:val="clear" w:fill="F2F7FB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 xml:space="preserve">6 – 7</w:t>
            </w:r>
          </w:p>
        </w:tc>
        <w:tc>
          <w:tcPr>
            <w:tcW w:w="115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30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</w:tr>
      <w:tr>
        <w:tc>
          <w:tcPr>
            <w:tcW w:w="1700" w:type="dxa"/>
            <w:vMerge w:val="continue"/>
            <w:shd w:val="clear" w:fill="D6E4F0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2300" w:type="dxa"/>
            <w:vMerge w:val="continue"/>
            <w:shd w:val="clear" w:fill="EAF0F9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40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Interagit avec des interlocuteurs étrangers avec aisance.   (6 pts)</w:t>
            </w:r>
          </w:p>
        </w:tc>
        <w:tc>
          <w:tcPr>
            <w:tcW w:w="64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 xml:space="preserve">0 – 1</w:t>
            </w:r>
          </w:p>
        </w:tc>
        <w:tc>
          <w:tcPr>
            <w:tcW w:w="64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 xml:space="preserve">2 – 3</w:t>
            </w:r>
          </w:p>
        </w:tc>
        <w:tc>
          <w:tcPr>
            <w:tcW w:w="64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 xml:space="preserve">4</w:t>
            </w:r>
          </w:p>
        </w:tc>
        <w:tc>
          <w:tcPr>
            <w:tcW w:w="64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16"/>
                <w:szCs w:val="16"/>
              </w:rPr>
              <w:t xml:space="preserve">5 – 6</w:t>
            </w:r>
          </w:p>
        </w:tc>
        <w:tc>
          <w:tcPr>
            <w:tcW w:w="1150" w:type="dxa"/>
            <w:vMerge w:val="continue"/>
            <w:shd w:val="clear" w:fill="FFF4E6"/>
            <w:vAlign w:val="center"/>
          </w:tcPr>
          <w:p>
            <w:pPr>
              <w:spacing w:before="20" w:after="20"/>
              <w:jc w:val="left"/>
            </w:pPr>
          </w:p>
        </w:tc>
        <w:tc>
          <w:tcPr>
            <w:tcW w:w="3300" w:type="dxa"/>
            <w:vMerge w:val="continue"/>
            <w:vAlign w:val="center"/>
          </w:tcPr>
          <w:p>
            <w:pPr>
              <w:spacing w:before="20" w:after="20"/>
              <w:jc w:val="left"/>
            </w:pPr>
          </w:p>
        </w:tc>
      </w:tr>
    </w:tbl>
    <w:p>
      <w:pPr>
        <w:spacing w:before="20" w:after="120"/>
        <w:shd w:val="clear" w:fill="F2F2F2"/>
      </w:pPr>
      <w:r>
        <w:rPr>
          <w:b/>
          <w:sz w:val="16"/>
          <w:szCs w:val="16"/>
        </w:rPr>
        <w:t xml:space="preserve">Niveaux de maîtrise — </w:t>
      </w:r>
      <w:r>
        <w:rPr>
          <w:b/>
          <w:sz w:val="16"/>
          <w:szCs w:val="16"/>
        </w:rPr>
        <w:t xml:space="preserve">- - : </w:t>
      </w:r>
      <w:r>
        <w:rPr>
          <w:sz w:val="16"/>
          <w:szCs w:val="16"/>
        </w:rPr>
        <w:t xml:space="preserve">Communication inadaptée, manque de vocabulaire     </w:t>
      </w:r>
      <w:r>
        <w:rPr>
          <w:b/>
          <w:sz w:val="16"/>
          <w:szCs w:val="16"/>
        </w:rPr>
        <w:t xml:space="preserve">- : </w:t>
      </w:r>
      <w:r>
        <w:rPr>
          <w:sz w:val="16"/>
          <w:szCs w:val="16"/>
        </w:rPr>
        <w:t xml:space="preserve">Communication compréhensible mais rigide     </w:t>
      </w:r>
      <w:r>
        <w:rPr>
          <w:b/>
          <w:sz w:val="16"/>
          <w:szCs w:val="16"/>
        </w:rPr>
        <w:t xml:space="preserve">+ : </w:t>
      </w:r>
      <w:r>
        <w:rPr>
          <w:sz w:val="16"/>
          <w:szCs w:val="16"/>
        </w:rPr>
        <w:t xml:space="preserve">Communication claire et professionnelle     </w:t>
      </w:r>
      <w:r>
        <w:rPr>
          <w:b/>
          <w:sz w:val="16"/>
          <w:szCs w:val="16"/>
        </w:rPr>
        <w:t xml:space="preserve">+ + : </w:t>
      </w:r>
      <w:r>
        <w:rPr>
          <w:sz w:val="16"/>
          <w:szCs w:val="16"/>
        </w:rPr>
        <w:t xml:space="preserve">Communication efficace, spontanée et convaincante     </w:t>
      </w:r>
    </w:p>
    <w:p>
      <w:pPr>
        <w:pageBreakBefore/>
        <w:spacing w:before="160" w:after="60"/>
        <w:shd w:val="clear" w:fill="2E74B5"/>
      </w:pPr>
      <w:r>
        <w:rPr>
          <w:b/>
          <w:color w:val="FFFFFF"/>
          <w:sz w:val="24"/>
        </w:rPr>
        <w:t xml:space="preserve">Synthèse des 5 capacités — NOTE FINALE</w:t>
      </w:r>
    </w:p>
    <w:tbl>
      <w:tblPr>
        <w:tblW w:w="0" w:type="auto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  <w:tblLayout w:type="fixed"/>
      </w:tblPr>
      <w:tblGrid>
        <w:gridCol w:w="1500"/>
        <w:gridCol w:w="5200"/>
        <w:gridCol w:w="3500"/>
        <w:gridCol w:w="2200"/>
      </w:tblGrid>
      <w:tr>
        <w:tc>
          <w:tcPr>
            <w:tcW w:w="12400" w:type="dxa"/>
            <w:gridSpan w:val="4"/>
            <w:shd w:val="clear" w:fill="1F4E7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color w:val="FFFFFF"/>
                <w:sz w:val="20"/>
                <w:szCs w:val="20"/>
              </w:rPr>
              <w:t xml:space="preserve">Fiche de synthèse — Module M23 Anglais (BTSA ACSE) : note finale capacitaire</w:t>
            </w:r>
          </w:p>
        </w:tc>
      </w:tr>
      <w:tr>
        <w:trPr>
          <w:tblHeader/>
        </w:trPr>
        <w:tc>
          <w:tcPr>
            <w:tcW w:w="150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Capacité</w:t>
            </w:r>
          </w:p>
        </w:tc>
        <w:tc>
          <w:tcPr>
            <w:tcW w:w="520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Intitulé de la capacité</w:t>
            </w:r>
          </w:p>
        </w:tc>
        <w:tc>
          <w:tcPr>
            <w:tcW w:w="350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Modalité d'évaluation (CCF)</w:t>
            </w:r>
          </w:p>
        </w:tc>
        <w:tc>
          <w:tcPr>
            <w:tcW w:w="2200" w:type="dxa"/>
            <w:shd w:val="clear" w:fill="D9D9D9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  <w:szCs w:val="17"/>
              </w:rPr>
              <w:t xml:space="preserve">Note /20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8"/>
                <w:szCs w:val="18"/>
              </w:rPr>
              <w:t xml:space="preserve">C1</w:t>
            </w:r>
          </w:p>
        </w:tc>
        <w:tc>
          <w:tcPr>
            <w:tcW w:w="520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Comprendre un message oral en langue étrangère</w:t>
            </w:r>
          </w:p>
        </w:tc>
        <w:tc>
          <w:tcPr>
            <w:tcW w:w="350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6"/>
                <w:szCs w:val="16"/>
              </w:rPr>
              <w:t xml:space="preserve">Oral — Situation 1 (compréhension orale)</w:t>
            </w:r>
          </w:p>
        </w:tc>
        <w:tc>
          <w:tcPr>
            <w:tcW w:w="2200" w:type="dxa"/>
            <w:shd w:val="clear" w:fill="FFF4E6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……… / 20</w:t>
            </w:r>
          </w:p>
        </w:tc>
      </w:tr>
      <w:tr>
        <w:tc>
          <w:tcPr>
            <w:tcW w:w="1500" w:type="dxa"/>
            <w:shd w:val="clear" w:fill="F2F7FB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8"/>
                <w:szCs w:val="18"/>
              </w:rPr>
              <w:t xml:space="preserve">C2</w:t>
            </w:r>
          </w:p>
        </w:tc>
        <w:tc>
          <w:tcPr>
            <w:tcW w:w="5200" w:type="dxa"/>
            <w:shd w:val="clear" w:fill="F2F7FB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S'exprimer à l'oral dans une langue étrangère</w:t>
            </w:r>
          </w:p>
        </w:tc>
        <w:tc>
          <w:tcPr>
            <w:tcW w:w="3500" w:type="dxa"/>
            <w:shd w:val="clear" w:fill="F2F7FB"/>
            <w:vAlign w:val="center"/>
          </w:tcPr>
          <w:p>
            <w:pPr>
              <w:spacing w:before="20" w:after="20"/>
              <w:jc w:val="left"/>
            </w:pPr>
            <w:r>
              <w:rPr>
                <w:sz w:val="16"/>
                <w:szCs w:val="16"/>
              </w:rPr>
              <w:t xml:space="preserve">Oral — Situation 1 (expression / interaction)</w:t>
            </w:r>
          </w:p>
        </w:tc>
        <w:tc>
          <w:tcPr>
            <w:tcW w:w="2200" w:type="dxa"/>
            <w:shd w:val="clear" w:fill="FFF4E6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……… / 20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8"/>
                <w:szCs w:val="18"/>
              </w:rPr>
              <w:t xml:space="preserve">C3</w:t>
            </w:r>
          </w:p>
        </w:tc>
        <w:tc>
          <w:tcPr>
            <w:tcW w:w="520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Comprendre un document écrit en langue étrangère</w:t>
            </w:r>
          </w:p>
        </w:tc>
        <w:tc>
          <w:tcPr>
            <w:tcW w:w="350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6"/>
                <w:szCs w:val="16"/>
              </w:rPr>
              <w:t xml:space="preserve">Écrit — Situation 2 (compréhension écrite)</w:t>
            </w:r>
          </w:p>
        </w:tc>
        <w:tc>
          <w:tcPr>
            <w:tcW w:w="2200" w:type="dxa"/>
            <w:shd w:val="clear" w:fill="FFF4E6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……… / 20</w:t>
            </w:r>
          </w:p>
        </w:tc>
      </w:tr>
      <w:tr>
        <w:tc>
          <w:tcPr>
            <w:tcW w:w="1500" w:type="dxa"/>
            <w:shd w:val="clear" w:fill="F2F7FB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8"/>
                <w:szCs w:val="18"/>
              </w:rPr>
              <w:t xml:space="preserve">C4</w:t>
            </w:r>
          </w:p>
        </w:tc>
        <w:tc>
          <w:tcPr>
            <w:tcW w:w="5200" w:type="dxa"/>
            <w:shd w:val="clear" w:fill="F2F7FB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Rédiger un message simple et cohérent</w:t>
            </w:r>
          </w:p>
        </w:tc>
        <w:tc>
          <w:tcPr>
            <w:tcW w:w="3500" w:type="dxa"/>
            <w:shd w:val="clear" w:fill="F2F7FB"/>
            <w:vAlign w:val="center"/>
          </w:tcPr>
          <w:p>
            <w:pPr>
              <w:spacing w:before="20" w:after="20"/>
              <w:jc w:val="left"/>
            </w:pPr>
            <w:r>
              <w:rPr>
                <w:sz w:val="16"/>
                <w:szCs w:val="16"/>
              </w:rPr>
              <w:t xml:space="preserve">Écrit — Situation 2 (expression écrite)</w:t>
            </w:r>
          </w:p>
        </w:tc>
        <w:tc>
          <w:tcPr>
            <w:tcW w:w="2200" w:type="dxa"/>
            <w:shd w:val="clear" w:fill="FFF4E6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……… / 20</w:t>
            </w:r>
          </w:p>
        </w:tc>
      </w:tr>
      <w:tr>
        <w:tc>
          <w:tcPr>
            <w:tcW w:w="150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8"/>
                <w:szCs w:val="18"/>
              </w:rPr>
              <w:t xml:space="preserve">C5</w:t>
            </w:r>
          </w:p>
        </w:tc>
        <w:tc>
          <w:tcPr>
            <w:tcW w:w="520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7"/>
                <w:szCs w:val="17"/>
              </w:rPr>
              <w:t xml:space="preserve">Mobiliser la langue en contexte professionnel agricole</w:t>
            </w:r>
          </w:p>
        </w:tc>
        <w:tc>
          <w:tcPr>
            <w:tcW w:w="350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16"/>
                <w:szCs w:val="16"/>
              </w:rPr>
              <w:t xml:space="preserve">Oral/Pro — Situations 1 &amp; 2 (communication professionnelle)</w:t>
            </w:r>
          </w:p>
        </w:tc>
        <w:tc>
          <w:tcPr>
            <w:tcW w:w="2200" w:type="dxa"/>
            <w:shd w:val="clear" w:fill="FFF4E6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0"/>
                <w:szCs w:val="20"/>
              </w:rPr>
              <w:t xml:space="preserve">……… / 20</w:t>
            </w:r>
          </w:p>
        </w:tc>
      </w:tr>
      <w:tr>
        <w:tc>
          <w:tcPr>
            <w:tcW w:w="10200" w:type="dxa"/>
            <w:gridSpan w:val="3"/>
            <w:shd w:val="clear" w:fill="C6E0B4"/>
            <w:vAlign w:val="center"/>
          </w:tcPr>
          <w:p>
            <w:pPr>
              <w:spacing w:before="20" w:after="20"/>
              <w:jc w:val="right"/>
            </w:pPr>
            <w:r>
              <w:rPr>
                <w:b/>
                <w:sz w:val="20"/>
                <w:szCs w:val="20"/>
              </w:rPr>
              <w:t xml:space="preserve">NOTE FINALE  (moyenne des 5 capacités, sur 20)</w:t>
            </w:r>
          </w:p>
        </w:tc>
        <w:tc>
          <w:tcPr>
            <w:tcW w:w="2200" w:type="dxa"/>
            <w:shd w:val="clear" w:fill="C6E0B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22"/>
                <w:szCs w:val="22"/>
              </w:rPr>
              <w:t xml:space="preserve">……… / 20</w:t>
            </w:r>
          </w:p>
        </w:tc>
      </w:tr>
    </w:tbl>
    <w:p>
      <w:pPr>
        <w:spacing w:before="30" w:after="50"/>
      </w:pPr>
      <w:r>
        <w:rPr>
          <w:i/>
          <w:sz w:val="18"/>
          <w:szCs w:val="18"/>
        </w:rPr>
        <w:t xml:space="preserve">Coefficient du module M23 dans l'examen : 2. La note finale capacitaire (/20) est la moyenne arithmétique des cinq capacités C1 à C5.</w:t>
      </w:r>
    </w:p>
    <w:p>
      <w:pPr>
        <w:spacing w:before="30" w:after="50"/>
      </w:pPr>
      <w:r>
        <w:rPr>
          <w:sz w:val="18"/>
          <w:szCs w:val="18"/>
        </w:rPr>
        <w:t xml:space="preserve">Nom : ……………………………………        Prénom : ……………………………………        Classe : BTSA ACSE</w:t>
      </w:r>
    </w:p>
    <w:p>
      <w:pPr>
        <w:spacing w:before="30" w:after="50"/>
      </w:pPr>
      <w:r>
        <w:rPr>
          <w:sz w:val="18"/>
          <w:szCs w:val="18"/>
        </w:rPr>
        <w:t xml:space="preserve">Appréciation générale : ……………………………………………………………………………………………………………………………………………………</w:t>
      </w:r>
    </w:p>
    <w:p>
      <w:pPr>
        <w:spacing w:before="30" w:after="50"/>
      </w:pPr>
      <w:r>
        <w:rPr>
          <w:sz w:val="18"/>
          <w:szCs w:val="18"/>
        </w:rPr>
        <w:t xml:space="preserve">Date : ………………                Nom et signature de l'examinateur : ……………………………………</w:t>
      </w:r>
    </w:p>
    <w:sectPr>
      <w:pgSz w:w="16838" w:h="11906" w:orient="landscape"/>
      <w:pgMar w:top="900" w:right="900" w:bottom="900" w:left="900" w:header="454" w:footer="454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0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2" Type="http://schemas.openxmlformats.org/officeDocument/2006/relationships/styles" Target="styles.xml"/></Relationships>
</file>