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D4DA" w14:textId="6883C5BD" w:rsidR="00920D9D" w:rsidRPr="00EC6FF1" w:rsidRDefault="009A66EA" w:rsidP="0032587E">
      <w:pPr>
        <w:jc w:val="center"/>
        <w:rPr>
          <w:rFonts w:ascii="Times New Roman" w:hAnsi="Times New Roman" w:cs="Times New Roman"/>
          <w:b/>
          <w:bCs/>
        </w:rPr>
      </w:pPr>
      <w:r w:rsidRPr="00EC6FF1">
        <w:rPr>
          <w:rFonts w:ascii="Times New Roman" w:hAnsi="Times New Roman" w:cs="Times New Roman"/>
          <w:b/>
          <w:bCs/>
        </w:rPr>
        <w:t>Climate Policy and Sovereign Debt: The impact of the NGFS scenario outcomes on sovereign creditworthiness</w:t>
      </w:r>
    </w:p>
    <w:p w14:paraId="3CA3E1D6" w14:textId="55335494" w:rsidR="0032587E" w:rsidRPr="00EC6FF1" w:rsidRDefault="0032587E" w:rsidP="0032587E">
      <w:pPr>
        <w:jc w:val="center"/>
        <w:rPr>
          <w:rFonts w:ascii="Times New Roman" w:hAnsi="Times New Roman" w:cs="Times New Roman"/>
        </w:rPr>
      </w:pPr>
      <w:r w:rsidRPr="00EC6FF1">
        <w:rPr>
          <w:rFonts w:ascii="Times New Roman" w:hAnsi="Times New Roman" w:cs="Times New Roman"/>
        </w:rPr>
        <w:t>Matt Burke</w:t>
      </w:r>
      <w:r w:rsidRPr="00EC6FF1">
        <w:rPr>
          <w:rStyle w:val="FootnoteReference"/>
          <w:rFonts w:ascii="Times New Roman" w:hAnsi="Times New Roman" w:cs="Times New Roman"/>
        </w:rPr>
        <w:footnoteReference w:id="2"/>
      </w:r>
      <w:r w:rsidRPr="00EC6FF1">
        <w:rPr>
          <w:rFonts w:ascii="Times New Roman" w:hAnsi="Times New Roman" w:cs="Times New Roman"/>
        </w:rPr>
        <w:t>, Matthew Agarwala</w:t>
      </w:r>
      <w:r w:rsidR="00AA47F9">
        <w:rPr>
          <w:rStyle w:val="FootnoteReference"/>
          <w:rFonts w:ascii="Times New Roman" w:hAnsi="Times New Roman" w:cs="Times New Roman"/>
        </w:rPr>
        <w:footnoteReference w:id="3"/>
      </w:r>
      <w:r w:rsidRPr="00EC6FF1">
        <w:rPr>
          <w:rFonts w:ascii="Times New Roman" w:hAnsi="Times New Roman" w:cs="Times New Roman"/>
        </w:rPr>
        <w:t>, Patrycja Klusak</w:t>
      </w:r>
      <w:r w:rsidR="00AA47F9">
        <w:rPr>
          <w:rStyle w:val="FootnoteReference"/>
          <w:rFonts w:ascii="Times New Roman" w:hAnsi="Times New Roman" w:cs="Times New Roman"/>
        </w:rPr>
        <w:footnoteReference w:id="4"/>
      </w:r>
      <w:r w:rsidRPr="00EC6FF1">
        <w:rPr>
          <w:rFonts w:ascii="Times New Roman" w:hAnsi="Times New Roman" w:cs="Times New Roman"/>
        </w:rPr>
        <w:t xml:space="preserve">, and Kamiar </w:t>
      </w:r>
      <w:proofErr w:type="spellStart"/>
      <w:r w:rsidRPr="00EC6FF1">
        <w:rPr>
          <w:rFonts w:ascii="Times New Roman" w:hAnsi="Times New Roman" w:cs="Times New Roman"/>
        </w:rPr>
        <w:t>Mohaddes</w:t>
      </w:r>
      <w:proofErr w:type="spellEnd"/>
      <w:r w:rsidR="00141C8D">
        <w:rPr>
          <w:rStyle w:val="FootnoteReference"/>
          <w:rFonts w:ascii="Times New Roman" w:hAnsi="Times New Roman" w:cs="Times New Roman"/>
        </w:rPr>
        <w:footnoteReference w:id="5"/>
      </w:r>
    </w:p>
    <w:p w14:paraId="4A48C488" w14:textId="69670F3E" w:rsidR="0032587E" w:rsidRPr="00EC6FF1" w:rsidRDefault="00424EA3" w:rsidP="0032587E">
      <w:pPr>
        <w:jc w:val="center"/>
        <w:rPr>
          <w:rFonts w:ascii="Times New Roman" w:hAnsi="Times New Roman" w:cs="Times New Roman"/>
        </w:rPr>
      </w:pPr>
      <w:r w:rsidRPr="00EC6FF1">
        <w:rPr>
          <w:rFonts w:ascii="Times New Roman" w:hAnsi="Times New Roman" w:cs="Times New Roman"/>
        </w:rPr>
        <w:t>December</w:t>
      </w:r>
      <w:r w:rsidR="0032587E" w:rsidRPr="00EC6FF1">
        <w:rPr>
          <w:rFonts w:ascii="Times New Roman" w:hAnsi="Times New Roman" w:cs="Times New Roman"/>
        </w:rPr>
        <w:t xml:space="preserve"> 2024</w:t>
      </w:r>
    </w:p>
    <w:p w14:paraId="69865D88" w14:textId="2DACCD68" w:rsidR="009A66EA" w:rsidRPr="00EC6FF1" w:rsidRDefault="009A66EA" w:rsidP="0032587E">
      <w:pPr>
        <w:jc w:val="center"/>
        <w:rPr>
          <w:rFonts w:ascii="Times New Roman" w:hAnsi="Times New Roman" w:cs="Times New Roman"/>
          <w:b/>
          <w:bCs/>
        </w:rPr>
      </w:pPr>
      <w:r w:rsidRPr="00EC6FF1">
        <w:rPr>
          <w:rFonts w:ascii="Times New Roman" w:hAnsi="Times New Roman" w:cs="Times New Roman"/>
          <w:b/>
          <w:bCs/>
        </w:rPr>
        <w:t>Abstract</w:t>
      </w:r>
    </w:p>
    <w:p w14:paraId="0DE2457E" w14:textId="52916D53" w:rsidR="009A66EA" w:rsidRPr="00EC6FF1" w:rsidRDefault="009A66EA" w:rsidP="0032587E">
      <w:pPr>
        <w:jc w:val="both"/>
        <w:rPr>
          <w:rFonts w:ascii="Times New Roman" w:hAnsi="Times New Roman" w:cs="Times New Roman"/>
        </w:rPr>
      </w:pPr>
      <w:r w:rsidRPr="00EC6FF1">
        <w:rPr>
          <w:rFonts w:ascii="Times New Roman" w:hAnsi="Times New Roman" w:cs="Times New Roman"/>
        </w:rPr>
        <w:t>This paper links climate science with sovereign risk assessment to produce a single measure of country-level climate change risk. We combine</w:t>
      </w:r>
      <w:r w:rsidR="00C35085" w:rsidRPr="00EC6FF1">
        <w:rPr>
          <w:rFonts w:ascii="Times New Roman" w:hAnsi="Times New Roman" w:cs="Times New Roman"/>
        </w:rPr>
        <w:t xml:space="preserve"> the</w:t>
      </w:r>
      <w:r w:rsidRPr="00EC6FF1">
        <w:rPr>
          <w:rFonts w:ascii="Times New Roman" w:hAnsi="Times New Roman" w:cs="Times New Roman"/>
        </w:rPr>
        <w:t xml:space="preserve"> Network for Greening the Financial System (NGFS) climate scenarios with a sovereign credit ratings model to simulate the impact of climate change on credit ratings, cost of debt and probability of default. For the first time, we extend beyond the physical risks of extreme weather events to explicitly incorporate risks associated with transitioning the global economy towards Net Zero. Across the sample of 48 countries and under a scenario of high (low) physical and transition risks, we find average downgrades of </w:t>
      </w:r>
      <w:r w:rsidR="009F306B">
        <w:rPr>
          <w:rFonts w:ascii="Times New Roman" w:hAnsi="Times New Roman" w:cs="Times New Roman"/>
        </w:rPr>
        <w:t>3.</w:t>
      </w:r>
      <w:r w:rsidR="003A5F2E">
        <w:rPr>
          <w:rFonts w:ascii="Times New Roman" w:hAnsi="Times New Roman" w:cs="Times New Roman"/>
        </w:rPr>
        <w:t>9</w:t>
      </w:r>
      <w:r w:rsidRPr="00EC6FF1">
        <w:rPr>
          <w:rFonts w:ascii="Times New Roman" w:hAnsi="Times New Roman" w:cs="Times New Roman"/>
        </w:rPr>
        <w:t xml:space="preserve"> (</w:t>
      </w:r>
      <w:r w:rsidR="00FB5016">
        <w:rPr>
          <w:rFonts w:ascii="Times New Roman" w:hAnsi="Times New Roman" w:cs="Times New Roman"/>
        </w:rPr>
        <w:t>2.</w:t>
      </w:r>
      <w:r w:rsidR="003A5F2E">
        <w:rPr>
          <w:rFonts w:ascii="Times New Roman" w:hAnsi="Times New Roman" w:cs="Times New Roman"/>
        </w:rPr>
        <w:t>7</w:t>
      </w:r>
      <w:r w:rsidRPr="00EC6FF1">
        <w:rPr>
          <w:rFonts w:ascii="Times New Roman" w:hAnsi="Times New Roman" w:cs="Times New Roman"/>
        </w:rPr>
        <w:t xml:space="preserve">) notches and mean increases in the cost of debt of </w:t>
      </w:r>
      <w:r w:rsidR="00F273A8">
        <w:rPr>
          <w:rFonts w:ascii="Times New Roman" w:hAnsi="Times New Roman" w:cs="Times New Roman"/>
        </w:rPr>
        <w:t>123</w:t>
      </w:r>
      <w:r w:rsidRPr="00EC6FF1">
        <w:rPr>
          <w:rFonts w:ascii="Times New Roman" w:hAnsi="Times New Roman" w:cs="Times New Roman"/>
        </w:rPr>
        <w:t xml:space="preserve"> (</w:t>
      </w:r>
      <w:r w:rsidR="00F273A8">
        <w:rPr>
          <w:rFonts w:ascii="Times New Roman" w:hAnsi="Times New Roman" w:cs="Times New Roman"/>
        </w:rPr>
        <w:t>76</w:t>
      </w:r>
      <w:r w:rsidRPr="00EC6FF1">
        <w:rPr>
          <w:rFonts w:ascii="Times New Roman" w:hAnsi="Times New Roman" w:cs="Times New Roman"/>
        </w:rPr>
        <w:t xml:space="preserve">) basis points and default probability of </w:t>
      </w:r>
      <w:r w:rsidR="00F273A8">
        <w:rPr>
          <w:rFonts w:ascii="Times New Roman" w:hAnsi="Times New Roman" w:cs="Times New Roman"/>
        </w:rPr>
        <w:t>10.4</w:t>
      </w:r>
      <w:r w:rsidRPr="00EC6FF1">
        <w:rPr>
          <w:rFonts w:ascii="Times New Roman" w:hAnsi="Times New Roman" w:cs="Times New Roman"/>
        </w:rPr>
        <w:t>% (</w:t>
      </w:r>
      <w:r w:rsidR="00F273A8">
        <w:rPr>
          <w:rFonts w:ascii="Times New Roman" w:hAnsi="Times New Roman" w:cs="Times New Roman"/>
        </w:rPr>
        <w:t>6.1</w:t>
      </w:r>
      <w:r w:rsidRPr="00EC6FF1">
        <w:rPr>
          <w:rFonts w:ascii="Times New Roman" w:hAnsi="Times New Roman" w:cs="Times New Roman"/>
        </w:rPr>
        <w:t>%). Counter-intuitively, ratings, default probability, and cost of debt appear insensitive to scenario</w:t>
      </w:r>
      <w:r w:rsidR="00336013">
        <w:rPr>
          <w:rFonts w:ascii="Times New Roman" w:hAnsi="Times New Roman" w:cs="Times New Roman"/>
        </w:rPr>
        <w:t>s</w:t>
      </w:r>
      <w:r w:rsidRPr="00EC6FF1">
        <w:rPr>
          <w:rFonts w:ascii="Times New Roman" w:hAnsi="Times New Roman" w:cs="Times New Roman"/>
        </w:rPr>
        <w:t xml:space="preserve"> in some countries, with important implications for the usefulness of NGFS scenarios across central banks.</w:t>
      </w:r>
    </w:p>
    <w:p w14:paraId="35962F7F" w14:textId="77777777" w:rsidR="00B40A60" w:rsidRPr="00EC6FF1" w:rsidRDefault="00B40A60" w:rsidP="00B40A60">
      <w:pPr>
        <w:jc w:val="both"/>
        <w:rPr>
          <w:rFonts w:ascii="Times New Roman" w:hAnsi="Times New Roman" w:cs="Times New Roman"/>
          <w:b/>
          <w:lang w:val="en-US"/>
        </w:rPr>
      </w:pPr>
      <w:r w:rsidRPr="00EC6FF1">
        <w:rPr>
          <w:rFonts w:ascii="Times New Roman" w:hAnsi="Times New Roman" w:cs="Times New Roman"/>
          <w:b/>
          <w:lang w:val="en-US"/>
        </w:rPr>
        <w:t xml:space="preserve">Keywords: Sovereign Debt, Credit Ratings, Climate Change </w:t>
      </w:r>
    </w:p>
    <w:p w14:paraId="3F9FCA5C" w14:textId="3330AA0F" w:rsidR="00B40A60" w:rsidRPr="00EC6FF1" w:rsidRDefault="00B40A60" w:rsidP="00B40A60">
      <w:pPr>
        <w:jc w:val="both"/>
        <w:rPr>
          <w:rFonts w:ascii="Times New Roman" w:hAnsi="Times New Roman" w:cs="Times New Roman"/>
          <w:b/>
          <w:lang w:val="en-US"/>
        </w:rPr>
      </w:pPr>
      <w:r w:rsidRPr="00EC6FF1">
        <w:rPr>
          <w:rFonts w:ascii="Times New Roman" w:hAnsi="Times New Roman" w:cs="Times New Roman"/>
          <w:b/>
          <w:lang w:val="en-US"/>
        </w:rPr>
        <w:t xml:space="preserve">JEL codes: </w:t>
      </w:r>
      <w:r w:rsidR="003B1666">
        <w:rPr>
          <w:rFonts w:ascii="Times New Roman" w:hAnsi="Times New Roman" w:cs="Times New Roman"/>
          <w:b/>
          <w:lang w:val="en-US"/>
        </w:rPr>
        <w:t xml:space="preserve">E6, </w:t>
      </w:r>
      <w:r w:rsidR="00CA2549">
        <w:rPr>
          <w:rFonts w:ascii="Times New Roman" w:hAnsi="Times New Roman" w:cs="Times New Roman"/>
          <w:b/>
          <w:lang w:val="en-US"/>
        </w:rPr>
        <w:t xml:space="preserve">G2, </w:t>
      </w:r>
      <w:r w:rsidR="00E03BD3">
        <w:rPr>
          <w:rFonts w:ascii="Times New Roman" w:hAnsi="Times New Roman" w:cs="Times New Roman"/>
          <w:b/>
          <w:lang w:val="en-US"/>
        </w:rPr>
        <w:t>Q5</w:t>
      </w:r>
    </w:p>
    <w:p w14:paraId="368EF3A9" w14:textId="77777777" w:rsidR="00B40A60" w:rsidRPr="00EC6FF1" w:rsidRDefault="00B40A60" w:rsidP="0032587E">
      <w:pPr>
        <w:jc w:val="both"/>
        <w:rPr>
          <w:rFonts w:ascii="Times New Roman" w:hAnsi="Times New Roman" w:cs="Times New Roman"/>
        </w:rPr>
      </w:pPr>
    </w:p>
    <w:p w14:paraId="2F1DA4B9" w14:textId="3FA82B84" w:rsidR="009A66EA" w:rsidRPr="00EC6FF1" w:rsidRDefault="009A66EA" w:rsidP="000F3655">
      <w:pPr>
        <w:pStyle w:val="ListParagraph"/>
        <w:numPr>
          <w:ilvl w:val="0"/>
          <w:numId w:val="1"/>
        </w:numPr>
        <w:jc w:val="both"/>
        <w:rPr>
          <w:rFonts w:ascii="Times New Roman" w:hAnsi="Times New Roman" w:cs="Times New Roman"/>
          <w:b/>
          <w:bCs/>
        </w:rPr>
      </w:pPr>
      <w:r w:rsidRPr="00EC6FF1">
        <w:rPr>
          <w:rFonts w:ascii="Times New Roman" w:hAnsi="Times New Roman" w:cs="Times New Roman"/>
          <w:b/>
          <w:bCs/>
        </w:rPr>
        <w:t>Introduction</w:t>
      </w:r>
    </w:p>
    <w:p w14:paraId="103DF65A" w14:textId="33685B44" w:rsidR="009A66EA" w:rsidRPr="00EC6FF1" w:rsidRDefault="009A66EA" w:rsidP="0032587E">
      <w:pPr>
        <w:jc w:val="both"/>
        <w:rPr>
          <w:rFonts w:ascii="Times New Roman" w:hAnsi="Times New Roman" w:cs="Times New Roman"/>
        </w:rPr>
      </w:pPr>
      <w:r w:rsidRPr="00EC6FF1">
        <w:rPr>
          <w:rFonts w:ascii="Times New Roman" w:hAnsi="Times New Roman" w:cs="Times New Roman"/>
        </w:rPr>
        <w:t xml:space="preserve">Climate change presents macroeconomic risks through at least two channels, the direct physical consequences of extreme weather events (physical risks) and the economic risks associated with transforming the global economy from a fossil-fuel based regime to a Net Zere one (transition risks). The IMF estimates that meeting Net Zero by 2050 will require green investments to rise from $900bn in 2020 to $5tn annually </w:t>
      </w:r>
      <w:r w:rsidRPr="00E131E9">
        <w:rPr>
          <w:rFonts w:ascii="Times New Roman" w:hAnsi="Times New Roman" w:cs="Times New Roman"/>
        </w:rPr>
        <w:t>by 2030</w:t>
      </w:r>
      <w:r w:rsidR="00E131E9" w:rsidRPr="00E131E9">
        <w:rPr>
          <w:rStyle w:val="FootnoteReference"/>
          <w:rFonts w:ascii="Times New Roman" w:hAnsi="Times New Roman" w:cs="Times New Roman"/>
        </w:rPr>
        <w:footnoteReference w:id="6"/>
      </w:r>
      <w:r w:rsidRPr="00E131E9">
        <w:rPr>
          <w:rFonts w:ascii="Times New Roman" w:hAnsi="Times New Roman" w:cs="Times New Roman"/>
        </w:rPr>
        <w:t>.</w:t>
      </w:r>
      <w:r w:rsidRPr="00EC6FF1">
        <w:rPr>
          <w:rFonts w:ascii="Times New Roman" w:hAnsi="Times New Roman" w:cs="Times New Roman"/>
        </w:rPr>
        <w:t xml:space="preserve"> If there is any hope of meeting these investment needs, sovereign debt markets will need to play an important role. Indeed, the weighted average cost of capital is one of the primary determinants of investment in renewable energy capacity. At the same time, climate change is already curtailing economic output with impacts on tax revenues and ultimately the ability of sovereigns to service debt (Klusak et al 2023). Established in 2017, the Network for Greening the Financial System (NGFS) is a consortium of 159 central banks and supervisors dedicated to sharing best practices and mobilising private finance to support the Net Zero transition. To coordinate research efforts, the NGFS developed a suite of transition scenarios to ensure consistency and comparability in modelling and research efforts. We use these scenarios </w:t>
      </w:r>
      <w:r w:rsidRPr="00EC6FF1">
        <w:rPr>
          <w:rFonts w:ascii="Times New Roman" w:hAnsi="Times New Roman" w:cs="Times New Roman"/>
        </w:rPr>
        <w:lastRenderedPageBreak/>
        <w:t>to estimate the impact of physical and transition risks on sovereign credit ratings, the probability of default, and the cost of public borrowing across a sample of 48 economies.</w:t>
      </w:r>
    </w:p>
    <w:p w14:paraId="610320EC" w14:textId="473FF204" w:rsidR="009A66EA" w:rsidRPr="00EC6FF1" w:rsidRDefault="009A66EA" w:rsidP="0032587E">
      <w:pPr>
        <w:jc w:val="both"/>
        <w:rPr>
          <w:rFonts w:ascii="Times New Roman" w:hAnsi="Times New Roman" w:cs="Times New Roman"/>
          <w:lang w:val="en-US"/>
        </w:rPr>
      </w:pPr>
      <w:r w:rsidRPr="00EC6FF1">
        <w:rPr>
          <w:rFonts w:ascii="Times New Roman" w:hAnsi="Times New Roman" w:cs="Times New Roman"/>
          <w:lang w:val="en-US"/>
        </w:rPr>
        <w:t>Globally, public debt now totals $97 trillion</w:t>
      </w:r>
      <w:r w:rsidR="00DF217C">
        <w:rPr>
          <w:rStyle w:val="FootnoteReference"/>
          <w:rFonts w:ascii="Times New Roman" w:hAnsi="Times New Roman" w:cs="Times New Roman"/>
          <w:lang w:val="en-US"/>
        </w:rPr>
        <w:footnoteReference w:id="7"/>
      </w:r>
      <w:r w:rsidRPr="00EC6FF1">
        <w:rPr>
          <w:rFonts w:ascii="Times New Roman" w:hAnsi="Times New Roman" w:cs="Times New Roman"/>
          <w:vertAlign w:val="superscript"/>
          <w:lang w:val="en-US"/>
        </w:rPr>
        <w:t xml:space="preserve"> </w:t>
      </w:r>
      <w:r w:rsidRPr="00EC6FF1">
        <w:rPr>
          <w:rFonts w:ascii="Times New Roman" w:hAnsi="Times New Roman" w:cs="Times New Roman"/>
          <w:lang w:val="en-US"/>
        </w:rPr>
        <w:t xml:space="preserve">and little is known about how the energy transition might impact the price of government bonds. But as major holders of public debt, governments, central banks, mutual funds, pension funds, and insurance companies will increasingly require credible information describing the implications of physical and transition risk for </w:t>
      </w:r>
      <w:r w:rsidR="00680E94" w:rsidRPr="00EC6FF1">
        <w:rPr>
          <w:rFonts w:ascii="Times New Roman" w:hAnsi="Times New Roman" w:cs="Times New Roman"/>
          <w:lang w:val="en-US"/>
        </w:rPr>
        <w:t>sovereign</w:t>
      </w:r>
      <w:r w:rsidRPr="00EC6FF1">
        <w:rPr>
          <w:rFonts w:ascii="Times New Roman" w:hAnsi="Times New Roman" w:cs="Times New Roman"/>
          <w:lang w:val="en-US"/>
        </w:rPr>
        <w:t xml:space="preserve"> debt markets. Understanding how the risk profile and associated value of sovereign debt is expected to change in relation to climate risks is crucial for the stability of the financial system.</w:t>
      </w:r>
    </w:p>
    <w:p w14:paraId="55D36A4B" w14:textId="71ED9680" w:rsidR="009C5FF3" w:rsidRPr="00BB34B3" w:rsidRDefault="009A66EA" w:rsidP="0032587E">
      <w:pPr>
        <w:jc w:val="both"/>
        <w:rPr>
          <w:rFonts w:ascii="Times New Roman" w:hAnsi="Times New Roman" w:cs="Times New Roman"/>
          <w:lang w:val="en-US"/>
        </w:rPr>
      </w:pPr>
      <w:r w:rsidRPr="00EC6FF1">
        <w:rPr>
          <w:rFonts w:ascii="Times New Roman" w:hAnsi="Times New Roman" w:cs="Times New Roman"/>
        </w:rPr>
        <w:t xml:space="preserve">Our central contribution is to integrate climate science into sovereign risk assessment to quantify country-level climate change risk under a range of policy-relevant scenarios designed and used by a consortium of central banks. Integrated climate risk is difficult to quantify, that is the combination of both physical and transition risks. </w:t>
      </w:r>
      <w:r w:rsidR="00E2319B" w:rsidRPr="00EC6FF1">
        <w:rPr>
          <w:rFonts w:ascii="Times New Roman" w:hAnsi="Times New Roman" w:cs="Times New Roman"/>
        </w:rPr>
        <w:t>Studies</w:t>
      </w:r>
      <w:r w:rsidRPr="00EC6FF1">
        <w:rPr>
          <w:rFonts w:ascii="Times New Roman" w:hAnsi="Times New Roman" w:cs="Times New Roman"/>
        </w:rPr>
        <w:t xml:space="preserve"> suggest that corporate and sovereign bond investors may be highly sensitive to the choice of transition scenario (Battiston </w:t>
      </w:r>
      <w:r w:rsidR="00CF6EB8" w:rsidRPr="00EC6FF1">
        <w:rPr>
          <w:rFonts w:ascii="Times New Roman" w:hAnsi="Times New Roman" w:cs="Times New Roman"/>
        </w:rPr>
        <w:t>&amp;</w:t>
      </w:r>
      <w:r w:rsidRPr="00EC6FF1">
        <w:rPr>
          <w:rFonts w:ascii="Times New Roman" w:hAnsi="Times New Roman" w:cs="Times New Roman"/>
        </w:rPr>
        <w:t xml:space="preserve"> </w:t>
      </w:r>
      <w:proofErr w:type="spellStart"/>
      <w:r w:rsidRPr="00EC6FF1">
        <w:rPr>
          <w:rFonts w:ascii="Times New Roman" w:hAnsi="Times New Roman" w:cs="Times New Roman"/>
        </w:rPr>
        <w:t>Monasterolo</w:t>
      </w:r>
      <w:proofErr w:type="spellEnd"/>
      <w:r w:rsidRPr="00EC6FF1">
        <w:rPr>
          <w:rFonts w:ascii="Times New Roman" w:hAnsi="Times New Roman" w:cs="Times New Roman"/>
        </w:rPr>
        <w:t>, 2020</w:t>
      </w:r>
      <w:r w:rsidR="007C25E0" w:rsidRPr="00EC6FF1">
        <w:rPr>
          <w:rFonts w:ascii="Times New Roman" w:hAnsi="Times New Roman" w:cs="Times New Roman"/>
        </w:rPr>
        <w:t>; De Angelis et al, 202</w:t>
      </w:r>
      <w:r w:rsidR="00950278" w:rsidRPr="00EC6FF1">
        <w:rPr>
          <w:rFonts w:ascii="Times New Roman" w:hAnsi="Times New Roman" w:cs="Times New Roman"/>
        </w:rPr>
        <w:t>4</w:t>
      </w:r>
      <w:r w:rsidRPr="00EC6FF1">
        <w:rPr>
          <w:rFonts w:ascii="Times New Roman" w:hAnsi="Times New Roman" w:cs="Times New Roman"/>
        </w:rPr>
        <w:t xml:space="preserve">). We make a first attempt to apply the NGFS scenarios to simulations of sovereign credit </w:t>
      </w:r>
      <w:r w:rsidRPr="00BB34B3">
        <w:rPr>
          <w:rFonts w:ascii="Times New Roman" w:hAnsi="Times New Roman" w:cs="Times New Roman"/>
        </w:rPr>
        <w:t xml:space="preserve">ratings. We document two key findings. First, </w:t>
      </w:r>
      <w:r w:rsidR="00BB34B3" w:rsidRPr="00BB34B3">
        <w:rPr>
          <w:rFonts w:ascii="Times New Roman" w:hAnsi="Times New Roman" w:cs="Times New Roman"/>
          <w:lang w:val="en-US"/>
        </w:rPr>
        <w:t>a Fragmented</w:t>
      </w:r>
      <w:r w:rsidR="00BB34B3" w:rsidRPr="00EC6FF1">
        <w:rPr>
          <w:rFonts w:ascii="Times New Roman" w:hAnsi="Times New Roman" w:cs="Times New Roman"/>
          <w:lang w:val="en-US"/>
        </w:rPr>
        <w:t xml:space="preserve"> World scenario results in a </w:t>
      </w:r>
      <w:r w:rsidR="00883568">
        <w:rPr>
          <w:rFonts w:ascii="Times New Roman" w:hAnsi="Times New Roman" w:cs="Times New Roman"/>
          <w:lang w:val="en-US"/>
        </w:rPr>
        <w:t>3.</w:t>
      </w:r>
      <w:r w:rsidR="00961BAC">
        <w:rPr>
          <w:rFonts w:ascii="Times New Roman" w:hAnsi="Times New Roman" w:cs="Times New Roman"/>
          <w:lang w:val="en-US"/>
        </w:rPr>
        <w:t>9</w:t>
      </w:r>
      <w:r w:rsidR="00BB34B3" w:rsidRPr="00EC6FF1">
        <w:rPr>
          <w:rFonts w:ascii="Times New Roman" w:hAnsi="Times New Roman" w:cs="Times New Roman"/>
          <w:lang w:val="en-US"/>
        </w:rPr>
        <w:t xml:space="preserve"> notch downgrade by 2050. Second, we show that some countries are motivated to make careful climate-policy choices because of the implications for their creditworthiness. Whereas other countries face a moral hazard dilemma and </w:t>
      </w:r>
      <w:proofErr w:type="gramStart"/>
      <w:r w:rsidR="00BB34B3" w:rsidRPr="00EC6FF1">
        <w:rPr>
          <w:rFonts w:ascii="Times New Roman" w:hAnsi="Times New Roman" w:cs="Times New Roman"/>
          <w:lang w:val="en-US"/>
        </w:rPr>
        <w:t>either</w:t>
      </w:r>
      <w:proofErr w:type="gramEnd"/>
      <w:r w:rsidR="00BB34B3" w:rsidRPr="00EC6FF1">
        <w:rPr>
          <w:rFonts w:ascii="Times New Roman" w:hAnsi="Times New Roman" w:cs="Times New Roman"/>
          <w:lang w:val="en-US"/>
        </w:rPr>
        <w:t xml:space="preserve"> face no downgrade (or equally large) regardless of climate- policy choices. Finally, we argue that our results have both practical and policy implications for long-term investors and sovereigns respectively. </w:t>
      </w:r>
    </w:p>
    <w:p w14:paraId="238670CA" w14:textId="458EBD44" w:rsidR="00A53AE6" w:rsidRPr="00EC6FF1" w:rsidRDefault="009A66EA" w:rsidP="0032587E">
      <w:pPr>
        <w:jc w:val="both"/>
        <w:rPr>
          <w:rFonts w:ascii="Times New Roman" w:hAnsi="Times New Roman" w:cs="Times New Roman"/>
          <w:lang w:val="en-US"/>
        </w:rPr>
      </w:pPr>
      <w:r w:rsidRPr="00EC6FF1">
        <w:rPr>
          <w:rFonts w:ascii="Times New Roman" w:hAnsi="Times New Roman" w:cs="Times New Roman"/>
        </w:rPr>
        <w:t>Our analysis relies on</w:t>
      </w:r>
      <w:r w:rsidR="00D935E2" w:rsidRPr="00EC6FF1">
        <w:rPr>
          <w:rFonts w:ascii="Times New Roman" w:hAnsi="Times New Roman" w:cs="Times New Roman"/>
        </w:rPr>
        <w:t xml:space="preserve"> </w:t>
      </w:r>
      <w:r w:rsidR="0013776D" w:rsidRPr="00EC6FF1">
        <w:rPr>
          <w:rFonts w:ascii="Times New Roman" w:hAnsi="Times New Roman" w:cs="Times New Roman"/>
        </w:rPr>
        <w:t>one</w:t>
      </w:r>
      <w:r w:rsidR="00D935E2" w:rsidRPr="00EC6FF1">
        <w:rPr>
          <w:rFonts w:ascii="Times New Roman" w:hAnsi="Times New Roman" w:cs="Times New Roman"/>
        </w:rPr>
        <w:t xml:space="preserve"> key </w:t>
      </w:r>
      <w:r w:rsidRPr="00EC6FF1">
        <w:rPr>
          <w:rFonts w:ascii="Times New Roman" w:hAnsi="Times New Roman" w:cs="Times New Roman"/>
        </w:rPr>
        <w:t>assumption</w:t>
      </w:r>
      <w:r w:rsidR="0013776D" w:rsidRPr="00EC6FF1">
        <w:rPr>
          <w:rFonts w:ascii="Times New Roman" w:hAnsi="Times New Roman" w:cs="Times New Roman"/>
        </w:rPr>
        <w:t xml:space="preserve"> regarding</w:t>
      </w:r>
      <w:r w:rsidR="00D935E2" w:rsidRPr="00EC6FF1">
        <w:rPr>
          <w:rFonts w:ascii="Times New Roman" w:hAnsi="Times New Roman" w:cs="Times New Roman"/>
        </w:rPr>
        <w:t xml:space="preserve"> the</w:t>
      </w:r>
      <w:r w:rsidRPr="00EC6FF1">
        <w:rPr>
          <w:rFonts w:ascii="Times New Roman" w:hAnsi="Times New Roman" w:cs="Times New Roman"/>
        </w:rPr>
        <w:t xml:space="preserve"> underlying</w:t>
      </w:r>
      <w:r w:rsidR="00D935E2" w:rsidRPr="00EC6FF1">
        <w:rPr>
          <w:rFonts w:ascii="Times New Roman" w:hAnsi="Times New Roman" w:cs="Times New Roman"/>
        </w:rPr>
        <w:t xml:space="preserve"> rating process</w:t>
      </w:r>
      <w:r w:rsidR="0013776D" w:rsidRPr="00EC6FF1">
        <w:rPr>
          <w:rFonts w:ascii="Times New Roman" w:hAnsi="Times New Roman" w:cs="Times New Roman"/>
        </w:rPr>
        <w:t xml:space="preserve">. </w:t>
      </w:r>
      <w:r w:rsidR="00A977FC" w:rsidRPr="00EC6FF1">
        <w:rPr>
          <w:rFonts w:ascii="Times New Roman" w:hAnsi="Times New Roman" w:cs="Times New Roman"/>
        </w:rPr>
        <w:t>We</w:t>
      </w:r>
      <w:r w:rsidRPr="00EC6FF1">
        <w:rPr>
          <w:rFonts w:ascii="Times New Roman" w:hAnsi="Times New Roman" w:cs="Times New Roman"/>
          <w:lang w:val="en-US"/>
        </w:rPr>
        <w:t xml:space="preserve"> expect credit rating agencies to be concerned with </w:t>
      </w:r>
      <w:r w:rsidR="00E529A7" w:rsidRPr="00EC6FF1">
        <w:rPr>
          <w:rFonts w:ascii="Times New Roman" w:hAnsi="Times New Roman" w:cs="Times New Roman"/>
          <w:lang w:val="en-US"/>
        </w:rPr>
        <w:t>“</w:t>
      </w:r>
      <w:r w:rsidRPr="00EC6FF1">
        <w:rPr>
          <w:rFonts w:ascii="Times New Roman" w:hAnsi="Times New Roman" w:cs="Times New Roman"/>
          <w:lang w:val="en-US"/>
        </w:rPr>
        <w:t xml:space="preserve">counterfactual ability to repay debt”. </w:t>
      </w:r>
      <w:r w:rsidR="007831D3" w:rsidRPr="00EC6FF1">
        <w:rPr>
          <w:rFonts w:ascii="Times New Roman" w:hAnsi="Times New Roman" w:cs="Times New Roman"/>
          <w:lang w:val="en-US"/>
        </w:rPr>
        <w:t>T</w:t>
      </w:r>
      <w:r w:rsidR="00A53AE6" w:rsidRPr="00EC6FF1">
        <w:rPr>
          <w:rFonts w:ascii="Times New Roman" w:hAnsi="Times New Roman" w:cs="Times New Roman"/>
          <w:lang w:val="en-US"/>
        </w:rPr>
        <w:t xml:space="preserve">he sovereign credit rating scale is ordinal. Countries can be categorized as highly creditworthy, in default and various points in between. The rating agencies determine this by </w:t>
      </w:r>
      <w:r w:rsidR="000476AA" w:rsidRPr="00EC6FF1">
        <w:rPr>
          <w:rFonts w:ascii="Times New Roman" w:hAnsi="Times New Roman" w:cs="Times New Roman"/>
          <w:lang w:val="en-US"/>
        </w:rPr>
        <w:t>considering</w:t>
      </w:r>
      <w:r w:rsidR="00A53AE6" w:rsidRPr="00EC6FF1">
        <w:rPr>
          <w:rFonts w:ascii="Times New Roman" w:hAnsi="Times New Roman" w:cs="Times New Roman"/>
          <w:lang w:val="en-US"/>
        </w:rPr>
        <w:t xml:space="preserve"> a range of factors, however key amongst them is economic performance and GDP. Yet, </w:t>
      </w:r>
      <w:r w:rsidR="000476AA" w:rsidRPr="00EC6FF1">
        <w:rPr>
          <w:rFonts w:ascii="Times New Roman" w:hAnsi="Times New Roman" w:cs="Times New Roman"/>
          <w:lang w:val="en-US"/>
        </w:rPr>
        <w:t>countries</w:t>
      </w:r>
      <w:r w:rsidR="00A53AE6" w:rsidRPr="00EC6FF1">
        <w:rPr>
          <w:rFonts w:ascii="Times New Roman" w:hAnsi="Times New Roman" w:cs="Times New Roman"/>
          <w:lang w:val="en-US"/>
        </w:rPr>
        <w:t xml:space="preserve"> can grow at a “steady state” and not necessarily observe an improvement in their rating, rather it remains the same. It may also be reasonable to claim that a country which fails to grow</w:t>
      </w:r>
      <w:r w:rsidR="00FC45C8" w:rsidRPr="00EC6FF1">
        <w:rPr>
          <w:rFonts w:ascii="Times New Roman" w:hAnsi="Times New Roman" w:cs="Times New Roman"/>
          <w:lang w:val="en-US"/>
        </w:rPr>
        <w:t xml:space="preserve"> </w:t>
      </w:r>
      <w:r w:rsidR="00EB1460" w:rsidRPr="00EC6FF1">
        <w:rPr>
          <w:rFonts w:ascii="Times New Roman" w:hAnsi="Times New Roman" w:cs="Times New Roman"/>
          <w:lang w:val="en-US"/>
        </w:rPr>
        <w:t>at all would likely observe a deterioration in its credit rating</w:t>
      </w:r>
      <w:r w:rsidR="00A53AE6" w:rsidRPr="00EC6FF1">
        <w:rPr>
          <w:rFonts w:ascii="Times New Roman" w:hAnsi="Times New Roman" w:cs="Times New Roman"/>
          <w:lang w:val="en-US"/>
        </w:rPr>
        <w:t xml:space="preserve">. </w:t>
      </w:r>
      <w:r w:rsidR="007831D3" w:rsidRPr="00EC6FF1">
        <w:rPr>
          <w:rFonts w:ascii="Times New Roman" w:hAnsi="Times New Roman" w:cs="Times New Roman"/>
          <w:lang w:val="en-US"/>
        </w:rPr>
        <w:t>So,</w:t>
      </w:r>
      <w:r w:rsidR="00FC45C8" w:rsidRPr="00EC6FF1">
        <w:rPr>
          <w:rFonts w:ascii="Times New Roman" w:hAnsi="Times New Roman" w:cs="Times New Roman"/>
          <w:lang w:val="en-US"/>
        </w:rPr>
        <w:t xml:space="preserve"> a</w:t>
      </w:r>
      <w:r w:rsidR="00A53AE6" w:rsidRPr="00EC6FF1">
        <w:rPr>
          <w:rFonts w:ascii="Times New Roman" w:hAnsi="Times New Roman" w:cs="Times New Roman"/>
          <w:lang w:val="en-US"/>
        </w:rPr>
        <w:t xml:space="preserve"> country which grows at a slower rate, because of climate change, does so at the expense of macroeconomic fundamentals, and therefore this impacts </w:t>
      </w:r>
      <w:r w:rsidR="000476AA" w:rsidRPr="00EC6FF1">
        <w:rPr>
          <w:rFonts w:ascii="Times New Roman" w:hAnsi="Times New Roman" w:cs="Times New Roman"/>
          <w:lang w:val="en-US"/>
        </w:rPr>
        <w:t>its</w:t>
      </w:r>
      <w:r w:rsidR="00A53AE6" w:rsidRPr="00EC6FF1">
        <w:rPr>
          <w:rFonts w:ascii="Times New Roman" w:hAnsi="Times New Roman" w:cs="Times New Roman"/>
          <w:lang w:val="en-US"/>
        </w:rPr>
        <w:t xml:space="preserve"> creditworthiness.</w:t>
      </w:r>
      <w:r w:rsidR="00945A2D" w:rsidRPr="00EC6FF1">
        <w:rPr>
          <w:rFonts w:ascii="Times New Roman" w:hAnsi="Times New Roman" w:cs="Times New Roman"/>
          <w:lang w:val="en-US"/>
        </w:rPr>
        <w:t xml:space="preserve"> We bring this assumption into our empirical work</w:t>
      </w:r>
      <w:r w:rsidR="00A441BA" w:rsidRPr="00EC6FF1">
        <w:rPr>
          <w:rFonts w:ascii="Times New Roman" w:hAnsi="Times New Roman" w:cs="Times New Roman"/>
          <w:lang w:val="en-US"/>
        </w:rPr>
        <w:t xml:space="preserve"> by exploiting the cross-sectional variation in credit rating assignment, and levels of economic performance to try and capture how changes to long-term economic performance may </w:t>
      </w:r>
      <w:r w:rsidR="00946A95" w:rsidRPr="00EC6FF1">
        <w:rPr>
          <w:rFonts w:ascii="Times New Roman" w:hAnsi="Times New Roman" w:cs="Times New Roman"/>
          <w:lang w:val="en-US"/>
        </w:rPr>
        <w:t xml:space="preserve">direct countries higher or lower on the </w:t>
      </w:r>
      <w:r w:rsidR="000F3BF4" w:rsidRPr="00EC6FF1">
        <w:rPr>
          <w:rFonts w:ascii="Times New Roman" w:hAnsi="Times New Roman" w:cs="Times New Roman"/>
          <w:lang w:val="en-US"/>
        </w:rPr>
        <w:t xml:space="preserve">rating </w:t>
      </w:r>
      <w:r w:rsidR="00946A95" w:rsidRPr="00EC6FF1">
        <w:rPr>
          <w:rFonts w:ascii="Times New Roman" w:hAnsi="Times New Roman" w:cs="Times New Roman"/>
          <w:lang w:val="en-US"/>
        </w:rPr>
        <w:t xml:space="preserve">scale. </w:t>
      </w:r>
    </w:p>
    <w:p w14:paraId="313ADB55" w14:textId="2A8E3C3B" w:rsidR="009A66EA" w:rsidRPr="00EC6FF1" w:rsidRDefault="000476AA" w:rsidP="0032587E">
      <w:pPr>
        <w:jc w:val="both"/>
        <w:rPr>
          <w:rFonts w:ascii="Times New Roman" w:hAnsi="Times New Roman" w:cs="Times New Roman"/>
          <w:lang w:val="en-US"/>
        </w:rPr>
      </w:pPr>
      <w:r w:rsidRPr="00EC6FF1">
        <w:rPr>
          <w:rFonts w:ascii="Times New Roman" w:hAnsi="Times New Roman" w:cs="Times New Roman"/>
          <w:lang w:val="en-US"/>
        </w:rPr>
        <w:t xml:space="preserve">Our work contributes to a growing literature concerned with the macroeconomic impacts of climate change. </w:t>
      </w:r>
      <w:r w:rsidR="004C3D1E" w:rsidRPr="00EC6FF1">
        <w:rPr>
          <w:rFonts w:ascii="Times New Roman" w:hAnsi="Times New Roman" w:cs="Times New Roman"/>
          <w:lang w:val="en-US"/>
        </w:rPr>
        <w:t xml:space="preserve">Researchers </w:t>
      </w:r>
      <w:r w:rsidR="009B16B1" w:rsidRPr="00EC6FF1">
        <w:rPr>
          <w:rFonts w:ascii="Times New Roman" w:hAnsi="Times New Roman" w:cs="Times New Roman"/>
          <w:lang w:val="en-US"/>
        </w:rPr>
        <w:t>are</w:t>
      </w:r>
      <w:r w:rsidR="004C3D1E" w:rsidRPr="00EC6FF1">
        <w:rPr>
          <w:rFonts w:ascii="Times New Roman" w:hAnsi="Times New Roman" w:cs="Times New Roman"/>
          <w:lang w:val="en-US"/>
        </w:rPr>
        <w:t xml:space="preserve"> concerned with growth</w:t>
      </w:r>
      <w:r w:rsidR="009B16B1" w:rsidRPr="00EC6FF1">
        <w:rPr>
          <w:rFonts w:ascii="Times New Roman" w:hAnsi="Times New Roman" w:cs="Times New Roman"/>
          <w:lang w:val="en-US"/>
        </w:rPr>
        <w:t xml:space="preserve"> (Kahn et al, 2021)</w:t>
      </w:r>
      <w:r w:rsidR="004C3D1E" w:rsidRPr="00EC6FF1">
        <w:rPr>
          <w:rFonts w:ascii="Times New Roman" w:hAnsi="Times New Roman" w:cs="Times New Roman"/>
          <w:lang w:val="en-US"/>
        </w:rPr>
        <w:t>, fiscal impacts</w:t>
      </w:r>
      <w:r w:rsidR="009B16B1" w:rsidRPr="00EC6FF1">
        <w:rPr>
          <w:rFonts w:ascii="Times New Roman" w:hAnsi="Times New Roman" w:cs="Times New Roman"/>
          <w:lang w:val="en-US"/>
        </w:rPr>
        <w:t xml:space="preserve"> (Tol, 2023)</w:t>
      </w:r>
      <w:r w:rsidR="004C3D1E" w:rsidRPr="00EC6FF1">
        <w:rPr>
          <w:rFonts w:ascii="Times New Roman" w:hAnsi="Times New Roman" w:cs="Times New Roman"/>
          <w:lang w:val="en-US"/>
        </w:rPr>
        <w:t>, and financial markets</w:t>
      </w:r>
      <w:r w:rsidR="009B16B1" w:rsidRPr="00EC6FF1">
        <w:rPr>
          <w:rFonts w:ascii="Times New Roman" w:hAnsi="Times New Roman" w:cs="Times New Roman"/>
          <w:lang w:val="en-US"/>
        </w:rPr>
        <w:t xml:space="preserve"> (Zhou et al., 2023; </w:t>
      </w:r>
      <w:proofErr w:type="spellStart"/>
      <w:r w:rsidR="009B16B1" w:rsidRPr="00EC6FF1">
        <w:rPr>
          <w:rFonts w:ascii="Times New Roman" w:hAnsi="Times New Roman" w:cs="Times New Roman"/>
          <w:lang w:val="en-US"/>
        </w:rPr>
        <w:t>Monasterolo</w:t>
      </w:r>
      <w:proofErr w:type="spellEnd"/>
      <w:r w:rsidR="009B16B1" w:rsidRPr="00EC6FF1">
        <w:rPr>
          <w:rFonts w:ascii="Times New Roman" w:hAnsi="Times New Roman" w:cs="Times New Roman"/>
          <w:lang w:val="en-US"/>
        </w:rPr>
        <w:t>, 2020)</w:t>
      </w:r>
      <w:r w:rsidR="000720E6" w:rsidRPr="00EC6FF1">
        <w:rPr>
          <w:rFonts w:ascii="Times New Roman" w:hAnsi="Times New Roman" w:cs="Times New Roman"/>
          <w:lang w:val="en-US"/>
        </w:rPr>
        <w:t xml:space="preserve"> amongst other things</w:t>
      </w:r>
      <w:r w:rsidR="004C3D1E" w:rsidRPr="00EC6FF1">
        <w:rPr>
          <w:rFonts w:ascii="Times New Roman" w:hAnsi="Times New Roman" w:cs="Times New Roman"/>
          <w:lang w:val="en-US"/>
        </w:rPr>
        <w:t xml:space="preserve">. </w:t>
      </w:r>
      <w:r w:rsidR="00EA307B" w:rsidRPr="00EC6FF1">
        <w:rPr>
          <w:rFonts w:ascii="Times New Roman" w:hAnsi="Times New Roman" w:cs="Times New Roman"/>
        </w:rPr>
        <w:t xml:space="preserve">However, we are the first to study their effects in the context of sovereign credit ratings. </w:t>
      </w:r>
      <w:r w:rsidR="00B0112B" w:rsidRPr="00EC6FF1">
        <w:rPr>
          <w:rFonts w:ascii="Times New Roman" w:hAnsi="Times New Roman" w:cs="Times New Roman"/>
        </w:rPr>
        <w:t>Second, we present a reproducible methodology, which can be integrated w</w:t>
      </w:r>
      <w:r w:rsidR="00BC110E" w:rsidRPr="00EC6FF1">
        <w:rPr>
          <w:rFonts w:ascii="Times New Roman" w:hAnsi="Times New Roman" w:cs="Times New Roman"/>
        </w:rPr>
        <w:t>ith the Network for Greening the Financial System (NGFS) policy scenarios</w:t>
      </w:r>
      <w:r w:rsidR="00AC0A88" w:rsidRPr="00EC6FF1">
        <w:rPr>
          <w:rFonts w:ascii="Times New Roman" w:hAnsi="Times New Roman" w:cs="Times New Roman"/>
        </w:rPr>
        <w:t xml:space="preserve">. </w:t>
      </w:r>
      <w:r w:rsidR="00876903" w:rsidRPr="00EC6FF1">
        <w:rPr>
          <w:rFonts w:ascii="Times New Roman" w:hAnsi="Times New Roman" w:cs="Times New Roman"/>
        </w:rPr>
        <w:t xml:space="preserve">This enables a more integrated approach to sovereign risk assessment which is consistent with the developments in climate econometrics and integrated </w:t>
      </w:r>
      <w:r w:rsidR="00876903" w:rsidRPr="00EC6FF1">
        <w:rPr>
          <w:rFonts w:ascii="Times New Roman" w:hAnsi="Times New Roman" w:cs="Times New Roman"/>
        </w:rPr>
        <w:lastRenderedPageBreak/>
        <w:t xml:space="preserve">assessment modelling. </w:t>
      </w:r>
      <w:r w:rsidR="00497EDA" w:rsidRPr="00EC6FF1">
        <w:rPr>
          <w:rFonts w:ascii="Times New Roman" w:hAnsi="Times New Roman" w:cs="Times New Roman"/>
          <w:lang w:val="en-US"/>
        </w:rPr>
        <w:t>Finally, there is increasing interest in measuring climate policy and energy-related uncertainty (Gavriilidis, 2021; Dang et al., 2023; Barnett et al., 2020). Our results show that for some countries, there is much less risk associated with climate change pathways than for others. Our work also contributes to ongoing policy and social debates about the role of government, central banks and financial regulators in measuring and mitigating climate-related financial risks. Central banks and financial regulators are evaluating investor exposure to climate-related financial risks. The European Central Bank, the Bank of England and more recently, the Federal Reserve System have produced scenario analyses aimed at evaluating the exposure of banks’ loan books to climate change. Furthermore, we are motivated by recent Bank of England analysis which supports the use of tree-based machine learning techniques to evaluate the impact of climate-related risks on fixed income instruments</w:t>
      </w:r>
      <w:r w:rsidR="005C161B" w:rsidRPr="00EC6FF1">
        <w:rPr>
          <w:rStyle w:val="FootnoteReference"/>
          <w:rFonts w:ascii="Times New Roman" w:hAnsi="Times New Roman" w:cs="Times New Roman"/>
          <w:lang w:val="en-US"/>
        </w:rPr>
        <w:footnoteReference w:id="8"/>
      </w:r>
    </w:p>
    <w:p w14:paraId="4B538ABE" w14:textId="6A2C8F98" w:rsidR="000D3507" w:rsidRPr="00EC6FF1" w:rsidRDefault="000D3507" w:rsidP="000D3507">
      <w:pPr>
        <w:jc w:val="both"/>
        <w:rPr>
          <w:rFonts w:ascii="Times New Roman" w:hAnsi="Times New Roman" w:cs="Times New Roman"/>
          <w:lang w:val="en-US"/>
        </w:rPr>
      </w:pPr>
      <w:r w:rsidRPr="00EC6FF1">
        <w:rPr>
          <w:rFonts w:ascii="Times New Roman" w:hAnsi="Times New Roman" w:cs="Times New Roman"/>
          <w:lang w:val="en-US"/>
        </w:rPr>
        <w:t xml:space="preserve">We combine data from the NGFS with macroeconomic data and information about sovereign credit ratings from S&amp;P Ratings Direct. From the NGFS, we obtain the GDP projections for five key policy scenarios (Below 2°C, Net Zero 2050, Delayed Transition, Nationally Determined Contributions and Fragmented World) across the three IAMs (GCAM, </w:t>
      </w:r>
      <w:proofErr w:type="spellStart"/>
      <w:r w:rsidRPr="00EC6FF1">
        <w:rPr>
          <w:rFonts w:ascii="Times New Roman" w:hAnsi="Times New Roman" w:cs="Times New Roman"/>
          <w:lang w:val="en-US"/>
        </w:rPr>
        <w:t>MESSAGEix</w:t>
      </w:r>
      <w:proofErr w:type="spellEnd"/>
      <w:r w:rsidRPr="00EC6FF1">
        <w:rPr>
          <w:rFonts w:ascii="Times New Roman" w:hAnsi="Times New Roman" w:cs="Times New Roman"/>
          <w:lang w:val="en-US"/>
        </w:rPr>
        <w:t>-GLOBIOM and REMIND-</w:t>
      </w:r>
      <w:proofErr w:type="spellStart"/>
      <w:r w:rsidRPr="00EC6FF1">
        <w:rPr>
          <w:rFonts w:ascii="Times New Roman" w:hAnsi="Times New Roman" w:cs="Times New Roman"/>
          <w:lang w:val="en-US"/>
        </w:rPr>
        <w:t>MAgPIE</w:t>
      </w:r>
      <w:proofErr w:type="spellEnd"/>
      <w:r w:rsidRPr="00EC6FF1">
        <w:rPr>
          <w:rFonts w:ascii="Times New Roman" w:hAnsi="Times New Roman" w:cs="Times New Roman"/>
          <w:lang w:val="en-US"/>
        </w:rPr>
        <w:t xml:space="preserve">). Each of the five scenarios </w:t>
      </w:r>
      <w:r w:rsidR="00882AE8" w:rsidRPr="00EC6FF1">
        <w:rPr>
          <w:rFonts w:ascii="Times New Roman" w:hAnsi="Times New Roman" w:cs="Times New Roman"/>
          <w:lang w:val="en-US"/>
        </w:rPr>
        <w:t>describes</w:t>
      </w:r>
      <w:r w:rsidRPr="00EC6FF1">
        <w:rPr>
          <w:rFonts w:ascii="Times New Roman" w:hAnsi="Times New Roman" w:cs="Times New Roman"/>
          <w:lang w:val="en-US"/>
        </w:rPr>
        <w:t xml:space="preserve"> a different amount of both physical and transition risk. Scenarios characterized by low physical and transition risks, such as Below 2°C and Net Zero 2050, are categorized as Orderly scenarios. Scenarios with high physical risks but low transition risks include the Nationally Determined Contributions (NDCs) scenario. Scenarios with high transition risks and low to medium physical risks fall under the Delayed Transition pathway. Lastly, the Fragmented World scenario is characterized by both high physical and high transition risks. For further information and a full description of the scenario narratives see Section 3.</w:t>
      </w:r>
      <w:r w:rsidR="00061B22">
        <w:rPr>
          <w:rFonts w:ascii="Times New Roman" w:hAnsi="Times New Roman" w:cs="Times New Roman"/>
          <w:lang w:val="en-US"/>
        </w:rPr>
        <w:t>4</w:t>
      </w:r>
      <w:r w:rsidRPr="00EC6FF1">
        <w:rPr>
          <w:rFonts w:ascii="Times New Roman" w:hAnsi="Times New Roman" w:cs="Times New Roman"/>
          <w:lang w:val="en-US"/>
        </w:rPr>
        <w:t>.</w:t>
      </w:r>
    </w:p>
    <w:p w14:paraId="10F6E6D5" w14:textId="29817EA8" w:rsidR="00FB7632" w:rsidRPr="00EC6FF1" w:rsidRDefault="005D3985" w:rsidP="00FB7632">
      <w:pPr>
        <w:jc w:val="both"/>
        <w:rPr>
          <w:rFonts w:ascii="Times New Roman" w:hAnsi="Times New Roman" w:cs="Times New Roman"/>
          <w:lang w:val="en-US"/>
        </w:rPr>
      </w:pPr>
      <w:r w:rsidRPr="00EC6FF1">
        <w:rPr>
          <w:rFonts w:ascii="Times New Roman" w:hAnsi="Times New Roman" w:cs="Times New Roman"/>
          <w:lang w:val="en-US"/>
        </w:rPr>
        <w:t xml:space="preserve">We apply these scenarios to a model of sovereign credit ratings developed by Klusak et al., (2023). We then evaluate this model in an out-of-sample setting and adjust the input data to reflect the outputs of the IAMs. We obtain sovereign credit rating estimates for 48 countries, across each of the five scenarios and three IAMs for 2050. We are also motivated to validate our assessment. How do we know that our simulated downgrades represent exposure to the spectrum of climate-related risks captured by Integrated Assessment Models? </w:t>
      </w:r>
      <w:proofErr w:type="gramStart"/>
      <w:r w:rsidRPr="00EC6FF1">
        <w:rPr>
          <w:rFonts w:ascii="Times New Roman" w:hAnsi="Times New Roman" w:cs="Times New Roman"/>
          <w:lang w:val="en-US"/>
        </w:rPr>
        <w:t>In order to</w:t>
      </w:r>
      <w:proofErr w:type="gramEnd"/>
      <w:r w:rsidRPr="00EC6FF1">
        <w:rPr>
          <w:rFonts w:ascii="Times New Roman" w:hAnsi="Times New Roman" w:cs="Times New Roman"/>
          <w:lang w:val="en-US"/>
        </w:rPr>
        <w:t xml:space="preserve"> do this, we regress our country-level downgrades on the log total emissions for each country. We select total emissions over per capita emissions since we are trying to capture “polluting” economic activity within an economy, and any attempt to regulate this will likely impact the country’s whose emissions are highest, the most. This thinking is also broadly consistent with the work by Bolton &amp; </w:t>
      </w:r>
      <w:proofErr w:type="spellStart"/>
      <w:r w:rsidRPr="00EC6FF1">
        <w:rPr>
          <w:rFonts w:ascii="Times New Roman" w:hAnsi="Times New Roman" w:cs="Times New Roman"/>
          <w:lang w:val="en-US"/>
        </w:rPr>
        <w:t>Kacperczyk</w:t>
      </w:r>
      <w:proofErr w:type="spellEnd"/>
      <w:r w:rsidRPr="00EC6FF1">
        <w:rPr>
          <w:rFonts w:ascii="Times New Roman" w:hAnsi="Times New Roman" w:cs="Times New Roman"/>
          <w:lang w:val="en-US"/>
        </w:rPr>
        <w:t xml:space="preserve"> (2021), who show that stock return </w:t>
      </w:r>
      <w:proofErr w:type="gramStart"/>
      <w:r w:rsidRPr="00EC6FF1">
        <w:rPr>
          <w:rFonts w:ascii="Times New Roman" w:hAnsi="Times New Roman" w:cs="Times New Roman"/>
          <w:lang w:val="en-US"/>
        </w:rPr>
        <w:t>premia</w:t>
      </w:r>
      <w:proofErr w:type="gramEnd"/>
      <w:r w:rsidRPr="00EC6FF1">
        <w:rPr>
          <w:rFonts w:ascii="Times New Roman" w:hAnsi="Times New Roman" w:cs="Times New Roman"/>
          <w:lang w:val="en-US"/>
        </w:rPr>
        <w:t xml:space="preserve"> is more sensitive to total corporate emissions than it is emissions intensity. We find that </w:t>
      </w:r>
      <w:r w:rsidR="009023A2">
        <w:rPr>
          <w:rFonts w:ascii="Times New Roman" w:hAnsi="Times New Roman" w:cs="Times New Roman"/>
          <w:lang w:val="en-US"/>
        </w:rPr>
        <w:t xml:space="preserve">under a Net Zero 2050 scenario, </w:t>
      </w:r>
      <w:r w:rsidR="007762DF" w:rsidRPr="00EC6FF1">
        <w:rPr>
          <w:rFonts w:ascii="Times New Roman" w:hAnsi="Times New Roman" w:cs="Times New Roman"/>
          <w:lang w:val="en-US"/>
        </w:rPr>
        <w:t xml:space="preserve">higher </w:t>
      </w:r>
      <w:r w:rsidRPr="00EC6FF1">
        <w:rPr>
          <w:rFonts w:ascii="Times New Roman" w:hAnsi="Times New Roman" w:cs="Times New Roman"/>
          <w:lang w:val="en-US"/>
        </w:rPr>
        <w:t>total emissions</w:t>
      </w:r>
      <w:r w:rsidR="007762DF" w:rsidRPr="00EC6FF1">
        <w:rPr>
          <w:rFonts w:ascii="Times New Roman" w:hAnsi="Times New Roman" w:cs="Times New Roman"/>
          <w:lang w:val="en-US"/>
        </w:rPr>
        <w:t xml:space="preserve"> (by 1 standard deviation)</w:t>
      </w:r>
      <w:r w:rsidRPr="00EC6FF1">
        <w:rPr>
          <w:rFonts w:ascii="Times New Roman" w:hAnsi="Times New Roman" w:cs="Times New Roman"/>
          <w:lang w:val="en-US"/>
        </w:rPr>
        <w:t xml:space="preserve"> </w:t>
      </w:r>
      <w:r w:rsidR="007762DF" w:rsidRPr="00EC6FF1">
        <w:rPr>
          <w:rFonts w:ascii="Times New Roman" w:hAnsi="Times New Roman" w:cs="Times New Roman"/>
          <w:lang w:val="en-US"/>
        </w:rPr>
        <w:t>are</w:t>
      </w:r>
      <w:r w:rsidRPr="00EC6FF1">
        <w:rPr>
          <w:rFonts w:ascii="Times New Roman" w:hAnsi="Times New Roman" w:cs="Times New Roman"/>
          <w:lang w:val="en-US"/>
        </w:rPr>
        <w:t xml:space="preserve"> associated with </w:t>
      </w:r>
      <w:r w:rsidR="007762DF" w:rsidRPr="00EC6FF1">
        <w:rPr>
          <w:rFonts w:ascii="Times New Roman" w:hAnsi="Times New Roman" w:cs="Times New Roman"/>
          <w:lang w:val="en-US"/>
        </w:rPr>
        <w:t>a simulated</w:t>
      </w:r>
      <w:r w:rsidRPr="00EC6FF1">
        <w:rPr>
          <w:rFonts w:ascii="Times New Roman" w:hAnsi="Times New Roman" w:cs="Times New Roman"/>
          <w:lang w:val="en-US"/>
        </w:rPr>
        <w:t xml:space="preserve"> downgrade of 0.</w:t>
      </w:r>
      <w:r w:rsidR="009023A2">
        <w:rPr>
          <w:rFonts w:ascii="Times New Roman" w:hAnsi="Times New Roman" w:cs="Times New Roman"/>
          <w:lang w:val="en-US"/>
        </w:rPr>
        <w:t>9</w:t>
      </w:r>
      <w:r w:rsidR="00A138C2">
        <w:rPr>
          <w:rFonts w:ascii="Times New Roman" w:hAnsi="Times New Roman" w:cs="Times New Roman"/>
          <w:lang w:val="en-US"/>
        </w:rPr>
        <w:t>5</w:t>
      </w:r>
      <w:r w:rsidRPr="00EC6FF1">
        <w:rPr>
          <w:rFonts w:ascii="Times New Roman" w:hAnsi="Times New Roman" w:cs="Times New Roman"/>
          <w:lang w:val="en-US"/>
        </w:rPr>
        <w:t xml:space="preserve"> notches</w:t>
      </w:r>
      <w:r w:rsidR="00270D3E" w:rsidRPr="00EC6FF1">
        <w:rPr>
          <w:rStyle w:val="FootnoteReference"/>
          <w:rFonts w:ascii="Times New Roman" w:hAnsi="Times New Roman" w:cs="Times New Roman"/>
          <w:lang w:val="en-US"/>
        </w:rPr>
        <w:footnoteReference w:id="9"/>
      </w:r>
      <w:r w:rsidRPr="00EC6FF1">
        <w:rPr>
          <w:rFonts w:ascii="Times New Roman" w:hAnsi="Times New Roman" w:cs="Times New Roman"/>
          <w:lang w:val="en-US"/>
        </w:rPr>
        <w:t xml:space="preserve">. In other words, if a country moves from the 10th percentile of polluters to the 90th percentile, we can expect a lower credit rating of </w:t>
      </w:r>
      <w:r w:rsidRPr="00EC6FF1">
        <w:rPr>
          <w:rFonts w:ascii="Times New Roman" w:hAnsi="Times New Roman" w:cs="Times New Roman"/>
          <w:lang w:val="en-US"/>
        </w:rPr>
        <w:lastRenderedPageBreak/>
        <w:t xml:space="preserve">approximately </w:t>
      </w:r>
      <w:r w:rsidR="00BA5F05">
        <w:rPr>
          <w:rFonts w:ascii="Times New Roman" w:hAnsi="Times New Roman" w:cs="Times New Roman"/>
          <w:lang w:val="en-US"/>
        </w:rPr>
        <w:t>2.4</w:t>
      </w:r>
      <w:r w:rsidRPr="00EC6FF1">
        <w:rPr>
          <w:rFonts w:ascii="Times New Roman" w:hAnsi="Times New Roman" w:cs="Times New Roman"/>
          <w:lang w:val="en-US"/>
        </w:rPr>
        <w:t xml:space="preserve"> notches (0.</w:t>
      </w:r>
      <w:r w:rsidR="00533812">
        <w:rPr>
          <w:rFonts w:ascii="Times New Roman" w:hAnsi="Times New Roman" w:cs="Times New Roman"/>
          <w:lang w:val="en-US"/>
        </w:rPr>
        <w:t>9</w:t>
      </w:r>
      <w:r w:rsidR="00BA5F05">
        <w:rPr>
          <w:rFonts w:ascii="Times New Roman" w:hAnsi="Times New Roman" w:cs="Times New Roman"/>
          <w:lang w:val="en-US"/>
        </w:rPr>
        <w:t>5</w:t>
      </w:r>
      <w:r w:rsidRPr="00EC6FF1">
        <w:rPr>
          <w:rFonts w:ascii="Times New Roman" w:hAnsi="Times New Roman" w:cs="Times New Roman"/>
          <w:lang w:val="en-US"/>
        </w:rPr>
        <w:t xml:space="preserve"> x 2.56 = </w:t>
      </w:r>
      <w:r w:rsidR="00533812">
        <w:rPr>
          <w:rFonts w:ascii="Times New Roman" w:hAnsi="Times New Roman" w:cs="Times New Roman"/>
          <w:lang w:val="en-US"/>
        </w:rPr>
        <w:t>2.</w:t>
      </w:r>
      <w:r w:rsidR="00BA5F05">
        <w:rPr>
          <w:rFonts w:ascii="Times New Roman" w:hAnsi="Times New Roman" w:cs="Times New Roman"/>
          <w:lang w:val="en-US"/>
        </w:rPr>
        <w:t>43</w:t>
      </w:r>
      <w:r w:rsidRPr="00EC6FF1">
        <w:rPr>
          <w:rFonts w:ascii="Times New Roman" w:hAnsi="Times New Roman" w:cs="Times New Roman"/>
          <w:lang w:val="en-US"/>
        </w:rPr>
        <w:t xml:space="preserve">). This result supports our underlying model as it reveals an association between our output and simple measures of a country’s exposure to stringent climate policy. </w:t>
      </w:r>
    </w:p>
    <w:p w14:paraId="1991A1F5" w14:textId="7812065B" w:rsidR="00A96EF1" w:rsidRPr="00EC6FF1" w:rsidRDefault="00FB7632" w:rsidP="00FB7632">
      <w:pPr>
        <w:jc w:val="both"/>
        <w:rPr>
          <w:rFonts w:ascii="Times New Roman" w:hAnsi="Times New Roman" w:cs="Times New Roman"/>
          <w:lang w:val="en-US"/>
        </w:rPr>
      </w:pPr>
      <w:r w:rsidRPr="00EC6FF1">
        <w:rPr>
          <w:rFonts w:ascii="Times New Roman" w:hAnsi="Times New Roman" w:cs="Times New Roman"/>
          <w:lang w:val="en-US"/>
        </w:rPr>
        <w:t xml:space="preserve">We </w:t>
      </w:r>
      <w:proofErr w:type="gramStart"/>
      <w:r w:rsidRPr="00EC6FF1">
        <w:rPr>
          <w:rFonts w:ascii="Times New Roman" w:hAnsi="Times New Roman" w:cs="Times New Roman"/>
          <w:lang w:val="en-US"/>
        </w:rPr>
        <w:t>document</w:t>
      </w:r>
      <w:proofErr w:type="gramEnd"/>
      <w:r w:rsidRPr="00EC6FF1">
        <w:rPr>
          <w:rFonts w:ascii="Times New Roman" w:hAnsi="Times New Roman" w:cs="Times New Roman"/>
          <w:lang w:val="en-US"/>
        </w:rPr>
        <w:t xml:space="preserve"> </w:t>
      </w:r>
      <w:proofErr w:type="gramStart"/>
      <w:r w:rsidRPr="00EC6FF1">
        <w:rPr>
          <w:rFonts w:ascii="Times New Roman" w:hAnsi="Times New Roman" w:cs="Times New Roman"/>
          <w:lang w:val="en-US"/>
        </w:rPr>
        <w:t>a number of</w:t>
      </w:r>
      <w:proofErr w:type="gramEnd"/>
      <w:r w:rsidRPr="00EC6FF1">
        <w:rPr>
          <w:rFonts w:ascii="Times New Roman" w:hAnsi="Times New Roman" w:cs="Times New Roman"/>
          <w:lang w:val="en-US"/>
        </w:rPr>
        <w:t xml:space="preserve"> key results. The Net Zero 2050 scenario results in the least </w:t>
      </w:r>
      <w:proofErr w:type="gramStart"/>
      <w:r w:rsidRPr="00EC6FF1">
        <w:rPr>
          <w:rFonts w:ascii="Times New Roman" w:hAnsi="Times New Roman" w:cs="Times New Roman"/>
          <w:lang w:val="en-US"/>
        </w:rPr>
        <w:t>amount</w:t>
      </w:r>
      <w:proofErr w:type="gramEnd"/>
      <w:r w:rsidRPr="00EC6FF1">
        <w:rPr>
          <w:rFonts w:ascii="Times New Roman" w:hAnsi="Times New Roman" w:cs="Times New Roman"/>
          <w:lang w:val="en-US"/>
        </w:rPr>
        <w:t xml:space="preserve"> of sovereign downgrades, approximately </w:t>
      </w:r>
      <w:r w:rsidR="00FF2170">
        <w:rPr>
          <w:rFonts w:ascii="Times New Roman" w:hAnsi="Times New Roman" w:cs="Times New Roman"/>
          <w:lang w:val="en-US"/>
        </w:rPr>
        <w:t>2.</w:t>
      </w:r>
      <w:r w:rsidR="00FD0754">
        <w:rPr>
          <w:rFonts w:ascii="Times New Roman" w:hAnsi="Times New Roman" w:cs="Times New Roman"/>
          <w:lang w:val="en-US"/>
        </w:rPr>
        <w:t>7</w:t>
      </w:r>
      <w:r w:rsidRPr="00EC6FF1">
        <w:rPr>
          <w:rFonts w:ascii="Times New Roman" w:hAnsi="Times New Roman" w:cs="Times New Roman"/>
          <w:lang w:val="en-US"/>
        </w:rPr>
        <w:t xml:space="preserve"> notches on average. Whereas the Fragmented World scenario produces a sample average downgrade of approximately </w:t>
      </w:r>
      <w:r w:rsidR="00FF2170">
        <w:rPr>
          <w:rFonts w:ascii="Times New Roman" w:hAnsi="Times New Roman" w:cs="Times New Roman"/>
          <w:lang w:val="en-US"/>
        </w:rPr>
        <w:t>3.</w:t>
      </w:r>
      <w:r w:rsidR="00FD0754">
        <w:rPr>
          <w:rFonts w:ascii="Times New Roman" w:hAnsi="Times New Roman" w:cs="Times New Roman"/>
          <w:lang w:val="en-US"/>
        </w:rPr>
        <w:t>9</w:t>
      </w:r>
      <w:r w:rsidRPr="00EC6FF1">
        <w:rPr>
          <w:rFonts w:ascii="Times New Roman" w:hAnsi="Times New Roman" w:cs="Times New Roman"/>
          <w:lang w:val="en-US"/>
        </w:rPr>
        <w:t xml:space="preserve"> notches. Second, there are some countries that</w:t>
      </w:r>
      <w:r w:rsidR="002F41DB">
        <w:rPr>
          <w:rFonts w:ascii="Times New Roman" w:hAnsi="Times New Roman" w:cs="Times New Roman"/>
          <w:lang w:val="en-US"/>
        </w:rPr>
        <w:t>,</w:t>
      </w:r>
      <w:r w:rsidRPr="00EC6FF1">
        <w:rPr>
          <w:rFonts w:ascii="Times New Roman" w:hAnsi="Times New Roman" w:cs="Times New Roman"/>
          <w:lang w:val="en-US"/>
        </w:rPr>
        <w:t xml:space="preserve"> despite facing significant GDP losses across the scenarios, may experience </w:t>
      </w:r>
      <w:r w:rsidR="002F41DB" w:rsidRPr="00EC6FF1">
        <w:rPr>
          <w:rFonts w:ascii="Times New Roman" w:hAnsi="Times New Roman" w:cs="Times New Roman"/>
          <w:lang w:val="en-US"/>
        </w:rPr>
        <w:t>stable</w:t>
      </w:r>
      <w:r w:rsidRPr="00EC6FF1">
        <w:rPr>
          <w:rFonts w:ascii="Times New Roman" w:hAnsi="Times New Roman" w:cs="Times New Roman"/>
          <w:lang w:val="en-US"/>
        </w:rPr>
        <w:t xml:space="preserve"> ratings. These economies are typically concentrated towards the </w:t>
      </w:r>
      <w:proofErr w:type="gramStart"/>
      <w:r w:rsidRPr="00EC6FF1">
        <w:rPr>
          <w:rFonts w:ascii="Times New Roman" w:hAnsi="Times New Roman" w:cs="Times New Roman"/>
          <w:lang w:val="en-US"/>
        </w:rPr>
        <w:t>lower-end</w:t>
      </w:r>
      <w:proofErr w:type="gramEnd"/>
      <w:r w:rsidRPr="00EC6FF1">
        <w:rPr>
          <w:rFonts w:ascii="Times New Roman" w:hAnsi="Times New Roman" w:cs="Times New Roman"/>
          <w:lang w:val="en-US"/>
        </w:rPr>
        <w:t xml:space="preserve"> of the ratings scale. Put crudely, if a country is already in default, climate change won’t help, but neither will it make it a ‘</w:t>
      </w:r>
      <w:proofErr w:type="spellStart"/>
      <w:r w:rsidRPr="00EC6FF1">
        <w:rPr>
          <w:rFonts w:ascii="Times New Roman" w:hAnsi="Times New Roman" w:cs="Times New Roman"/>
          <w:lang w:val="en-US"/>
        </w:rPr>
        <w:t>defaultier</w:t>
      </w:r>
      <w:proofErr w:type="spellEnd"/>
      <w:r w:rsidRPr="00EC6FF1">
        <w:rPr>
          <w:rFonts w:ascii="Times New Roman" w:hAnsi="Times New Roman" w:cs="Times New Roman"/>
          <w:lang w:val="en-US"/>
        </w:rPr>
        <w:t>’ default. This finding indicates that several countries face a moral hazard dilemma whereby policies for addressing climate change may not align with efforts to bolster credit ratings. These results imply two things. First, international coordination efforts to address climate change may need to deal with the fact that some countries simply do not have an economic incentive to implement green policies. Second, these scenarios support the view of others in the macroeconomic literature that the risks from climate change may simply already be “baked-in” (Kotz, et al., 2024). For some countries, e.g. India, the risks are already so significant, what can economic policy do to support economies like these to adapt.</w:t>
      </w:r>
    </w:p>
    <w:p w14:paraId="7C01702C" w14:textId="16664C9B" w:rsidR="00A96EF1" w:rsidRPr="00EC6FF1" w:rsidRDefault="00A96EF1" w:rsidP="000F3655">
      <w:pPr>
        <w:pStyle w:val="ListParagraph"/>
        <w:numPr>
          <w:ilvl w:val="0"/>
          <w:numId w:val="1"/>
        </w:numPr>
        <w:jc w:val="both"/>
        <w:rPr>
          <w:rFonts w:ascii="Times New Roman" w:hAnsi="Times New Roman" w:cs="Times New Roman"/>
          <w:b/>
          <w:bCs/>
          <w:lang w:val="en-US"/>
        </w:rPr>
      </w:pPr>
      <w:r w:rsidRPr="00EC6FF1">
        <w:rPr>
          <w:rFonts w:ascii="Times New Roman" w:hAnsi="Times New Roman" w:cs="Times New Roman"/>
          <w:b/>
          <w:bCs/>
          <w:lang w:val="en-US"/>
        </w:rPr>
        <w:t>Related Literature</w:t>
      </w:r>
    </w:p>
    <w:p w14:paraId="544A6462" w14:textId="1EA800D1" w:rsidR="001B5583" w:rsidRPr="00EC6FF1" w:rsidRDefault="00F62964" w:rsidP="00FB7632">
      <w:pPr>
        <w:jc w:val="both"/>
        <w:rPr>
          <w:rFonts w:ascii="Times New Roman" w:hAnsi="Times New Roman" w:cs="Times New Roman"/>
          <w:lang w:val="en-US"/>
        </w:rPr>
      </w:pPr>
      <w:r w:rsidRPr="00EC6FF1">
        <w:rPr>
          <w:rFonts w:ascii="Times New Roman" w:hAnsi="Times New Roman" w:cs="Times New Roman"/>
          <w:lang w:val="en-US"/>
        </w:rPr>
        <w:t>Our work is closely aligned with research on climate change which is at the intersection of sovereign debt (</w:t>
      </w:r>
      <w:r w:rsidR="00326588" w:rsidRPr="00EC6FF1">
        <w:rPr>
          <w:rFonts w:ascii="Times New Roman" w:hAnsi="Times New Roman" w:cs="Times New Roman"/>
          <w:lang w:val="en-US"/>
        </w:rPr>
        <w:t xml:space="preserve">Beirne, et al., 2021), fiscal policy (Tol, 2023) and central bank </w:t>
      </w:r>
      <w:r w:rsidR="0099656E" w:rsidRPr="00EC6FF1">
        <w:rPr>
          <w:rFonts w:ascii="Times New Roman" w:hAnsi="Times New Roman" w:cs="Times New Roman"/>
          <w:lang w:val="en-US"/>
        </w:rPr>
        <w:t>action (</w:t>
      </w:r>
      <w:proofErr w:type="spellStart"/>
      <w:r w:rsidR="0099656E" w:rsidRPr="00EC6FF1">
        <w:rPr>
          <w:rFonts w:ascii="Times New Roman" w:hAnsi="Times New Roman" w:cs="Times New Roman"/>
          <w:lang w:val="en-US"/>
        </w:rPr>
        <w:t>Dikau</w:t>
      </w:r>
      <w:proofErr w:type="spellEnd"/>
      <w:r w:rsidR="0099656E" w:rsidRPr="00EC6FF1">
        <w:rPr>
          <w:rFonts w:ascii="Times New Roman" w:hAnsi="Times New Roman" w:cs="Times New Roman"/>
          <w:lang w:val="en-US"/>
        </w:rPr>
        <w:t xml:space="preserve"> &amp; Volz, 2021). </w:t>
      </w:r>
      <w:r w:rsidR="003739A2" w:rsidRPr="00EC6FF1">
        <w:rPr>
          <w:rFonts w:ascii="Times New Roman" w:hAnsi="Times New Roman" w:cs="Times New Roman"/>
          <w:lang w:val="en-US"/>
        </w:rPr>
        <w:t xml:space="preserve">We deviate from these works by attempting to integrate forward-looking scenarios of climate policy into </w:t>
      </w:r>
      <w:r w:rsidR="00ED13F7" w:rsidRPr="00EC6FF1">
        <w:rPr>
          <w:rFonts w:ascii="Times New Roman" w:hAnsi="Times New Roman" w:cs="Times New Roman"/>
          <w:lang w:val="en-US"/>
        </w:rPr>
        <w:t xml:space="preserve">measures of sovereign debt risk, namely credit ratings. In this way our work is most closely aligned to Klusak, et al. (2023) and </w:t>
      </w:r>
      <w:r w:rsidR="004E3F9D" w:rsidRPr="00EC6FF1">
        <w:rPr>
          <w:rFonts w:ascii="Times New Roman" w:hAnsi="Times New Roman" w:cs="Times New Roman"/>
          <w:lang w:val="en-US"/>
        </w:rPr>
        <w:t xml:space="preserve">De Angelis et al (2024). We deviate from these works in </w:t>
      </w:r>
      <w:proofErr w:type="gramStart"/>
      <w:r w:rsidR="004E3F9D" w:rsidRPr="00EC6FF1">
        <w:rPr>
          <w:rFonts w:ascii="Times New Roman" w:hAnsi="Times New Roman" w:cs="Times New Roman"/>
          <w:lang w:val="en-US"/>
        </w:rPr>
        <w:t>a number of</w:t>
      </w:r>
      <w:proofErr w:type="gramEnd"/>
      <w:r w:rsidR="004E3F9D" w:rsidRPr="00EC6FF1">
        <w:rPr>
          <w:rFonts w:ascii="Times New Roman" w:hAnsi="Times New Roman" w:cs="Times New Roman"/>
          <w:lang w:val="en-US"/>
        </w:rPr>
        <w:t xml:space="preserve"> ways. First,</w:t>
      </w:r>
      <w:r w:rsidR="00422447" w:rsidRPr="00EC6FF1">
        <w:rPr>
          <w:rFonts w:ascii="Times New Roman" w:hAnsi="Times New Roman" w:cs="Times New Roman"/>
          <w:lang w:val="en-US"/>
        </w:rPr>
        <w:t xml:space="preserve"> our work is unique to Klusak et al. (2023) in the sense that we focus on policy-relevant scenarios of climate change, which are inclusive of both transition and physical risk.</w:t>
      </w:r>
      <w:r w:rsidR="003C1CCC" w:rsidRPr="00EC6FF1">
        <w:rPr>
          <w:rFonts w:ascii="Times New Roman" w:hAnsi="Times New Roman" w:cs="Times New Roman"/>
          <w:lang w:val="en-US"/>
        </w:rPr>
        <w:t xml:space="preserve"> Second, in doing so we also </w:t>
      </w:r>
      <w:r w:rsidR="00950278" w:rsidRPr="00EC6FF1">
        <w:rPr>
          <w:rFonts w:ascii="Times New Roman" w:hAnsi="Times New Roman" w:cs="Times New Roman"/>
          <w:lang w:val="en-US"/>
        </w:rPr>
        <w:t>extend</w:t>
      </w:r>
      <w:r w:rsidR="003C1CCC" w:rsidRPr="00EC6FF1">
        <w:rPr>
          <w:rFonts w:ascii="Times New Roman" w:hAnsi="Times New Roman" w:cs="Times New Roman"/>
          <w:lang w:val="en-US"/>
        </w:rPr>
        <w:t xml:space="preserve"> the model of Klusak et al. (2023) to accommodate outputs from IAMs. </w:t>
      </w:r>
      <w:r w:rsidR="00BA461E" w:rsidRPr="00EC6FF1">
        <w:rPr>
          <w:rFonts w:ascii="Times New Roman" w:hAnsi="Times New Roman" w:cs="Times New Roman"/>
          <w:lang w:val="en-US"/>
        </w:rPr>
        <w:t xml:space="preserve">This enables our research to keep up to date with developments in </w:t>
      </w:r>
      <w:r w:rsidR="00117A62" w:rsidRPr="00EC6FF1">
        <w:rPr>
          <w:rFonts w:ascii="Times New Roman" w:hAnsi="Times New Roman" w:cs="Times New Roman"/>
          <w:lang w:val="en-US"/>
        </w:rPr>
        <w:t>IAM</w:t>
      </w:r>
      <w:r w:rsidR="00BA461E" w:rsidRPr="00EC6FF1">
        <w:rPr>
          <w:rFonts w:ascii="Times New Roman" w:hAnsi="Times New Roman" w:cs="Times New Roman"/>
          <w:lang w:val="en-US"/>
        </w:rPr>
        <w:t xml:space="preserve"> literature. </w:t>
      </w:r>
      <w:r w:rsidR="00D725C3" w:rsidRPr="00EC6FF1">
        <w:rPr>
          <w:rFonts w:ascii="Times New Roman" w:hAnsi="Times New Roman" w:cs="Times New Roman"/>
          <w:lang w:val="en-US"/>
        </w:rPr>
        <w:t>We also deviate from the work of De Angelis</w:t>
      </w:r>
      <w:r w:rsidR="00533FCA">
        <w:rPr>
          <w:rFonts w:ascii="Times New Roman" w:hAnsi="Times New Roman" w:cs="Times New Roman"/>
          <w:lang w:val="en-US"/>
        </w:rPr>
        <w:t xml:space="preserve"> et al.</w:t>
      </w:r>
      <w:r w:rsidR="00D725C3" w:rsidRPr="00EC6FF1">
        <w:rPr>
          <w:rFonts w:ascii="Times New Roman" w:hAnsi="Times New Roman" w:cs="Times New Roman"/>
          <w:lang w:val="en-US"/>
        </w:rPr>
        <w:t xml:space="preserve"> (2024) by </w:t>
      </w:r>
      <w:r w:rsidR="006B5967" w:rsidRPr="00EC6FF1">
        <w:rPr>
          <w:rFonts w:ascii="Times New Roman" w:hAnsi="Times New Roman" w:cs="Times New Roman"/>
          <w:lang w:val="en-US"/>
        </w:rPr>
        <w:t>integrating measures of climate risk into sovereign credit ratings, rather than credit default swa</w:t>
      </w:r>
      <w:r w:rsidR="00A960D6">
        <w:rPr>
          <w:rFonts w:ascii="Times New Roman" w:hAnsi="Times New Roman" w:cs="Times New Roman"/>
          <w:lang w:val="en-US"/>
        </w:rPr>
        <w:t>p spreads</w:t>
      </w:r>
      <w:r w:rsidR="006B5967" w:rsidRPr="00EC6FF1">
        <w:rPr>
          <w:rFonts w:ascii="Times New Roman" w:hAnsi="Times New Roman" w:cs="Times New Roman"/>
          <w:lang w:val="en-US"/>
        </w:rPr>
        <w:t xml:space="preserve">. This enables our research to speak in terms of </w:t>
      </w:r>
      <w:r w:rsidR="00117A62" w:rsidRPr="00EC6FF1">
        <w:rPr>
          <w:rFonts w:ascii="Times New Roman" w:hAnsi="Times New Roman" w:cs="Times New Roman"/>
          <w:lang w:val="en-US"/>
        </w:rPr>
        <w:t xml:space="preserve">a standardized metric of sovereign credit risk, but also take advantage of its ordinal nature to exploit cross-sectional variation in credit rating assessment. </w:t>
      </w:r>
      <w:r w:rsidR="003C3BCA">
        <w:rPr>
          <w:rFonts w:ascii="Times New Roman" w:hAnsi="Times New Roman" w:cs="Times New Roman"/>
          <w:lang w:val="en-US"/>
        </w:rPr>
        <w:t>Our results support those of De Angelis et al. (2024). We observe similar variation across the scenarios presented by the NGFS.</w:t>
      </w:r>
    </w:p>
    <w:p w14:paraId="4F59BAAB" w14:textId="6F0A3C87" w:rsidR="00BE150D" w:rsidRPr="00EC6FF1" w:rsidRDefault="00A96EF1" w:rsidP="000F3655">
      <w:pPr>
        <w:pStyle w:val="ListParagraph"/>
        <w:numPr>
          <w:ilvl w:val="0"/>
          <w:numId w:val="1"/>
        </w:numPr>
        <w:jc w:val="both"/>
        <w:rPr>
          <w:rFonts w:ascii="Times New Roman" w:hAnsi="Times New Roman" w:cs="Times New Roman"/>
          <w:b/>
          <w:bCs/>
          <w:lang w:val="en-US"/>
        </w:rPr>
      </w:pPr>
      <w:r w:rsidRPr="00EC6FF1">
        <w:rPr>
          <w:rFonts w:ascii="Times New Roman" w:hAnsi="Times New Roman" w:cs="Times New Roman"/>
          <w:b/>
          <w:bCs/>
          <w:lang w:val="en-US"/>
        </w:rPr>
        <w:t>Data and Methodology</w:t>
      </w:r>
    </w:p>
    <w:p w14:paraId="17C6A273" w14:textId="77777777" w:rsidR="00686701" w:rsidRDefault="00686701" w:rsidP="00686701">
      <w:pPr>
        <w:jc w:val="both"/>
        <w:rPr>
          <w:rFonts w:ascii="Times New Roman" w:hAnsi="Times New Roman" w:cs="Times New Roman"/>
          <w:lang w:val="en-US"/>
        </w:rPr>
      </w:pPr>
      <w:r w:rsidRPr="00EC6FF1">
        <w:rPr>
          <w:rFonts w:ascii="Times New Roman" w:hAnsi="Times New Roman" w:cs="Times New Roman"/>
          <w:lang w:val="en-US"/>
        </w:rPr>
        <w:t>In this paper we make use of two distinct sets of data. First, we rely on macroeconomic and sovereign ratings data to construct a predictive model of sovereign credit ratings. Second, we obtain GDP projections for a range of transition scenarios from the NGFS. We do this for each of the policy scenarios and each of the three Integrated Assessment Models.</w:t>
      </w:r>
    </w:p>
    <w:p w14:paraId="31441F4B" w14:textId="77777777" w:rsidR="00E131E9" w:rsidRDefault="00E131E9" w:rsidP="00686701">
      <w:pPr>
        <w:jc w:val="both"/>
        <w:rPr>
          <w:rFonts w:ascii="Times New Roman" w:hAnsi="Times New Roman" w:cs="Times New Roman"/>
          <w:lang w:val="en-US"/>
        </w:rPr>
      </w:pPr>
    </w:p>
    <w:p w14:paraId="21014B03" w14:textId="77777777" w:rsidR="00E131E9" w:rsidRPr="00EC6FF1" w:rsidRDefault="00E131E9" w:rsidP="00686701">
      <w:pPr>
        <w:jc w:val="both"/>
        <w:rPr>
          <w:rFonts w:ascii="Times New Roman" w:hAnsi="Times New Roman" w:cs="Times New Roman"/>
          <w:lang w:val="en-US"/>
        </w:rPr>
      </w:pPr>
    </w:p>
    <w:p w14:paraId="3DC34A40" w14:textId="44428DE6" w:rsidR="001B1B42" w:rsidRPr="00EC6FF1" w:rsidRDefault="0024455C" w:rsidP="001B1B42">
      <w:pPr>
        <w:pStyle w:val="ListParagraph"/>
        <w:numPr>
          <w:ilvl w:val="1"/>
          <w:numId w:val="1"/>
        </w:numPr>
        <w:jc w:val="both"/>
        <w:rPr>
          <w:rFonts w:ascii="Times New Roman" w:hAnsi="Times New Roman" w:cs="Times New Roman"/>
          <w:b/>
          <w:bCs/>
          <w:lang w:val="en-US"/>
        </w:rPr>
      </w:pPr>
      <w:r w:rsidRPr="00EC6FF1">
        <w:rPr>
          <w:rFonts w:ascii="Times New Roman" w:hAnsi="Times New Roman" w:cs="Times New Roman"/>
          <w:b/>
          <w:bCs/>
          <w:lang w:val="en-US"/>
        </w:rPr>
        <w:lastRenderedPageBreak/>
        <w:t>NGFS data</w:t>
      </w:r>
    </w:p>
    <w:p w14:paraId="6C71EF71" w14:textId="20344BC7" w:rsidR="00AB36AB" w:rsidRPr="00EC6FF1" w:rsidRDefault="008101F2" w:rsidP="00AB36AB">
      <w:pPr>
        <w:rPr>
          <w:rFonts w:ascii="Times New Roman" w:hAnsi="Times New Roman" w:cs="Times New Roman"/>
          <w:lang w:val="en-US"/>
        </w:rPr>
      </w:pPr>
      <w:r w:rsidRPr="00EC6FF1">
        <w:rPr>
          <w:rFonts w:ascii="Times New Roman" w:hAnsi="Times New Roman" w:cs="Times New Roman"/>
          <w:lang w:val="en-US"/>
        </w:rPr>
        <w:t xml:space="preserve">The data we obtain from the NGFS is accessible through the NGFS Phase </w:t>
      </w:r>
      <w:r w:rsidR="00D812F0">
        <w:rPr>
          <w:rFonts w:ascii="Times New Roman" w:hAnsi="Times New Roman" w:cs="Times New Roman"/>
          <w:lang w:val="en-US"/>
        </w:rPr>
        <w:t>5</w:t>
      </w:r>
      <w:r w:rsidRPr="00EC6FF1">
        <w:rPr>
          <w:rFonts w:ascii="Times New Roman" w:hAnsi="Times New Roman" w:cs="Times New Roman"/>
          <w:lang w:val="en-US"/>
        </w:rPr>
        <w:t xml:space="preserve"> Scenario Explorer</w:t>
      </w:r>
      <w:r w:rsidRPr="00EC6FF1">
        <w:rPr>
          <w:rStyle w:val="FootnoteReference"/>
          <w:rFonts w:ascii="Times New Roman" w:hAnsi="Times New Roman" w:cs="Times New Roman"/>
          <w:lang w:val="en-US"/>
        </w:rPr>
        <w:footnoteReference w:id="10"/>
      </w:r>
      <w:r w:rsidR="00EF2F8A" w:rsidRPr="00EC6FF1">
        <w:rPr>
          <w:rFonts w:ascii="Times New Roman" w:hAnsi="Times New Roman" w:cs="Times New Roman"/>
          <w:lang w:val="en-US"/>
        </w:rPr>
        <w:t xml:space="preserve">. </w:t>
      </w:r>
      <w:r w:rsidR="00805C7A" w:rsidRPr="00EC6FF1">
        <w:rPr>
          <w:rFonts w:ascii="Times New Roman" w:hAnsi="Times New Roman" w:cs="Times New Roman"/>
          <w:lang w:val="en-US"/>
        </w:rPr>
        <w:t xml:space="preserve">The NGFS </w:t>
      </w:r>
      <w:r w:rsidR="001B1B42" w:rsidRPr="00EC6FF1">
        <w:rPr>
          <w:rFonts w:ascii="Times New Roman" w:hAnsi="Times New Roman" w:cs="Times New Roman"/>
          <w:lang w:val="en-US"/>
        </w:rPr>
        <w:t>uses</w:t>
      </w:r>
      <w:r w:rsidR="00805C7A" w:rsidRPr="00EC6FF1">
        <w:rPr>
          <w:rFonts w:ascii="Times New Roman" w:hAnsi="Times New Roman" w:cs="Times New Roman"/>
          <w:lang w:val="en-US"/>
        </w:rPr>
        <w:t xml:space="preserve"> three integrated assessment models (IAMs)</w:t>
      </w:r>
      <w:r w:rsidR="002033B5" w:rsidRPr="00EC6FF1">
        <w:rPr>
          <w:rFonts w:ascii="Times New Roman" w:hAnsi="Times New Roman" w:cs="Times New Roman"/>
          <w:lang w:val="en-US"/>
        </w:rPr>
        <w:t xml:space="preserve"> which our </w:t>
      </w:r>
      <w:r w:rsidR="00805C7A" w:rsidRPr="00EC6FF1">
        <w:rPr>
          <w:rFonts w:ascii="Times New Roman" w:hAnsi="Times New Roman" w:cs="Times New Roman"/>
          <w:lang w:val="en-US"/>
        </w:rPr>
        <w:t>research relies on</w:t>
      </w:r>
      <w:r w:rsidR="002033B5" w:rsidRPr="00EC6FF1">
        <w:rPr>
          <w:rFonts w:ascii="Times New Roman" w:hAnsi="Times New Roman" w:cs="Times New Roman"/>
          <w:lang w:val="en-US"/>
        </w:rPr>
        <w:t>, these include</w:t>
      </w:r>
      <w:r w:rsidR="00805C7A" w:rsidRPr="00EC6FF1">
        <w:rPr>
          <w:rFonts w:ascii="Times New Roman" w:hAnsi="Times New Roman" w:cs="Times New Roman"/>
          <w:lang w:val="en-US"/>
        </w:rPr>
        <w:t xml:space="preserve"> the following downscaled models to provide country-level estimates, </w:t>
      </w:r>
      <w:proofErr w:type="spellStart"/>
      <w:r w:rsidR="00805C7A" w:rsidRPr="00EC6FF1">
        <w:rPr>
          <w:rFonts w:ascii="Times New Roman" w:hAnsi="Times New Roman" w:cs="Times New Roman"/>
          <w:lang w:val="en-US"/>
        </w:rPr>
        <w:t>MESSAGEix</w:t>
      </w:r>
      <w:proofErr w:type="spellEnd"/>
      <w:r w:rsidR="00805C7A" w:rsidRPr="00EC6FF1">
        <w:rPr>
          <w:rFonts w:ascii="Times New Roman" w:hAnsi="Times New Roman" w:cs="Times New Roman"/>
          <w:lang w:val="en-US"/>
        </w:rPr>
        <w:t>-GLOBIOM 1.1-M-R12, REMIND-</w:t>
      </w:r>
      <w:proofErr w:type="spellStart"/>
      <w:r w:rsidR="00805C7A" w:rsidRPr="00EC6FF1">
        <w:rPr>
          <w:rFonts w:ascii="Times New Roman" w:hAnsi="Times New Roman" w:cs="Times New Roman"/>
          <w:lang w:val="en-US"/>
        </w:rPr>
        <w:t>MAgPIE</w:t>
      </w:r>
      <w:proofErr w:type="spellEnd"/>
      <w:r w:rsidR="00805C7A" w:rsidRPr="00EC6FF1">
        <w:rPr>
          <w:rFonts w:ascii="Times New Roman" w:hAnsi="Times New Roman" w:cs="Times New Roman"/>
          <w:lang w:val="en-US"/>
        </w:rPr>
        <w:t xml:space="preserve"> 3.2-4.6, and GCAM 6.0. These models aim to capture complex interactions between the energy system, water, agriculture, land use, climate and the economy and make varying levels of assumptions about the </w:t>
      </w:r>
      <w:proofErr w:type="spellStart"/>
      <w:r w:rsidR="00805C7A" w:rsidRPr="00EC6FF1">
        <w:rPr>
          <w:rFonts w:ascii="Times New Roman" w:hAnsi="Times New Roman" w:cs="Times New Roman"/>
          <w:lang w:val="en-US"/>
        </w:rPr>
        <w:t>behaviour</w:t>
      </w:r>
      <w:proofErr w:type="spellEnd"/>
      <w:r w:rsidR="00805C7A" w:rsidRPr="00EC6FF1">
        <w:rPr>
          <w:rFonts w:ascii="Times New Roman" w:hAnsi="Times New Roman" w:cs="Times New Roman"/>
          <w:lang w:val="en-US"/>
        </w:rPr>
        <w:t xml:space="preserve"> of individuals and firms. </w:t>
      </w:r>
      <w:r w:rsidR="002033B5" w:rsidRPr="00EC6FF1">
        <w:rPr>
          <w:rFonts w:ascii="Times New Roman" w:hAnsi="Times New Roman" w:cs="Times New Roman"/>
          <w:lang w:val="en-US"/>
        </w:rPr>
        <w:t xml:space="preserve">Literature on IAMs has grown rapidly, and models are continuously updated. For a review and discussion of these models see </w:t>
      </w:r>
      <w:r w:rsidR="002033B5" w:rsidRPr="00EC6FF1">
        <w:rPr>
          <w:rFonts w:ascii="Times New Roman" w:hAnsi="Times New Roman" w:cs="Times New Roman"/>
        </w:rPr>
        <w:t>Fisher-Vanden &amp; Weyant (2020)</w:t>
      </w:r>
      <w:r w:rsidR="002033B5" w:rsidRPr="00EC6FF1">
        <w:rPr>
          <w:rFonts w:ascii="Times New Roman" w:hAnsi="Times New Roman" w:cs="Times New Roman"/>
          <w:lang w:val="en-US"/>
        </w:rPr>
        <w:t xml:space="preserve">. </w:t>
      </w:r>
      <w:r w:rsidR="00805C7A" w:rsidRPr="00EC6FF1">
        <w:rPr>
          <w:rFonts w:ascii="Times New Roman" w:hAnsi="Times New Roman" w:cs="Times New Roman"/>
          <w:lang w:val="en-US"/>
        </w:rPr>
        <w:t>Our approach simulates a rating change for each country, under each scenario, according to the impacts predicted by each IAM. For each country, under each scenario, we report the average rating change found across the three IAMs</w:t>
      </w:r>
      <w:r w:rsidR="00805C7A" w:rsidRPr="00EC6FF1">
        <w:rPr>
          <w:rStyle w:val="FootnoteReference"/>
          <w:rFonts w:ascii="Times New Roman" w:hAnsi="Times New Roman" w:cs="Times New Roman"/>
          <w:lang w:val="en-US"/>
        </w:rPr>
        <w:footnoteReference w:id="11"/>
      </w:r>
      <w:r w:rsidR="0038409F" w:rsidRPr="00EC6FF1">
        <w:rPr>
          <w:rFonts w:ascii="Times New Roman" w:hAnsi="Times New Roman" w:cs="Times New Roman"/>
          <w:lang w:val="en-US"/>
        </w:rPr>
        <w:t>. By incorporating the three IAMs in this way</w:t>
      </w:r>
      <w:r w:rsidR="00AB36AB" w:rsidRPr="00EC6FF1">
        <w:rPr>
          <w:rFonts w:ascii="Times New Roman" w:hAnsi="Times New Roman" w:cs="Times New Roman"/>
          <w:lang w:val="en-US"/>
        </w:rPr>
        <w:t xml:space="preserve"> we draw robust insights across </w:t>
      </w:r>
      <w:r w:rsidR="00FA2609" w:rsidRPr="00EC6FF1">
        <w:rPr>
          <w:rFonts w:ascii="Times New Roman" w:hAnsi="Times New Roman" w:cs="Times New Roman"/>
          <w:lang w:val="en-US"/>
        </w:rPr>
        <w:t>models and</w:t>
      </w:r>
      <w:r w:rsidR="00AB36AB" w:rsidRPr="00EC6FF1">
        <w:rPr>
          <w:rFonts w:ascii="Times New Roman" w:hAnsi="Times New Roman" w:cs="Times New Roman"/>
          <w:lang w:val="en-US"/>
        </w:rPr>
        <w:t xml:space="preserve"> reduce sensitivity to model-specific error. The NGFS rely on the outputs from the IAMs to act as inputs to the global econometric model </w:t>
      </w:r>
      <w:proofErr w:type="spellStart"/>
      <w:r w:rsidR="00AB36AB" w:rsidRPr="00EC6FF1">
        <w:rPr>
          <w:rFonts w:ascii="Times New Roman" w:hAnsi="Times New Roman" w:cs="Times New Roman"/>
          <w:lang w:val="en-US"/>
        </w:rPr>
        <w:t>NiGEM</w:t>
      </w:r>
      <w:proofErr w:type="spellEnd"/>
      <w:r w:rsidR="00AB36AB" w:rsidRPr="00EC6FF1">
        <w:rPr>
          <w:rFonts w:ascii="Times New Roman" w:hAnsi="Times New Roman" w:cs="Times New Roman"/>
          <w:lang w:val="en-US"/>
        </w:rPr>
        <w:t xml:space="preserve"> (National Institute Global Econometric Model). </w:t>
      </w:r>
      <w:proofErr w:type="spellStart"/>
      <w:r w:rsidR="00AB36AB" w:rsidRPr="00EC6FF1">
        <w:rPr>
          <w:rFonts w:ascii="Times New Roman" w:hAnsi="Times New Roman" w:cs="Times New Roman"/>
          <w:lang w:val="en-US"/>
        </w:rPr>
        <w:t>NiGEM</w:t>
      </w:r>
      <w:proofErr w:type="spellEnd"/>
      <w:r w:rsidR="00AB36AB" w:rsidRPr="00EC6FF1">
        <w:rPr>
          <w:rFonts w:ascii="Times New Roman" w:hAnsi="Times New Roman" w:cs="Times New Roman"/>
          <w:lang w:val="en-US"/>
        </w:rPr>
        <w:t xml:space="preserve"> provides simulations of the GDP pathways we use in our model.</w:t>
      </w:r>
    </w:p>
    <w:p w14:paraId="28E0B96B" w14:textId="14B2606E" w:rsidR="00E76968" w:rsidRPr="00EC6FF1" w:rsidRDefault="0024455C" w:rsidP="00E76968">
      <w:pPr>
        <w:pStyle w:val="ListParagraph"/>
        <w:numPr>
          <w:ilvl w:val="1"/>
          <w:numId w:val="1"/>
        </w:numPr>
        <w:rPr>
          <w:rFonts w:ascii="Times New Roman" w:hAnsi="Times New Roman" w:cs="Times New Roman"/>
          <w:b/>
          <w:bCs/>
          <w:lang w:val="en-US"/>
        </w:rPr>
      </w:pPr>
      <w:r w:rsidRPr="00EC6FF1">
        <w:rPr>
          <w:rFonts w:ascii="Times New Roman" w:hAnsi="Times New Roman" w:cs="Times New Roman"/>
          <w:b/>
          <w:bCs/>
          <w:lang w:val="en-US"/>
        </w:rPr>
        <w:t>Macroeconomic data</w:t>
      </w:r>
    </w:p>
    <w:p w14:paraId="18C587EB" w14:textId="0ADDE881" w:rsidR="0024455C" w:rsidRPr="00EC6FF1" w:rsidRDefault="0024455C" w:rsidP="0024455C">
      <w:pPr>
        <w:rPr>
          <w:rFonts w:ascii="Times New Roman" w:hAnsi="Times New Roman" w:cs="Times New Roman"/>
          <w:lang w:val="en-US"/>
        </w:rPr>
      </w:pPr>
      <w:r w:rsidRPr="00EC6FF1">
        <w:rPr>
          <w:rFonts w:ascii="Times New Roman" w:hAnsi="Times New Roman" w:cs="Times New Roman"/>
          <w:lang w:val="en-US"/>
        </w:rPr>
        <w:t xml:space="preserve">We obtain macroeconomic and sovereign credit ratings data from S&amp;P Ratings Direct. We rely on data from S&amp;P as it is generally regarded as the rating agency to lead Moody’s and Fitch in rating revisions and often leads to a greater market impact (Almeida et al., 2017). Our database is a year-country panel from 2015-2020. This period excludes two severe sovereign risk events, namely the Global Financial Crisis and the Covid-19 Pandemic. The impact of these events on our ratings model may be that we underestimate the impact of climate related losses on sovereign credit ratings. Researchers have variously documented the impact of systemic events on credit ratings. Whilst the empirical evidence suggests that ratings remain relatively stable during these periods (Teixeira et al., 2018; Tran et al., 2021), the economic fundamentals do not. As such, this would </w:t>
      </w:r>
      <w:r w:rsidR="004654D1" w:rsidRPr="00EC6FF1">
        <w:rPr>
          <w:rFonts w:ascii="Times New Roman" w:hAnsi="Times New Roman" w:cs="Times New Roman"/>
          <w:lang w:val="en-US"/>
        </w:rPr>
        <w:t>impact on</w:t>
      </w:r>
      <w:r w:rsidRPr="00EC6FF1">
        <w:rPr>
          <w:rFonts w:ascii="Times New Roman" w:hAnsi="Times New Roman" w:cs="Times New Roman"/>
          <w:lang w:val="en-US"/>
        </w:rPr>
        <w:t xml:space="preserve"> the accuracy of our model out of sample. Finally, we make our variable selection based on the criteria that we aim to </w:t>
      </w:r>
      <w:proofErr w:type="spellStart"/>
      <w:r w:rsidRPr="00EC6FF1">
        <w:rPr>
          <w:rFonts w:ascii="Times New Roman" w:hAnsi="Times New Roman" w:cs="Times New Roman"/>
          <w:lang w:val="en-US"/>
        </w:rPr>
        <w:t>maximise</w:t>
      </w:r>
      <w:proofErr w:type="spellEnd"/>
      <w:r w:rsidRPr="00EC6FF1">
        <w:rPr>
          <w:rFonts w:ascii="Times New Roman" w:hAnsi="Times New Roman" w:cs="Times New Roman"/>
          <w:lang w:val="en-US"/>
        </w:rPr>
        <w:t xml:space="preserve"> our predictive accuracy of sovereign credit ratings, whilst not limiting our ability to integrate expectations of how we might expect those variables to change in response to climate transition. Table 1 presents the summary statistics for our macroeconomic data.</w:t>
      </w:r>
    </w:p>
    <w:p w14:paraId="7A2CE32E" w14:textId="2014EBC9" w:rsidR="005850F7" w:rsidRPr="00EC6FF1" w:rsidRDefault="0024455C" w:rsidP="005850F7">
      <w:pPr>
        <w:pStyle w:val="ListParagraph"/>
        <w:numPr>
          <w:ilvl w:val="1"/>
          <w:numId w:val="1"/>
        </w:numPr>
        <w:rPr>
          <w:rFonts w:ascii="Times New Roman" w:hAnsi="Times New Roman" w:cs="Times New Roman"/>
          <w:b/>
          <w:bCs/>
          <w:lang w:val="en-US"/>
        </w:rPr>
      </w:pPr>
      <w:r w:rsidRPr="00EC6FF1">
        <w:rPr>
          <w:rFonts w:ascii="Times New Roman" w:hAnsi="Times New Roman" w:cs="Times New Roman"/>
          <w:b/>
          <w:bCs/>
          <w:lang w:val="en-US"/>
        </w:rPr>
        <w:t>Methodology</w:t>
      </w:r>
    </w:p>
    <w:p w14:paraId="1A8EF2FF" w14:textId="5746A9FE" w:rsidR="00686701" w:rsidRPr="00EC6FF1" w:rsidRDefault="00B27ACA" w:rsidP="00FB7632">
      <w:pPr>
        <w:jc w:val="both"/>
        <w:rPr>
          <w:rFonts w:ascii="Times New Roman" w:hAnsi="Times New Roman" w:cs="Times New Roman"/>
          <w:spacing w:val="-2"/>
          <w:lang w:val="en-US"/>
        </w:rPr>
      </w:pPr>
      <w:r w:rsidRPr="00EC6FF1">
        <w:rPr>
          <w:rFonts w:ascii="Times New Roman" w:hAnsi="Times New Roman" w:cs="Times New Roman"/>
          <w:spacing w:val="-6"/>
        </w:rPr>
        <w:t>We</w:t>
      </w:r>
      <w:r w:rsidRPr="00EC6FF1">
        <w:rPr>
          <w:rFonts w:ascii="Times New Roman" w:hAnsi="Times New Roman" w:cs="Times New Roman"/>
          <w:spacing w:val="-7"/>
        </w:rPr>
        <w:t xml:space="preserve"> </w:t>
      </w:r>
      <w:r w:rsidRPr="00EC6FF1">
        <w:rPr>
          <w:rFonts w:ascii="Times New Roman" w:hAnsi="Times New Roman" w:cs="Times New Roman"/>
          <w:spacing w:val="-6"/>
        </w:rPr>
        <w:t>apply</w:t>
      </w:r>
      <w:r w:rsidRPr="00EC6FF1">
        <w:rPr>
          <w:rFonts w:ascii="Times New Roman" w:hAnsi="Times New Roman" w:cs="Times New Roman"/>
          <w:spacing w:val="-7"/>
        </w:rPr>
        <w:t xml:space="preserve"> </w:t>
      </w:r>
      <w:r w:rsidRPr="00EC6FF1">
        <w:rPr>
          <w:rFonts w:ascii="Times New Roman" w:hAnsi="Times New Roman" w:cs="Times New Roman"/>
          <w:spacing w:val="-6"/>
        </w:rPr>
        <w:t>a</w:t>
      </w:r>
      <w:r w:rsidRPr="00EC6FF1">
        <w:rPr>
          <w:rFonts w:ascii="Times New Roman" w:hAnsi="Times New Roman" w:cs="Times New Roman"/>
          <w:spacing w:val="-7"/>
        </w:rPr>
        <w:t xml:space="preserve"> </w:t>
      </w:r>
      <w:r w:rsidRPr="00EC6FF1">
        <w:rPr>
          <w:rFonts w:ascii="Times New Roman" w:hAnsi="Times New Roman" w:cs="Times New Roman"/>
          <w:spacing w:val="-6"/>
        </w:rPr>
        <w:t>random</w:t>
      </w:r>
      <w:r w:rsidRPr="00EC6FF1">
        <w:rPr>
          <w:rFonts w:ascii="Times New Roman" w:hAnsi="Times New Roman" w:cs="Times New Roman"/>
          <w:spacing w:val="-7"/>
        </w:rPr>
        <w:t xml:space="preserve"> </w:t>
      </w:r>
      <w:r w:rsidRPr="00EC6FF1">
        <w:rPr>
          <w:rFonts w:ascii="Times New Roman" w:hAnsi="Times New Roman" w:cs="Times New Roman"/>
          <w:spacing w:val="-6"/>
        </w:rPr>
        <w:t>forest</w:t>
      </w:r>
      <w:r w:rsidRPr="00EC6FF1">
        <w:rPr>
          <w:rFonts w:ascii="Times New Roman" w:hAnsi="Times New Roman" w:cs="Times New Roman"/>
          <w:spacing w:val="-7"/>
        </w:rPr>
        <w:t xml:space="preserve"> </w:t>
      </w:r>
      <w:r w:rsidR="00402035" w:rsidRPr="00EC6FF1">
        <w:rPr>
          <w:rFonts w:ascii="Times New Roman" w:hAnsi="Times New Roman" w:cs="Times New Roman"/>
          <w:spacing w:val="-6"/>
        </w:rPr>
        <w:t>estimation</w:t>
      </w:r>
      <w:r w:rsidR="00402035" w:rsidRPr="00EC6FF1">
        <w:rPr>
          <w:rFonts w:ascii="Times New Roman" w:hAnsi="Times New Roman" w:cs="Times New Roman"/>
          <w:spacing w:val="-7"/>
        </w:rPr>
        <w:t xml:space="preserve"> </w:t>
      </w:r>
      <w:r w:rsidRPr="00EC6FF1">
        <w:rPr>
          <w:rFonts w:ascii="Times New Roman" w:hAnsi="Times New Roman" w:cs="Times New Roman"/>
          <w:spacing w:val="-6"/>
        </w:rPr>
        <w:t>to</w:t>
      </w:r>
      <w:r w:rsidRPr="00EC6FF1">
        <w:rPr>
          <w:rFonts w:ascii="Times New Roman" w:hAnsi="Times New Roman" w:cs="Times New Roman"/>
          <w:spacing w:val="-7"/>
        </w:rPr>
        <w:t xml:space="preserve"> </w:t>
      </w:r>
      <w:r w:rsidRPr="00EC6FF1">
        <w:rPr>
          <w:rFonts w:ascii="Times New Roman" w:hAnsi="Times New Roman" w:cs="Times New Roman"/>
          <w:spacing w:val="-6"/>
        </w:rPr>
        <w:t>a</w:t>
      </w:r>
      <w:r w:rsidRPr="00EC6FF1">
        <w:rPr>
          <w:rFonts w:ascii="Times New Roman" w:hAnsi="Times New Roman" w:cs="Times New Roman"/>
          <w:spacing w:val="-7"/>
        </w:rPr>
        <w:t xml:space="preserve"> </w:t>
      </w:r>
      <w:r w:rsidRPr="00EC6FF1">
        <w:rPr>
          <w:rFonts w:ascii="Times New Roman" w:hAnsi="Times New Roman" w:cs="Times New Roman"/>
          <w:spacing w:val="-6"/>
        </w:rPr>
        <w:t>combined</w:t>
      </w:r>
      <w:r w:rsidRPr="00EC6FF1">
        <w:rPr>
          <w:rFonts w:ascii="Times New Roman" w:hAnsi="Times New Roman" w:cs="Times New Roman"/>
          <w:spacing w:val="-7"/>
        </w:rPr>
        <w:t xml:space="preserve"> </w:t>
      </w:r>
      <w:r w:rsidRPr="00EC6FF1">
        <w:rPr>
          <w:rFonts w:ascii="Times New Roman" w:hAnsi="Times New Roman" w:cs="Times New Roman"/>
          <w:spacing w:val="-6"/>
        </w:rPr>
        <w:t>dataset</w:t>
      </w:r>
      <w:r w:rsidRPr="00EC6FF1">
        <w:rPr>
          <w:rFonts w:ascii="Times New Roman" w:hAnsi="Times New Roman" w:cs="Times New Roman"/>
          <w:spacing w:val="-7"/>
        </w:rPr>
        <w:t xml:space="preserve"> </w:t>
      </w:r>
      <w:r w:rsidRPr="00EC6FF1">
        <w:rPr>
          <w:rFonts w:ascii="Times New Roman" w:hAnsi="Times New Roman" w:cs="Times New Roman"/>
          <w:spacing w:val="-6"/>
        </w:rPr>
        <w:t>of</w:t>
      </w:r>
      <w:r w:rsidRPr="00EC6FF1">
        <w:rPr>
          <w:rFonts w:ascii="Times New Roman" w:hAnsi="Times New Roman" w:cs="Times New Roman"/>
          <w:spacing w:val="-7"/>
        </w:rPr>
        <w:t xml:space="preserve"> </w:t>
      </w:r>
      <w:r w:rsidRPr="00EC6FF1">
        <w:rPr>
          <w:rFonts w:ascii="Times New Roman" w:hAnsi="Times New Roman" w:cs="Times New Roman"/>
          <w:spacing w:val="-6"/>
        </w:rPr>
        <w:t>sovereign</w:t>
      </w:r>
      <w:r w:rsidRPr="00EC6FF1">
        <w:rPr>
          <w:rFonts w:ascii="Times New Roman" w:hAnsi="Times New Roman" w:cs="Times New Roman"/>
          <w:spacing w:val="-7"/>
        </w:rPr>
        <w:t xml:space="preserve"> </w:t>
      </w:r>
      <w:r w:rsidRPr="00EC6FF1">
        <w:rPr>
          <w:rFonts w:ascii="Times New Roman" w:hAnsi="Times New Roman" w:cs="Times New Roman"/>
          <w:spacing w:val="-6"/>
        </w:rPr>
        <w:t>credit</w:t>
      </w:r>
      <w:r w:rsidRPr="00EC6FF1">
        <w:rPr>
          <w:rFonts w:ascii="Times New Roman" w:hAnsi="Times New Roman" w:cs="Times New Roman"/>
          <w:spacing w:val="-7"/>
        </w:rPr>
        <w:t xml:space="preserve"> </w:t>
      </w:r>
      <w:r w:rsidRPr="00EC6FF1">
        <w:rPr>
          <w:rFonts w:ascii="Times New Roman" w:hAnsi="Times New Roman" w:cs="Times New Roman"/>
          <w:spacing w:val="-6"/>
        </w:rPr>
        <w:t>ratings</w:t>
      </w:r>
      <w:r w:rsidRPr="00EC6FF1">
        <w:rPr>
          <w:rFonts w:ascii="Times New Roman" w:hAnsi="Times New Roman" w:cs="Times New Roman"/>
          <w:spacing w:val="-7"/>
        </w:rPr>
        <w:t xml:space="preserve"> </w:t>
      </w:r>
      <w:r w:rsidRPr="00EC6FF1">
        <w:rPr>
          <w:rFonts w:ascii="Times New Roman" w:hAnsi="Times New Roman" w:cs="Times New Roman"/>
          <w:spacing w:val="-6"/>
        </w:rPr>
        <w:t>and</w:t>
      </w:r>
      <w:r w:rsidRPr="00EC6FF1">
        <w:rPr>
          <w:rFonts w:ascii="Times New Roman" w:hAnsi="Times New Roman" w:cs="Times New Roman"/>
          <w:spacing w:val="-7"/>
        </w:rPr>
        <w:t xml:space="preserve"> </w:t>
      </w:r>
      <w:r w:rsidRPr="00EC6FF1">
        <w:rPr>
          <w:rFonts w:ascii="Times New Roman" w:hAnsi="Times New Roman" w:cs="Times New Roman"/>
          <w:spacing w:val="-6"/>
        </w:rPr>
        <w:t>macroe</w:t>
      </w:r>
      <w:r w:rsidRPr="00EC6FF1">
        <w:rPr>
          <w:rFonts w:ascii="Times New Roman" w:hAnsi="Times New Roman" w:cs="Times New Roman"/>
        </w:rPr>
        <w:t>conomic</w:t>
      </w:r>
      <w:r w:rsidRPr="00EC6FF1">
        <w:rPr>
          <w:rFonts w:ascii="Times New Roman" w:hAnsi="Times New Roman" w:cs="Times New Roman"/>
          <w:spacing w:val="-7"/>
        </w:rPr>
        <w:t xml:space="preserve"> </w:t>
      </w:r>
      <w:r w:rsidRPr="00EC6FF1">
        <w:rPr>
          <w:rFonts w:ascii="Times New Roman" w:hAnsi="Times New Roman" w:cs="Times New Roman"/>
        </w:rPr>
        <w:t>data.</w:t>
      </w:r>
      <w:r w:rsidRPr="00EC6FF1">
        <w:rPr>
          <w:rFonts w:ascii="Times New Roman" w:hAnsi="Times New Roman" w:cs="Times New Roman"/>
          <w:spacing w:val="35"/>
        </w:rPr>
        <w:t xml:space="preserve"> </w:t>
      </w:r>
      <w:r w:rsidRPr="00EC6FF1">
        <w:rPr>
          <w:rFonts w:ascii="Times New Roman" w:hAnsi="Times New Roman" w:cs="Times New Roman"/>
        </w:rPr>
        <w:t>Our</w:t>
      </w:r>
      <w:r w:rsidRPr="00EC6FF1">
        <w:rPr>
          <w:rFonts w:ascii="Times New Roman" w:hAnsi="Times New Roman" w:cs="Times New Roman"/>
          <w:spacing w:val="-7"/>
        </w:rPr>
        <w:t xml:space="preserve"> </w:t>
      </w:r>
      <w:r w:rsidRPr="00EC6FF1">
        <w:rPr>
          <w:rFonts w:ascii="Times New Roman" w:hAnsi="Times New Roman" w:cs="Times New Roman"/>
        </w:rPr>
        <w:t>model</w:t>
      </w:r>
      <w:r w:rsidRPr="00EC6FF1">
        <w:rPr>
          <w:rFonts w:ascii="Times New Roman" w:hAnsi="Times New Roman" w:cs="Times New Roman"/>
          <w:spacing w:val="-7"/>
        </w:rPr>
        <w:t xml:space="preserve"> </w:t>
      </w:r>
      <w:r w:rsidRPr="00EC6FF1">
        <w:rPr>
          <w:rFonts w:ascii="Times New Roman" w:hAnsi="Times New Roman" w:cs="Times New Roman"/>
        </w:rPr>
        <w:t>follows</w:t>
      </w:r>
      <w:r w:rsidRPr="00EC6FF1">
        <w:rPr>
          <w:rFonts w:ascii="Times New Roman" w:hAnsi="Times New Roman" w:cs="Times New Roman"/>
          <w:spacing w:val="-7"/>
        </w:rPr>
        <w:t xml:space="preserve"> </w:t>
      </w:r>
      <w:hyperlink w:anchor="_bookmark33" w:history="1">
        <w:r w:rsidRPr="00EC6FF1">
          <w:rPr>
            <w:rFonts w:ascii="Times New Roman" w:hAnsi="Times New Roman" w:cs="Times New Roman"/>
          </w:rPr>
          <w:t>Klusak</w:t>
        </w:r>
        <w:r w:rsidRPr="00EC6FF1">
          <w:rPr>
            <w:rFonts w:ascii="Times New Roman" w:hAnsi="Times New Roman" w:cs="Times New Roman"/>
            <w:spacing w:val="-7"/>
          </w:rPr>
          <w:t xml:space="preserve"> </w:t>
        </w:r>
        <w:r w:rsidRPr="00EC6FF1">
          <w:rPr>
            <w:rFonts w:ascii="Times New Roman" w:hAnsi="Times New Roman" w:cs="Times New Roman"/>
          </w:rPr>
          <w:t>et</w:t>
        </w:r>
        <w:r w:rsidRPr="00EC6FF1">
          <w:rPr>
            <w:rFonts w:ascii="Times New Roman" w:hAnsi="Times New Roman" w:cs="Times New Roman"/>
            <w:spacing w:val="-7"/>
          </w:rPr>
          <w:t xml:space="preserve"> </w:t>
        </w:r>
        <w:r w:rsidRPr="00EC6FF1">
          <w:rPr>
            <w:rFonts w:ascii="Times New Roman" w:hAnsi="Times New Roman" w:cs="Times New Roman"/>
          </w:rPr>
          <w:t>al.</w:t>
        </w:r>
      </w:hyperlink>
      <w:r w:rsidRPr="00EC6FF1">
        <w:rPr>
          <w:rFonts w:ascii="Times New Roman" w:hAnsi="Times New Roman" w:cs="Times New Roman"/>
          <w:spacing w:val="-7"/>
        </w:rPr>
        <w:t xml:space="preserve"> </w:t>
      </w:r>
      <w:hyperlink w:anchor="_bookmark33" w:history="1">
        <w:r w:rsidRPr="00EC6FF1">
          <w:rPr>
            <w:rFonts w:ascii="Times New Roman" w:hAnsi="Times New Roman" w:cs="Times New Roman"/>
          </w:rPr>
          <w:t>(2023)</w:t>
        </w:r>
      </w:hyperlink>
      <w:r w:rsidRPr="00EC6FF1">
        <w:rPr>
          <w:rFonts w:ascii="Times New Roman" w:hAnsi="Times New Roman" w:cs="Times New Roman"/>
          <w:spacing w:val="-7"/>
        </w:rPr>
        <w:t xml:space="preserve"> </w:t>
      </w:r>
      <w:r w:rsidRPr="00EC6FF1">
        <w:rPr>
          <w:rFonts w:ascii="Times New Roman" w:hAnsi="Times New Roman" w:cs="Times New Roman"/>
        </w:rPr>
        <w:t>and</w:t>
      </w:r>
      <w:r w:rsidRPr="00EC6FF1">
        <w:rPr>
          <w:rFonts w:ascii="Times New Roman" w:hAnsi="Times New Roman" w:cs="Times New Roman"/>
          <w:spacing w:val="-7"/>
        </w:rPr>
        <w:t xml:space="preserve"> </w:t>
      </w:r>
      <w:r w:rsidRPr="00EC6FF1">
        <w:rPr>
          <w:rFonts w:ascii="Times New Roman" w:hAnsi="Times New Roman" w:cs="Times New Roman"/>
        </w:rPr>
        <w:t>is</w:t>
      </w:r>
      <w:r w:rsidRPr="00EC6FF1">
        <w:rPr>
          <w:rFonts w:ascii="Times New Roman" w:hAnsi="Times New Roman" w:cs="Times New Roman"/>
          <w:spacing w:val="-7"/>
        </w:rPr>
        <w:t xml:space="preserve"> </w:t>
      </w:r>
      <w:r w:rsidRPr="00EC6FF1">
        <w:rPr>
          <w:rFonts w:ascii="Times New Roman" w:hAnsi="Times New Roman" w:cs="Times New Roman"/>
        </w:rPr>
        <w:t>consistent</w:t>
      </w:r>
      <w:r w:rsidRPr="00EC6FF1">
        <w:rPr>
          <w:rFonts w:ascii="Times New Roman" w:hAnsi="Times New Roman" w:cs="Times New Roman"/>
          <w:spacing w:val="-7"/>
        </w:rPr>
        <w:t xml:space="preserve"> </w:t>
      </w:r>
      <w:r w:rsidRPr="00EC6FF1">
        <w:rPr>
          <w:rFonts w:ascii="Times New Roman" w:hAnsi="Times New Roman" w:cs="Times New Roman"/>
        </w:rPr>
        <w:t>with</w:t>
      </w:r>
      <w:r w:rsidRPr="00EC6FF1">
        <w:rPr>
          <w:rFonts w:ascii="Times New Roman" w:hAnsi="Times New Roman" w:cs="Times New Roman"/>
          <w:spacing w:val="-7"/>
        </w:rPr>
        <w:t xml:space="preserve"> </w:t>
      </w:r>
      <w:r w:rsidRPr="00EC6FF1">
        <w:rPr>
          <w:rFonts w:ascii="Times New Roman" w:hAnsi="Times New Roman" w:cs="Times New Roman"/>
        </w:rPr>
        <w:t>central</w:t>
      </w:r>
      <w:r w:rsidRPr="00EC6FF1">
        <w:rPr>
          <w:rFonts w:ascii="Times New Roman" w:hAnsi="Times New Roman" w:cs="Times New Roman"/>
          <w:spacing w:val="-7"/>
        </w:rPr>
        <w:t xml:space="preserve"> </w:t>
      </w:r>
      <w:r w:rsidRPr="00EC6FF1">
        <w:rPr>
          <w:rFonts w:ascii="Times New Roman" w:hAnsi="Times New Roman" w:cs="Times New Roman"/>
        </w:rPr>
        <w:t xml:space="preserve">banks </w:t>
      </w:r>
      <w:r w:rsidRPr="00EC6FF1">
        <w:rPr>
          <w:rFonts w:ascii="Times New Roman" w:hAnsi="Times New Roman" w:cs="Times New Roman"/>
          <w:spacing w:val="-2"/>
        </w:rPr>
        <w:lastRenderedPageBreak/>
        <w:t>use</w:t>
      </w:r>
      <w:r w:rsidRPr="00EC6FF1">
        <w:rPr>
          <w:rFonts w:ascii="Times New Roman" w:hAnsi="Times New Roman" w:cs="Times New Roman"/>
          <w:spacing w:val="-14"/>
        </w:rPr>
        <w:t xml:space="preserve"> </w:t>
      </w:r>
      <w:r w:rsidRPr="00EC6FF1">
        <w:rPr>
          <w:rFonts w:ascii="Times New Roman" w:hAnsi="Times New Roman" w:cs="Times New Roman"/>
          <w:spacing w:val="-2"/>
        </w:rPr>
        <w:t>of</w:t>
      </w:r>
      <w:r w:rsidRPr="00EC6FF1">
        <w:rPr>
          <w:rFonts w:ascii="Times New Roman" w:hAnsi="Times New Roman" w:cs="Times New Roman"/>
          <w:spacing w:val="-13"/>
        </w:rPr>
        <w:t xml:space="preserve"> </w:t>
      </w:r>
      <w:r w:rsidRPr="00EC6FF1">
        <w:rPr>
          <w:rFonts w:ascii="Times New Roman" w:hAnsi="Times New Roman" w:cs="Times New Roman"/>
          <w:spacing w:val="-2"/>
        </w:rPr>
        <w:t>tree-based</w:t>
      </w:r>
      <w:r w:rsidRPr="00EC6FF1">
        <w:rPr>
          <w:rFonts w:ascii="Times New Roman" w:hAnsi="Times New Roman" w:cs="Times New Roman"/>
          <w:spacing w:val="-13"/>
        </w:rPr>
        <w:t xml:space="preserve"> </w:t>
      </w:r>
      <w:r w:rsidRPr="00EC6FF1">
        <w:rPr>
          <w:rFonts w:ascii="Times New Roman" w:hAnsi="Times New Roman" w:cs="Times New Roman"/>
          <w:spacing w:val="-2"/>
        </w:rPr>
        <w:t>algorithms</w:t>
      </w:r>
      <w:r w:rsidRPr="00EC6FF1">
        <w:rPr>
          <w:rFonts w:ascii="Times New Roman" w:hAnsi="Times New Roman" w:cs="Times New Roman"/>
          <w:spacing w:val="-14"/>
        </w:rPr>
        <w:t xml:space="preserve"> </w:t>
      </w:r>
      <w:r w:rsidRPr="00EC6FF1">
        <w:rPr>
          <w:rFonts w:ascii="Times New Roman" w:hAnsi="Times New Roman" w:cs="Times New Roman"/>
          <w:spacing w:val="-2"/>
        </w:rPr>
        <w:t>to</w:t>
      </w:r>
      <w:r w:rsidRPr="00EC6FF1">
        <w:rPr>
          <w:rFonts w:ascii="Times New Roman" w:hAnsi="Times New Roman" w:cs="Times New Roman"/>
          <w:spacing w:val="-13"/>
        </w:rPr>
        <w:t xml:space="preserve"> </w:t>
      </w:r>
      <w:r w:rsidRPr="00EC6FF1">
        <w:rPr>
          <w:rFonts w:ascii="Times New Roman" w:hAnsi="Times New Roman" w:cs="Times New Roman"/>
          <w:spacing w:val="-2"/>
        </w:rPr>
        <w:t>simulate</w:t>
      </w:r>
      <w:r w:rsidRPr="00EC6FF1">
        <w:rPr>
          <w:rFonts w:ascii="Times New Roman" w:hAnsi="Times New Roman" w:cs="Times New Roman"/>
          <w:spacing w:val="-13"/>
        </w:rPr>
        <w:t xml:space="preserve"> </w:t>
      </w:r>
      <w:r w:rsidRPr="00EC6FF1">
        <w:rPr>
          <w:rFonts w:ascii="Times New Roman" w:hAnsi="Times New Roman" w:cs="Times New Roman"/>
          <w:spacing w:val="-2"/>
        </w:rPr>
        <w:t>sovereign</w:t>
      </w:r>
      <w:r w:rsidRPr="00EC6FF1">
        <w:rPr>
          <w:rFonts w:ascii="Times New Roman" w:hAnsi="Times New Roman" w:cs="Times New Roman"/>
          <w:spacing w:val="-13"/>
        </w:rPr>
        <w:t xml:space="preserve"> </w:t>
      </w:r>
      <w:r w:rsidRPr="00EC6FF1">
        <w:rPr>
          <w:rFonts w:ascii="Times New Roman" w:hAnsi="Times New Roman" w:cs="Times New Roman"/>
          <w:spacing w:val="-2"/>
        </w:rPr>
        <w:t>credit</w:t>
      </w:r>
      <w:r w:rsidRPr="00EC6FF1">
        <w:rPr>
          <w:rFonts w:ascii="Times New Roman" w:hAnsi="Times New Roman" w:cs="Times New Roman"/>
          <w:spacing w:val="-14"/>
        </w:rPr>
        <w:t xml:space="preserve"> </w:t>
      </w:r>
      <w:r w:rsidRPr="00EC6FF1">
        <w:rPr>
          <w:rFonts w:ascii="Times New Roman" w:hAnsi="Times New Roman" w:cs="Times New Roman"/>
          <w:spacing w:val="-2"/>
        </w:rPr>
        <w:t>ratings</w:t>
      </w:r>
      <w:r w:rsidRPr="00EC6FF1">
        <w:rPr>
          <w:rStyle w:val="FootnoteReference"/>
          <w:rFonts w:ascii="Times New Roman" w:hAnsi="Times New Roman" w:cs="Times New Roman"/>
          <w:spacing w:val="-2"/>
        </w:rPr>
        <w:footnoteReference w:id="12"/>
      </w:r>
      <w:r w:rsidR="00217C7F" w:rsidRPr="00EC6FF1">
        <w:rPr>
          <w:rFonts w:ascii="Times New Roman" w:hAnsi="Times New Roman" w:cs="Times New Roman"/>
          <w:spacing w:val="-2"/>
        </w:rPr>
        <w:t xml:space="preserve">. </w:t>
      </w:r>
      <w:r w:rsidR="00217C7F" w:rsidRPr="00EC6FF1">
        <w:rPr>
          <w:rFonts w:ascii="Times New Roman" w:hAnsi="Times New Roman" w:cs="Times New Roman"/>
          <w:spacing w:val="-2"/>
          <w:lang w:val="en-US"/>
        </w:rPr>
        <w:t xml:space="preserve">We apply a random forest estimation to the following </w:t>
      </w:r>
      <w:proofErr w:type="gramStart"/>
      <w:r w:rsidR="00217C7F" w:rsidRPr="00EC6FF1">
        <w:rPr>
          <w:rFonts w:ascii="Times New Roman" w:hAnsi="Times New Roman" w:cs="Times New Roman"/>
          <w:spacing w:val="-2"/>
          <w:lang w:val="en-US"/>
        </w:rPr>
        <w:t>model;</w:t>
      </w:r>
      <w:proofErr w:type="gramEnd"/>
    </w:p>
    <w:p w14:paraId="6E5D6E32" w14:textId="69C57BFC" w:rsidR="00A46E13" w:rsidRPr="00EC6FF1" w:rsidRDefault="00522A9C" w:rsidP="00FB7632">
      <w:pPr>
        <w:jc w:val="both"/>
        <w:rPr>
          <w:rFonts w:ascii="Times New Roman" w:eastAsiaTheme="minorEastAsia" w:hAnsi="Times New Roman" w:cs="Times New Roman"/>
          <w:lang w:val="en-US"/>
        </w:rPr>
      </w:pPr>
      <m:oMathPara>
        <m:oMath>
          <m:r>
            <w:rPr>
              <w:rFonts w:ascii="Cambria Math" w:hAnsi="Cambria Math" w:cs="Times New Roman"/>
              <w:lang w:val="en-US"/>
            </w:rPr>
            <m:t>Ratin</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it</m:t>
              </m:r>
            </m:sub>
          </m:sSub>
          <m:r>
            <w:rPr>
              <w:rFonts w:ascii="Cambria Math" w:hAnsi="Cambria Math" w:cs="Times New Roman"/>
              <w:lang w:val="en-US"/>
            </w:rPr>
            <m:t>=GDPp</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it</m:t>
              </m:r>
            </m:sub>
          </m:sSub>
          <m:r>
            <w:rPr>
              <w:rFonts w:ascii="Cambria Math" w:hAnsi="Cambria Math" w:cs="Times New Roman"/>
              <w:lang w:val="en-US"/>
            </w:rPr>
            <m:t>+</m:t>
          </m:r>
          <m:r>
            <m:rPr>
              <m:sty m:val="p"/>
            </m:rPr>
            <w:rPr>
              <w:rFonts w:ascii="Cambria Math" w:hAnsi="Cambria Math" w:cs="Times New Roman"/>
              <w:lang w:val="en-US"/>
            </w:rPr>
            <m:t>Δ</m:t>
          </m:r>
          <m:r>
            <w:rPr>
              <w:rFonts w:ascii="Cambria Math" w:hAnsi="Cambria Math" w:cs="Times New Roman"/>
              <w:lang w:val="en-US"/>
            </w:rPr>
            <m:t>GD</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it</m:t>
              </m:r>
            </m:sub>
          </m:sSub>
          <m:r>
            <w:rPr>
              <w:rFonts w:ascii="Cambria Math" w:hAnsi="Cambria Math" w:cs="Times New Roman"/>
              <w:lang w:val="en-US"/>
            </w:rPr>
            <m:t>+GP</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m:rPr>
                  <m:sty m:val="p"/>
                </m:rPr>
                <w:rPr>
                  <w:rFonts w:ascii="Cambria Math" w:hAnsi="Cambria Math" w:cs="Times New Roman"/>
                  <w:lang w:val="en-US"/>
                </w:rPr>
                <m:t>μ</m:t>
              </m:r>
            </m:e>
            <m:sub>
              <m:r>
                <w:rPr>
                  <w:rFonts w:ascii="Cambria Math" w:hAnsi="Cambria Math" w:cs="Times New Roman"/>
                  <w:lang w:val="en-US"/>
                </w:rPr>
                <m:t>it</m:t>
              </m:r>
            </m:sub>
          </m:sSub>
        </m:oMath>
      </m:oMathPara>
    </w:p>
    <w:p w14:paraId="20FA7520" w14:textId="68F9EA7D" w:rsidR="00522A9C" w:rsidRPr="00EC6FF1" w:rsidRDefault="00522A9C" w:rsidP="00FB7632">
      <w:pPr>
        <w:jc w:val="both"/>
        <w:rPr>
          <w:rFonts w:ascii="Times New Roman" w:eastAsiaTheme="minorEastAsia" w:hAnsi="Times New Roman" w:cs="Times New Roman"/>
          <w:lang w:val="en-US"/>
        </w:rPr>
      </w:pPr>
      <w:r w:rsidRPr="00EC6FF1">
        <w:rPr>
          <w:rFonts w:ascii="Times New Roman" w:eastAsiaTheme="minorEastAsia" w:hAnsi="Times New Roman" w:cs="Times New Roman"/>
          <w:lang w:val="en-US"/>
        </w:rPr>
        <w:t xml:space="preserve">Where, </w:t>
      </w:r>
      <w:r w:rsidR="00FD1660" w:rsidRPr="00EC6FF1">
        <w:rPr>
          <w:rFonts w:ascii="Times New Roman" w:eastAsiaTheme="minorEastAsia" w:hAnsi="Times New Roman" w:cs="Times New Roman"/>
          <w:i/>
          <w:iCs/>
          <w:lang w:val="en-US"/>
        </w:rPr>
        <w:t xml:space="preserve">Rating </w:t>
      </w:r>
      <w:r w:rsidR="00FD1660" w:rsidRPr="00EC6FF1">
        <w:rPr>
          <w:rFonts w:ascii="Times New Roman" w:eastAsiaTheme="minorEastAsia" w:hAnsi="Times New Roman" w:cs="Times New Roman"/>
          <w:lang w:val="en-US"/>
        </w:rPr>
        <w:t xml:space="preserve">is the level of sovereign creditworthiness from 1-20 (20 being the highest attainable credit rating of AAA, on the Standard &amp; Poor’s scale), </w:t>
      </w:r>
      <w:proofErr w:type="spellStart"/>
      <w:r w:rsidR="00FD1660" w:rsidRPr="00EC6FF1">
        <w:rPr>
          <w:rFonts w:ascii="Times New Roman" w:eastAsiaTheme="minorEastAsia" w:hAnsi="Times New Roman" w:cs="Times New Roman"/>
          <w:i/>
          <w:iCs/>
          <w:lang w:val="en-US"/>
        </w:rPr>
        <w:t>GDPpc</w:t>
      </w:r>
      <w:proofErr w:type="spellEnd"/>
      <w:r w:rsidR="00FD1660" w:rsidRPr="00EC6FF1">
        <w:rPr>
          <w:rFonts w:ascii="Times New Roman" w:eastAsiaTheme="minorEastAsia" w:hAnsi="Times New Roman" w:cs="Times New Roman"/>
          <w:lang w:val="en-US"/>
        </w:rPr>
        <w:t xml:space="preserve"> is the level of GDP per capita, </w:t>
      </w:r>
      <w:r w:rsidR="00E04B7C" w:rsidRPr="00EC6FF1">
        <w:rPr>
          <w:rFonts w:ascii="Times New Roman" w:eastAsiaTheme="minorEastAsia" w:hAnsi="Times New Roman" w:cs="Times New Roman"/>
          <w:i/>
          <w:iCs/>
          <w:lang w:val="en-US"/>
        </w:rPr>
        <w:t>∆</w:t>
      </w:r>
      <w:r w:rsidR="00FD1660" w:rsidRPr="00EC6FF1">
        <w:rPr>
          <w:rFonts w:ascii="Times New Roman" w:eastAsiaTheme="minorEastAsia" w:hAnsi="Times New Roman" w:cs="Times New Roman"/>
          <w:i/>
          <w:iCs/>
          <w:lang w:val="en-US"/>
        </w:rPr>
        <w:t>GDP</w:t>
      </w:r>
      <w:r w:rsidR="00FD1660" w:rsidRPr="00EC6FF1">
        <w:rPr>
          <w:rFonts w:ascii="Times New Roman" w:eastAsiaTheme="minorEastAsia" w:hAnsi="Times New Roman" w:cs="Times New Roman"/>
          <w:lang w:val="en-US"/>
        </w:rPr>
        <w:t xml:space="preserve"> is the growth rate and </w:t>
      </w:r>
      <w:r w:rsidR="00FD1660" w:rsidRPr="00EC6FF1">
        <w:rPr>
          <w:rFonts w:ascii="Times New Roman" w:eastAsiaTheme="minorEastAsia" w:hAnsi="Times New Roman" w:cs="Times New Roman"/>
          <w:i/>
          <w:iCs/>
          <w:lang w:val="en-US"/>
        </w:rPr>
        <w:t>GPV</w:t>
      </w:r>
      <w:r w:rsidR="00FD1660" w:rsidRPr="00EC6FF1">
        <w:rPr>
          <w:rFonts w:ascii="Times New Roman" w:eastAsiaTheme="minorEastAsia" w:hAnsi="Times New Roman" w:cs="Times New Roman"/>
          <w:lang w:val="en-US"/>
        </w:rPr>
        <w:t xml:space="preserve"> represents a vector of government performance indicators produced by Standard &amp; Poor’s, these include; narrow net external debt to current account receipts, current account balance to GDP, general government balance to GDP and net general government debt to GDP. </w:t>
      </w:r>
    </w:p>
    <w:p w14:paraId="2DC73476" w14:textId="4F510868" w:rsidR="00E04B7C" w:rsidRPr="00EC6FF1" w:rsidRDefault="00E04B7C" w:rsidP="00FB7632">
      <w:pPr>
        <w:jc w:val="both"/>
        <w:rPr>
          <w:rFonts w:ascii="Times New Roman" w:hAnsi="Times New Roman" w:cs="Times New Roman"/>
          <w:spacing w:val="-2"/>
        </w:rPr>
      </w:pPr>
      <w:r w:rsidRPr="00EC6FF1">
        <w:rPr>
          <w:rFonts w:ascii="Times New Roman" w:eastAsiaTheme="minorEastAsia" w:hAnsi="Times New Roman" w:cs="Times New Roman"/>
          <w:lang w:val="en-US"/>
        </w:rPr>
        <w:t xml:space="preserve">Estimating a </w:t>
      </w:r>
      <w:r w:rsidR="008E52B5" w:rsidRPr="00EC6FF1">
        <w:rPr>
          <w:rFonts w:ascii="Times New Roman" w:eastAsiaTheme="minorEastAsia" w:hAnsi="Times New Roman" w:cs="Times New Roman"/>
          <w:lang w:val="en-US"/>
        </w:rPr>
        <w:t>panel</w:t>
      </w:r>
      <w:r w:rsidRPr="00EC6FF1">
        <w:rPr>
          <w:rFonts w:ascii="Times New Roman" w:eastAsiaTheme="minorEastAsia" w:hAnsi="Times New Roman" w:cs="Times New Roman"/>
          <w:lang w:val="en-US"/>
        </w:rPr>
        <w:t xml:space="preserve"> model enables us to more accurately reflect </w:t>
      </w:r>
      <w:r w:rsidR="0022229A" w:rsidRPr="00EC6FF1">
        <w:rPr>
          <w:rFonts w:ascii="Times New Roman" w:hAnsi="Times New Roman" w:cs="Times New Roman"/>
          <w:w w:val="90"/>
        </w:rPr>
        <w:t xml:space="preserve">reflect out of sample estimates as a </w:t>
      </w:r>
      <w:r w:rsidR="0022229A" w:rsidRPr="00EC6FF1">
        <w:rPr>
          <w:rFonts w:ascii="Times New Roman" w:hAnsi="Times New Roman" w:cs="Times New Roman"/>
          <w:spacing w:val="-6"/>
        </w:rPr>
        <w:t>single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credit</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rating</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is</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not</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necessarily</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achieved</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by</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only</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a</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narrow</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set</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of</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parameters.</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The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random forest</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model</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works</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in</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a</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similar</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way</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to</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a</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single</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decision</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tree.</w:t>
      </w:r>
      <w:r w:rsidR="0022229A" w:rsidRPr="00EC6FF1">
        <w:rPr>
          <w:rFonts w:ascii="Times New Roman" w:hAnsi="Times New Roman" w:cs="Times New Roman"/>
          <w:spacing w:val="-8"/>
        </w:rPr>
        <w:t xml:space="preserve"> </w:t>
      </w:r>
      <w:r w:rsidR="0022229A" w:rsidRPr="00EC6FF1">
        <w:rPr>
          <w:rFonts w:ascii="Times New Roman" w:hAnsi="Times New Roman" w:cs="Times New Roman"/>
          <w:spacing w:val="-6"/>
        </w:rPr>
        <w:t>The</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algorithm</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6"/>
        </w:rPr>
        <w:t>splits</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into</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nodes</w:t>
      </w:r>
      <w:r w:rsidR="0022229A" w:rsidRPr="00EC6FF1">
        <w:rPr>
          <w:rFonts w:ascii="Times New Roman" w:hAnsi="Times New Roman" w:cs="Times New Roman"/>
          <w:spacing w:val="-9"/>
        </w:rPr>
        <w:t xml:space="preserve"> </w:t>
      </w:r>
      <w:r w:rsidR="0022229A" w:rsidRPr="00EC6FF1">
        <w:rPr>
          <w:rFonts w:ascii="Times New Roman" w:hAnsi="Times New Roman" w:cs="Times New Roman"/>
          <w:spacing w:val="-6"/>
        </w:rPr>
        <w:t xml:space="preserve">by </w:t>
      </w:r>
      <w:r w:rsidR="0022229A" w:rsidRPr="00EC6FF1">
        <w:rPr>
          <w:rFonts w:ascii="Times New Roman" w:hAnsi="Times New Roman" w:cs="Times New Roman"/>
          <w:spacing w:val="-8"/>
        </w:rPr>
        <w:t>selecting</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a</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variable</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from</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the</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pool,</w:t>
      </w:r>
      <w:r w:rsidR="0022229A" w:rsidRPr="00EC6FF1">
        <w:rPr>
          <w:rFonts w:ascii="Times New Roman" w:hAnsi="Times New Roman" w:cs="Times New Roman"/>
          <w:spacing w:val="-2"/>
        </w:rPr>
        <w:t xml:space="preserve"> </w:t>
      </w:r>
      <w:r w:rsidR="0022229A" w:rsidRPr="00EC6FF1">
        <w:rPr>
          <w:rFonts w:ascii="Times New Roman" w:hAnsi="Times New Roman" w:cs="Times New Roman"/>
          <w:spacing w:val="-8"/>
        </w:rPr>
        <w:t>and</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at</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a</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value</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which</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gives</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the</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most</w:t>
      </w:r>
      <w:r w:rsidR="0022229A" w:rsidRPr="00EC6FF1">
        <w:rPr>
          <w:rFonts w:ascii="Times New Roman" w:hAnsi="Times New Roman" w:cs="Times New Roman"/>
          <w:spacing w:val="-3"/>
        </w:rPr>
        <w:t xml:space="preserve"> </w:t>
      </w:r>
      <w:r w:rsidR="0022229A" w:rsidRPr="00EC6FF1">
        <w:rPr>
          <w:rFonts w:ascii="Times New Roman" w:hAnsi="Times New Roman" w:cs="Times New Roman"/>
          <w:spacing w:val="-8"/>
        </w:rPr>
        <w:t>efficient</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split</w:t>
      </w:r>
      <w:r w:rsidR="0022229A" w:rsidRPr="00EC6FF1">
        <w:rPr>
          <w:rFonts w:ascii="Times New Roman" w:hAnsi="Times New Roman" w:cs="Times New Roman"/>
          <w:spacing w:val="-3"/>
        </w:rPr>
        <w:t xml:space="preserve"> </w:t>
      </w:r>
      <w:r w:rsidR="0022229A" w:rsidRPr="00EC6FF1">
        <w:rPr>
          <w:rFonts w:ascii="Times New Roman" w:hAnsi="Times New Roman" w:cs="Times New Roman"/>
          <w:spacing w:val="-8"/>
        </w:rPr>
        <w:t>of</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the</w:t>
      </w:r>
      <w:r w:rsidR="0022229A" w:rsidRPr="00EC6FF1">
        <w:rPr>
          <w:rFonts w:ascii="Times New Roman" w:hAnsi="Times New Roman" w:cs="Times New Roman"/>
          <w:spacing w:val="-4"/>
        </w:rPr>
        <w:t xml:space="preserve"> </w:t>
      </w:r>
      <w:r w:rsidR="0022229A" w:rsidRPr="00EC6FF1">
        <w:rPr>
          <w:rFonts w:ascii="Times New Roman" w:hAnsi="Times New Roman" w:cs="Times New Roman"/>
          <w:spacing w:val="-8"/>
        </w:rPr>
        <w:t xml:space="preserve">data. </w:t>
      </w:r>
      <w:r w:rsidR="0022229A" w:rsidRPr="00EC6FF1">
        <w:rPr>
          <w:rFonts w:ascii="Times New Roman" w:hAnsi="Times New Roman" w:cs="Times New Roman"/>
          <w:spacing w:val="-2"/>
        </w:rPr>
        <w:t>Our</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specification</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splits</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on</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residual</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mean</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squared</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error.</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This</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is</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expanded</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in</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a</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random</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forest setting</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to</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2,000</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decision</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trees.</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However,</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to</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avoid</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overfitting,</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the</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algorithm</w:t>
      </w:r>
      <w:r w:rsidR="0022229A" w:rsidRPr="00EC6FF1">
        <w:rPr>
          <w:rFonts w:ascii="Times New Roman" w:hAnsi="Times New Roman" w:cs="Times New Roman"/>
          <w:spacing w:val="-14"/>
        </w:rPr>
        <w:t xml:space="preserve"> </w:t>
      </w:r>
      <w:r w:rsidR="0022229A" w:rsidRPr="00EC6FF1">
        <w:rPr>
          <w:rFonts w:ascii="Times New Roman" w:hAnsi="Times New Roman" w:cs="Times New Roman"/>
          <w:spacing w:val="-2"/>
        </w:rPr>
        <w:t>selects</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a</w:t>
      </w:r>
      <w:r w:rsidR="0022229A" w:rsidRPr="00EC6FF1">
        <w:rPr>
          <w:rFonts w:ascii="Times New Roman" w:hAnsi="Times New Roman" w:cs="Times New Roman"/>
          <w:spacing w:val="-13"/>
        </w:rPr>
        <w:t xml:space="preserve"> </w:t>
      </w:r>
      <w:r w:rsidR="0022229A" w:rsidRPr="00EC6FF1">
        <w:rPr>
          <w:rFonts w:ascii="Times New Roman" w:hAnsi="Times New Roman" w:cs="Times New Roman"/>
          <w:spacing w:val="-2"/>
        </w:rPr>
        <w:t>random subsample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of</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the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training</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data</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and</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available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variables</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for</w:t>
      </w:r>
      <w:r w:rsidR="0022229A" w:rsidRPr="00EC6FF1">
        <w:rPr>
          <w:rFonts w:ascii="Times New Roman" w:hAnsi="Times New Roman" w:cs="Times New Roman"/>
          <w:spacing w:val="-11"/>
        </w:rPr>
        <w:t xml:space="preserve"> </w:t>
      </w:r>
      <w:r w:rsidR="0022229A" w:rsidRPr="00EC6FF1">
        <w:rPr>
          <w:rFonts w:ascii="Times New Roman" w:hAnsi="Times New Roman" w:cs="Times New Roman"/>
          <w:spacing w:val="-2"/>
        </w:rPr>
        <w:t>each</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tree</w:t>
      </w:r>
      <w:r w:rsidR="0022229A" w:rsidRPr="00EC6FF1">
        <w:rPr>
          <w:rFonts w:ascii="Times New Roman" w:hAnsi="Times New Roman" w:cs="Times New Roman"/>
          <w:spacing w:val="-11"/>
        </w:rPr>
        <w:t xml:space="preserve"> </w:t>
      </w:r>
      <w:r w:rsidR="0022229A" w:rsidRPr="00EC6FF1">
        <w:rPr>
          <w:rFonts w:ascii="Times New Roman" w:hAnsi="Times New Roman" w:cs="Times New Roman"/>
          <w:spacing w:val="-2"/>
        </w:rPr>
        <w:t>to</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estimate.</w:t>
      </w:r>
      <w:r w:rsidR="0022229A" w:rsidRPr="00EC6FF1">
        <w:rPr>
          <w:rFonts w:ascii="Times New Roman" w:hAnsi="Times New Roman" w:cs="Times New Roman"/>
          <w:spacing w:val="25"/>
        </w:rPr>
        <w:t xml:space="preserve"> </w:t>
      </w:r>
      <w:r w:rsidR="0022229A" w:rsidRPr="00EC6FF1">
        <w:rPr>
          <w:rFonts w:ascii="Times New Roman" w:hAnsi="Times New Roman" w:cs="Times New Roman"/>
          <w:spacing w:val="-2"/>
        </w:rPr>
        <w:t>There</w:t>
      </w:r>
      <w:r w:rsidR="0022229A" w:rsidRPr="00EC6FF1">
        <w:rPr>
          <w:rFonts w:ascii="Times New Roman" w:hAnsi="Times New Roman" w:cs="Times New Roman"/>
          <w:spacing w:val="-10"/>
        </w:rPr>
        <w:t xml:space="preserve"> </w:t>
      </w:r>
      <w:r w:rsidR="0022229A" w:rsidRPr="00EC6FF1">
        <w:rPr>
          <w:rFonts w:ascii="Times New Roman" w:hAnsi="Times New Roman" w:cs="Times New Roman"/>
          <w:spacing w:val="-2"/>
        </w:rPr>
        <w:t xml:space="preserve">has </w:t>
      </w:r>
      <w:r w:rsidR="0022229A" w:rsidRPr="00EC6FF1">
        <w:rPr>
          <w:rFonts w:ascii="Times New Roman" w:hAnsi="Times New Roman" w:cs="Times New Roman"/>
          <w:spacing w:val="-6"/>
        </w:rPr>
        <w:t>been</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6"/>
        </w:rPr>
        <w:t>a growth in the</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6"/>
        </w:rPr>
        <w:t>use of machine</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6"/>
        </w:rPr>
        <w:t>learning techniques</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6"/>
        </w:rPr>
        <w:t xml:space="preserve">in energy economics </w:t>
      </w:r>
      <w:hyperlink w:anchor="_bookmark30" w:history="1">
        <w:r w:rsidR="0022229A" w:rsidRPr="00EC6FF1">
          <w:rPr>
            <w:rFonts w:ascii="Times New Roman" w:hAnsi="Times New Roman" w:cs="Times New Roman"/>
            <w:spacing w:val="-6"/>
          </w:rPr>
          <w:t>(</w:t>
        </w:r>
        <w:proofErr w:type="spellStart"/>
        <w:r w:rsidR="0022229A" w:rsidRPr="00EC6FF1">
          <w:rPr>
            <w:rFonts w:ascii="Times New Roman" w:hAnsi="Times New Roman" w:cs="Times New Roman"/>
            <w:spacing w:val="-6"/>
          </w:rPr>
          <w:t>Ghoddusi</w:t>
        </w:r>
        <w:proofErr w:type="spellEnd"/>
        <w:r w:rsidR="0022229A" w:rsidRPr="00EC6FF1">
          <w:rPr>
            <w:rFonts w:ascii="Times New Roman" w:hAnsi="Times New Roman" w:cs="Times New Roman"/>
            <w:spacing w:val="-6"/>
          </w:rPr>
          <w:t xml:space="preserve"> et al.,</w:t>
        </w:r>
      </w:hyperlink>
      <w:r w:rsidR="0022229A" w:rsidRPr="00EC6FF1">
        <w:rPr>
          <w:rFonts w:ascii="Times New Roman" w:hAnsi="Times New Roman" w:cs="Times New Roman"/>
          <w:spacing w:val="-6"/>
        </w:rPr>
        <w:t xml:space="preserve"> </w:t>
      </w:r>
      <w:hyperlink w:anchor="_bookmark30" w:history="1">
        <w:r w:rsidR="0022229A" w:rsidRPr="00EC6FF1">
          <w:rPr>
            <w:rFonts w:ascii="Times New Roman" w:hAnsi="Times New Roman" w:cs="Times New Roman"/>
            <w:spacing w:val="-2"/>
          </w:rPr>
          <w:t>2019),</w:t>
        </w:r>
      </w:hyperlink>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and</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in</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economics</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more</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widely</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(A</w:t>
      </w:r>
      <w:hyperlink w:anchor="_bookmark20" w:history="1">
        <w:r w:rsidR="0022229A" w:rsidRPr="00EC6FF1">
          <w:rPr>
            <w:rFonts w:ascii="Times New Roman" w:hAnsi="Times New Roman" w:cs="Times New Roman"/>
            <w:spacing w:val="-2"/>
          </w:rPr>
          <w:t>they</w:t>
        </w:r>
        <w:r w:rsidR="0022229A" w:rsidRPr="00EC6FF1">
          <w:rPr>
            <w:rFonts w:ascii="Times New Roman" w:hAnsi="Times New Roman" w:cs="Times New Roman"/>
            <w:spacing w:val="-7"/>
          </w:rPr>
          <w:t xml:space="preserve"> </w:t>
        </w:r>
        <w:r w:rsidR="0022229A" w:rsidRPr="00EC6FF1">
          <w:rPr>
            <w:rFonts w:ascii="Times New Roman" w:hAnsi="Times New Roman" w:cs="Times New Roman"/>
            <w:spacing w:val="-2"/>
          </w:rPr>
          <w:t>and</w:t>
        </w:r>
        <w:r w:rsidR="0022229A" w:rsidRPr="00EC6FF1">
          <w:rPr>
            <w:rFonts w:ascii="Times New Roman" w:hAnsi="Times New Roman" w:cs="Times New Roman"/>
            <w:spacing w:val="-7"/>
          </w:rPr>
          <w:t xml:space="preserve"> </w:t>
        </w:r>
        <w:proofErr w:type="spellStart"/>
        <w:r w:rsidR="0022229A" w:rsidRPr="00EC6FF1">
          <w:rPr>
            <w:rFonts w:ascii="Times New Roman" w:hAnsi="Times New Roman" w:cs="Times New Roman"/>
            <w:spacing w:val="-2"/>
          </w:rPr>
          <w:t>Imbens</w:t>
        </w:r>
        <w:proofErr w:type="spellEnd"/>
        <w:r w:rsidR="0022229A" w:rsidRPr="00EC6FF1">
          <w:rPr>
            <w:rFonts w:ascii="Times New Roman" w:hAnsi="Times New Roman" w:cs="Times New Roman"/>
            <w:spacing w:val="-2"/>
          </w:rPr>
          <w:t>,</w:t>
        </w:r>
      </w:hyperlink>
      <w:r w:rsidR="0022229A" w:rsidRPr="00EC6FF1">
        <w:rPr>
          <w:rFonts w:ascii="Times New Roman" w:hAnsi="Times New Roman" w:cs="Times New Roman"/>
          <w:spacing w:val="-7"/>
        </w:rPr>
        <w:t xml:space="preserve"> </w:t>
      </w:r>
      <w:hyperlink w:anchor="_bookmark20" w:history="1">
        <w:r w:rsidR="0022229A" w:rsidRPr="00EC6FF1">
          <w:rPr>
            <w:rFonts w:ascii="Times New Roman" w:hAnsi="Times New Roman" w:cs="Times New Roman"/>
            <w:spacing w:val="-2"/>
          </w:rPr>
          <w:t>2019).</w:t>
        </w:r>
      </w:hyperlink>
      <w:r w:rsidR="00BB6E46">
        <w:rPr>
          <w:rFonts w:ascii="Times New Roman" w:hAnsi="Times New Roman" w:cs="Times New Roman"/>
          <w:spacing w:val="-2"/>
        </w:rPr>
        <w:t xml:space="preserve"> We leverage these methods to provide accurate, out-of-sample estimates for sovereign creditworthiness.</w:t>
      </w:r>
    </w:p>
    <w:p w14:paraId="364B3AF5" w14:textId="1DB6F659" w:rsidR="006F363C" w:rsidRPr="00EC6FF1" w:rsidRDefault="006F363C" w:rsidP="006F363C">
      <w:pPr>
        <w:jc w:val="both"/>
        <w:rPr>
          <w:rFonts w:ascii="Times New Roman" w:hAnsi="Times New Roman" w:cs="Times New Roman"/>
          <w:lang w:val="en-US"/>
        </w:rPr>
      </w:pPr>
      <w:r w:rsidRPr="00EC6FF1">
        <w:rPr>
          <w:rFonts w:ascii="Times New Roman" w:hAnsi="Times New Roman" w:cs="Times New Roman"/>
          <w:lang w:val="en-US"/>
        </w:rPr>
        <w:t xml:space="preserve">Once we have a fitted model for estimating sovereign credit </w:t>
      </w:r>
      <w:proofErr w:type="gramStart"/>
      <w:r w:rsidRPr="00EC6FF1">
        <w:rPr>
          <w:rFonts w:ascii="Times New Roman" w:hAnsi="Times New Roman" w:cs="Times New Roman"/>
          <w:lang w:val="en-US"/>
        </w:rPr>
        <w:t>ratings</w:t>
      </w:r>
      <w:proofErr w:type="gramEnd"/>
      <w:r w:rsidRPr="00EC6FF1">
        <w:rPr>
          <w:rFonts w:ascii="Times New Roman" w:hAnsi="Times New Roman" w:cs="Times New Roman"/>
          <w:lang w:val="en-US"/>
        </w:rPr>
        <w:t xml:space="preserve"> we are able to evaluate it. We perform a standard machine learning process to do this. We fit the model </w:t>
      </w:r>
      <w:proofErr w:type="gramStart"/>
      <w:r w:rsidR="00161E02">
        <w:rPr>
          <w:rFonts w:ascii="Times New Roman" w:hAnsi="Times New Roman" w:cs="Times New Roman"/>
          <w:lang w:val="en-US"/>
        </w:rPr>
        <w:t>to</w:t>
      </w:r>
      <w:proofErr w:type="gramEnd"/>
      <w:r w:rsidRPr="00EC6FF1">
        <w:rPr>
          <w:rFonts w:ascii="Times New Roman" w:hAnsi="Times New Roman" w:cs="Times New Roman"/>
          <w:lang w:val="en-US"/>
        </w:rPr>
        <w:t xml:space="preserve"> 70% of our historical data. We then estimate the model, out of sample, on the remaining 30% of our data. In this exercise we correctly estimate the actual sovereign credit rating, within 2 notches, 90% of the time. </w:t>
      </w:r>
      <w:r w:rsidRPr="00DB7926">
        <w:rPr>
          <w:rFonts w:ascii="Times New Roman" w:hAnsi="Times New Roman" w:cs="Times New Roman"/>
          <w:lang w:val="en-US"/>
        </w:rPr>
        <w:t xml:space="preserve">This score increases to 97% within 3 notches. Figure 1 below reveals how accurate we are for each country in the sample. The </w:t>
      </w:r>
      <w:r w:rsidR="00AE27C5">
        <w:rPr>
          <w:rFonts w:ascii="Times New Roman" w:hAnsi="Times New Roman" w:cs="Times New Roman"/>
          <w:lang w:val="en-US"/>
        </w:rPr>
        <w:t>orange</w:t>
      </w:r>
      <w:r w:rsidRPr="00DB7926">
        <w:rPr>
          <w:rFonts w:ascii="Times New Roman" w:hAnsi="Times New Roman" w:cs="Times New Roman"/>
          <w:lang w:val="en-US"/>
        </w:rPr>
        <w:t xml:space="preserve"> dot represents the country’s average sovereign credit rating over the sample period. The blue dot represents our model’s estimate, coupled with its error bound.</w:t>
      </w:r>
    </w:p>
    <w:p w14:paraId="34E665D2" w14:textId="3322C738" w:rsidR="001407AC" w:rsidRPr="00EC6FF1" w:rsidRDefault="001407AC" w:rsidP="001407AC">
      <w:pPr>
        <w:jc w:val="both"/>
        <w:rPr>
          <w:rFonts w:ascii="Times New Roman" w:hAnsi="Times New Roman" w:cs="Times New Roman"/>
          <w:lang w:val="en-US"/>
        </w:rPr>
      </w:pPr>
      <w:r w:rsidRPr="00EC6FF1">
        <w:rPr>
          <w:rFonts w:ascii="Times New Roman" w:hAnsi="Times New Roman" w:cs="Times New Roman"/>
          <w:lang w:val="en-US"/>
        </w:rPr>
        <w:t xml:space="preserve">The next step in the analysis is to estimate sovereign credit ratings out of sample on data which reflects the macroeconomic environment projected by the IAMs. GDP per capita and the growth rate are given directly by the outputs from </w:t>
      </w:r>
      <w:proofErr w:type="spellStart"/>
      <w:r w:rsidRPr="00EC6FF1">
        <w:rPr>
          <w:rFonts w:ascii="Times New Roman" w:hAnsi="Times New Roman" w:cs="Times New Roman"/>
          <w:lang w:val="en-US"/>
        </w:rPr>
        <w:t>NiGEM</w:t>
      </w:r>
      <w:proofErr w:type="spellEnd"/>
      <w:r w:rsidRPr="00EC6FF1">
        <w:rPr>
          <w:rFonts w:ascii="Times New Roman" w:hAnsi="Times New Roman" w:cs="Times New Roman"/>
          <w:lang w:val="en-US"/>
        </w:rPr>
        <w:t xml:space="preserve">. </w:t>
      </w:r>
      <w:r w:rsidR="001361DD" w:rsidRPr="00EC6FF1">
        <w:rPr>
          <w:rFonts w:ascii="Times New Roman" w:hAnsi="Times New Roman" w:cs="Times New Roman"/>
          <w:lang w:val="en-US"/>
        </w:rPr>
        <w:t>To</w:t>
      </w:r>
      <w:r w:rsidRPr="00EC6FF1">
        <w:rPr>
          <w:rFonts w:ascii="Times New Roman" w:hAnsi="Times New Roman" w:cs="Times New Roman"/>
          <w:lang w:val="en-US"/>
        </w:rPr>
        <w:t xml:space="preserve"> identify reasonable values for the remaining four government performance variables we rely on data from S&amp;P, which shows how these values are expected to change under shocks to GDP based on historical data from countries exposed to various acute climate-related shocks. We estimate a 3rd order polynomial to </w:t>
      </w:r>
      <w:r w:rsidR="001361DD" w:rsidRPr="00EC6FF1">
        <w:rPr>
          <w:rFonts w:ascii="Times New Roman" w:hAnsi="Times New Roman" w:cs="Times New Roman"/>
          <w:lang w:val="en-US"/>
        </w:rPr>
        <w:t>bivariate</w:t>
      </w:r>
      <w:r w:rsidRPr="00EC6FF1">
        <w:rPr>
          <w:rFonts w:ascii="Times New Roman" w:hAnsi="Times New Roman" w:cs="Times New Roman"/>
          <w:lang w:val="en-US"/>
        </w:rPr>
        <w:t xml:space="preserve"> relationships and interpolate estimates to populate our input data. Given a complete dataset which reflects a projected macroeconomic environment, we estimate our sovereign credit ratings out of sample.</w:t>
      </w:r>
    </w:p>
    <w:p w14:paraId="2D337A8C" w14:textId="53FD4F08" w:rsidR="00765B8F" w:rsidRDefault="00765B8F" w:rsidP="00765B8F">
      <w:pPr>
        <w:jc w:val="both"/>
        <w:rPr>
          <w:rFonts w:ascii="Times New Roman" w:hAnsi="Times New Roman" w:cs="Times New Roman"/>
          <w:lang w:val="en-US"/>
        </w:rPr>
      </w:pPr>
      <w:r w:rsidRPr="00EC6FF1">
        <w:rPr>
          <w:rFonts w:ascii="Times New Roman" w:hAnsi="Times New Roman" w:cs="Times New Roman"/>
          <w:lang w:val="en-US"/>
        </w:rPr>
        <w:t xml:space="preserve">With simulated sovereign credit </w:t>
      </w:r>
      <w:proofErr w:type="gramStart"/>
      <w:r w:rsidRPr="00EC6FF1">
        <w:rPr>
          <w:rFonts w:ascii="Times New Roman" w:hAnsi="Times New Roman" w:cs="Times New Roman"/>
          <w:lang w:val="en-US"/>
        </w:rPr>
        <w:t>ratings</w:t>
      </w:r>
      <w:proofErr w:type="gramEnd"/>
      <w:r w:rsidRPr="00EC6FF1">
        <w:rPr>
          <w:rFonts w:ascii="Times New Roman" w:hAnsi="Times New Roman" w:cs="Times New Roman"/>
          <w:lang w:val="en-US"/>
        </w:rPr>
        <w:t xml:space="preserve"> we can rely on data from S&amp;P and FRED to estimate the relationships between the rating categories, default probabilities and cost of debt premiums respectively. This provides </w:t>
      </w:r>
      <w:r w:rsidR="00844FAE">
        <w:rPr>
          <w:rFonts w:ascii="Times New Roman" w:hAnsi="Times New Roman" w:cs="Times New Roman"/>
          <w:lang w:val="en-US"/>
        </w:rPr>
        <w:t xml:space="preserve">a more detailed economic and financial interpretation for the credit </w:t>
      </w:r>
      <w:r w:rsidR="00844FAE">
        <w:rPr>
          <w:rFonts w:ascii="Times New Roman" w:hAnsi="Times New Roman" w:cs="Times New Roman"/>
          <w:lang w:val="en-US"/>
        </w:rPr>
        <w:lastRenderedPageBreak/>
        <w:t>rating</w:t>
      </w:r>
      <w:r w:rsidR="00844FAE" w:rsidRPr="00EC6FF1">
        <w:rPr>
          <w:rFonts w:ascii="Times New Roman" w:hAnsi="Times New Roman" w:cs="Times New Roman"/>
          <w:lang w:val="en-US"/>
        </w:rPr>
        <w:t xml:space="preserve"> and</w:t>
      </w:r>
      <w:r w:rsidRPr="00EC6FF1">
        <w:rPr>
          <w:rFonts w:ascii="Times New Roman" w:hAnsi="Times New Roman" w:cs="Times New Roman"/>
          <w:lang w:val="en-US"/>
        </w:rPr>
        <w:t xml:space="preserve"> reveals how small changes in a low-rated country </w:t>
      </w:r>
      <w:r w:rsidR="00844FAE" w:rsidRPr="00EC6FF1">
        <w:rPr>
          <w:rFonts w:ascii="Times New Roman" w:hAnsi="Times New Roman" w:cs="Times New Roman"/>
          <w:lang w:val="en-US"/>
        </w:rPr>
        <w:t>have</w:t>
      </w:r>
      <w:r w:rsidRPr="00EC6FF1">
        <w:rPr>
          <w:rFonts w:ascii="Times New Roman" w:hAnsi="Times New Roman" w:cs="Times New Roman"/>
          <w:lang w:val="en-US"/>
        </w:rPr>
        <w:t xml:space="preserve"> a much bigger impact on cost of debt and default probability, than a similar sized change in the rating of </w:t>
      </w:r>
      <w:proofErr w:type="gramStart"/>
      <w:r w:rsidRPr="00EC6FF1">
        <w:rPr>
          <w:rFonts w:ascii="Times New Roman" w:hAnsi="Times New Roman" w:cs="Times New Roman"/>
          <w:lang w:val="en-US"/>
        </w:rPr>
        <w:t>highly-rated</w:t>
      </w:r>
      <w:proofErr w:type="gramEnd"/>
      <w:r w:rsidRPr="00EC6FF1">
        <w:rPr>
          <w:rFonts w:ascii="Times New Roman" w:hAnsi="Times New Roman" w:cs="Times New Roman"/>
          <w:lang w:val="en-US"/>
        </w:rPr>
        <w:t xml:space="preserve"> sovereigns. See Figure 2 for a graph of </w:t>
      </w:r>
      <w:r w:rsidR="006172E0">
        <w:rPr>
          <w:rFonts w:ascii="Times New Roman" w:hAnsi="Times New Roman" w:cs="Times New Roman"/>
          <w:lang w:val="en-US"/>
        </w:rPr>
        <w:t>the relationship between credit ratings and probability of default</w:t>
      </w:r>
      <w:r w:rsidRPr="00EC6FF1">
        <w:rPr>
          <w:rFonts w:ascii="Times New Roman" w:hAnsi="Times New Roman" w:cs="Times New Roman"/>
          <w:lang w:val="en-US"/>
        </w:rPr>
        <w:t>.</w:t>
      </w:r>
    </w:p>
    <w:p w14:paraId="71ACF0CC" w14:textId="7DA22C41" w:rsidR="00B17B14" w:rsidRPr="00B17B14" w:rsidRDefault="00B17B14" w:rsidP="00B17B14">
      <w:pPr>
        <w:pStyle w:val="ListParagraph"/>
        <w:numPr>
          <w:ilvl w:val="1"/>
          <w:numId w:val="1"/>
        </w:numPr>
        <w:jc w:val="both"/>
        <w:rPr>
          <w:rFonts w:ascii="Times New Roman" w:hAnsi="Times New Roman" w:cs="Times New Roman"/>
          <w:b/>
          <w:bCs/>
          <w:lang w:val="en-US"/>
        </w:rPr>
      </w:pPr>
      <w:r w:rsidRPr="00B17B14">
        <w:rPr>
          <w:rFonts w:ascii="Times New Roman" w:hAnsi="Times New Roman" w:cs="Times New Roman"/>
          <w:b/>
          <w:bCs/>
          <w:lang w:val="en-US"/>
        </w:rPr>
        <w:t>NGFS Scenarios</w:t>
      </w:r>
    </w:p>
    <w:p w14:paraId="6DCF60BC" w14:textId="6ADA58B6" w:rsidR="00250325" w:rsidRPr="00EC6FF1" w:rsidRDefault="007D2ACA" w:rsidP="00FB7632">
      <w:pPr>
        <w:jc w:val="both"/>
        <w:rPr>
          <w:rFonts w:ascii="Times New Roman" w:hAnsi="Times New Roman" w:cs="Times New Roman"/>
          <w:lang w:val="en-US"/>
        </w:rPr>
      </w:pPr>
      <w:r w:rsidRPr="00EC6FF1">
        <w:rPr>
          <w:rFonts w:ascii="Times New Roman" w:hAnsi="Times New Roman" w:cs="Times New Roman"/>
          <w:lang w:val="en-US"/>
        </w:rPr>
        <w:t xml:space="preserve">Table </w:t>
      </w:r>
      <w:r w:rsidRPr="00240D1E">
        <w:rPr>
          <w:rFonts w:ascii="Times New Roman" w:hAnsi="Times New Roman" w:cs="Times New Roman"/>
          <w:lang w:val="en-US"/>
        </w:rPr>
        <w:t>2</w:t>
      </w:r>
      <w:r w:rsidRPr="00EC6FF1">
        <w:rPr>
          <w:rFonts w:ascii="Times New Roman" w:hAnsi="Times New Roman" w:cs="Times New Roman"/>
          <w:lang w:val="en-US"/>
        </w:rPr>
        <w:t xml:space="preserve"> shows a brief outline of the NGFS scenario categories, pathways, make up of physical vs. transition risk, a brief description and the average 2050 GDP loss. Net Zero 2050 assumes the immediate introduction of ambitious climate policy and a significant role for carbon dioxide removal technology. The Below 2°C scenario is less strict, but still assumes a dual role of climate policy and some deployment </w:t>
      </w:r>
      <w:proofErr w:type="gramStart"/>
      <w:r w:rsidRPr="00EC6FF1">
        <w:rPr>
          <w:rFonts w:ascii="Times New Roman" w:hAnsi="Times New Roman" w:cs="Times New Roman"/>
          <w:lang w:val="en-US"/>
        </w:rPr>
        <w:t>for</w:t>
      </w:r>
      <w:proofErr w:type="gramEnd"/>
      <w:r w:rsidRPr="00EC6FF1">
        <w:rPr>
          <w:rFonts w:ascii="Times New Roman" w:hAnsi="Times New Roman" w:cs="Times New Roman"/>
          <w:lang w:val="en-US"/>
        </w:rPr>
        <w:t xml:space="preserve"> carbon dioxide removal technology. Delayed transition is </w:t>
      </w:r>
      <w:proofErr w:type="spellStart"/>
      <w:r w:rsidRPr="00EC6FF1">
        <w:rPr>
          <w:rFonts w:ascii="Times New Roman" w:hAnsi="Times New Roman" w:cs="Times New Roman"/>
          <w:lang w:val="en-US"/>
        </w:rPr>
        <w:t>characterised</w:t>
      </w:r>
      <w:proofErr w:type="spellEnd"/>
      <w:r w:rsidRPr="00EC6FF1">
        <w:rPr>
          <w:rFonts w:ascii="Times New Roman" w:hAnsi="Times New Roman" w:cs="Times New Roman"/>
          <w:lang w:val="en-US"/>
        </w:rPr>
        <w:t xml:space="preserve"> by slower introduction of climate policies (2030), limited use of carbon removal and subsequent higher carbon prices. There is also higher variation in policies across countries. Nationally Determined Contributions (NDCs) have </w:t>
      </w:r>
      <w:proofErr w:type="gramStart"/>
      <w:r w:rsidRPr="00EC6FF1">
        <w:rPr>
          <w:rFonts w:ascii="Times New Roman" w:hAnsi="Times New Roman" w:cs="Times New Roman"/>
          <w:lang w:val="en-US"/>
        </w:rPr>
        <w:t>a modest policy</w:t>
      </w:r>
      <w:proofErr w:type="gramEnd"/>
      <w:r w:rsidRPr="00EC6FF1">
        <w:rPr>
          <w:rFonts w:ascii="Times New Roman" w:hAnsi="Times New Roman" w:cs="Times New Roman"/>
          <w:lang w:val="en-US"/>
        </w:rPr>
        <w:t xml:space="preserve"> ambition, and the losses in this scenario are primarily driven by physical risks. Fragmented World assumes delayed and divergent climate policy globally. Some countries are exposed to more transition risks than </w:t>
      </w:r>
      <w:proofErr w:type="gramStart"/>
      <w:r w:rsidRPr="00EC6FF1">
        <w:rPr>
          <w:rFonts w:ascii="Times New Roman" w:hAnsi="Times New Roman" w:cs="Times New Roman"/>
          <w:lang w:val="en-US"/>
        </w:rPr>
        <w:t>others,</w:t>
      </w:r>
      <w:proofErr w:type="gramEnd"/>
      <w:r w:rsidRPr="00EC6FF1">
        <w:rPr>
          <w:rFonts w:ascii="Times New Roman" w:hAnsi="Times New Roman" w:cs="Times New Roman"/>
          <w:lang w:val="en-US"/>
        </w:rPr>
        <w:t xml:space="preserve"> everyone faces high physical risks.</w:t>
      </w:r>
      <w:r w:rsidR="00100065">
        <w:rPr>
          <w:rFonts w:ascii="Times New Roman" w:hAnsi="Times New Roman" w:cs="Times New Roman"/>
          <w:lang w:val="en-US"/>
        </w:rPr>
        <w:t xml:space="preserve"> The results of country-level GDP losses are also presented in Figure </w:t>
      </w:r>
      <w:r w:rsidR="006172E0">
        <w:rPr>
          <w:rFonts w:ascii="Times New Roman" w:hAnsi="Times New Roman" w:cs="Times New Roman"/>
          <w:lang w:val="en-US"/>
        </w:rPr>
        <w:t>3</w:t>
      </w:r>
      <w:r w:rsidR="00100065">
        <w:rPr>
          <w:rFonts w:ascii="Times New Roman" w:hAnsi="Times New Roman" w:cs="Times New Roman"/>
          <w:lang w:val="en-US"/>
        </w:rPr>
        <w:t xml:space="preserve">. These are the downscaled estimates produced for each IAM from the </w:t>
      </w:r>
      <w:proofErr w:type="spellStart"/>
      <w:r w:rsidR="00100065">
        <w:rPr>
          <w:rFonts w:ascii="Times New Roman" w:hAnsi="Times New Roman" w:cs="Times New Roman"/>
          <w:lang w:val="en-US"/>
        </w:rPr>
        <w:t>NiGEM</w:t>
      </w:r>
      <w:proofErr w:type="spellEnd"/>
      <w:r w:rsidR="00100065">
        <w:rPr>
          <w:rFonts w:ascii="Times New Roman" w:hAnsi="Times New Roman" w:cs="Times New Roman"/>
          <w:lang w:val="en-US"/>
        </w:rPr>
        <w:t xml:space="preserve"> macroeconomic model.</w:t>
      </w:r>
    </w:p>
    <w:p w14:paraId="011268D2" w14:textId="386F3090" w:rsidR="00BE150D" w:rsidRPr="00B17B14" w:rsidRDefault="00BE150D" w:rsidP="00B17B14">
      <w:pPr>
        <w:pStyle w:val="ListParagraph"/>
        <w:numPr>
          <w:ilvl w:val="0"/>
          <w:numId w:val="1"/>
        </w:numPr>
        <w:jc w:val="both"/>
        <w:rPr>
          <w:rFonts w:ascii="Times New Roman" w:hAnsi="Times New Roman" w:cs="Times New Roman"/>
          <w:b/>
          <w:bCs/>
          <w:lang w:val="en-US"/>
        </w:rPr>
      </w:pPr>
      <w:r w:rsidRPr="00B17B14">
        <w:rPr>
          <w:rFonts w:ascii="Times New Roman" w:hAnsi="Times New Roman" w:cs="Times New Roman"/>
          <w:b/>
          <w:bCs/>
          <w:lang w:val="en-US"/>
        </w:rPr>
        <w:t>Results</w:t>
      </w:r>
    </w:p>
    <w:p w14:paraId="20D137F8" w14:textId="04A1F66E" w:rsidR="007919B3" w:rsidRPr="00EC6FF1" w:rsidRDefault="4CD721C4" w:rsidP="007919B3">
      <w:pPr>
        <w:jc w:val="both"/>
        <w:rPr>
          <w:rFonts w:ascii="Times New Roman" w:hAnsi="Times New Roman" w:cs="Times New Roman"/>
          <w:lang w:val="en-US"/>
        </w:rPr>
      </w:pPr>
      <w:r w:rsidRPr="4CD721C4">
        <w:rPr>
          <w:rFonts w:ascii="Times New Roman" w:hAnsi="Times New Roman" w:cs="Times New Roman"/>
          <w:lang w:val="en-US"/>
        </w:rPr>
        <w:t>In this section we present the results of our random forest simulations. Figure 3 shows the average sovereign credit rating downgrades by scenario in 2050. A natural grouping of the scenarios emerges. A Fragmented World scenario poses the most significant threat to sovereign creditworthiness. Disorderly transition scenarios follow closely (Delayed Transition and NDCs</w:t>
      </w:r>
      <w:proofErr w:type="gramStart"/>
      <w:r w:rsidRPr="4CD721C4">
        <w:rPr>
          <w:rFonts w:ascii="Times New Roman" w:hAnsi="Times New Roman" w:cs="Times New Roman"/>
          <w:lang w:val="en-US"/>
        </w:rPr>
        <w:t>)</w:t>
      </w:r>
      <w:proofErr w:type="gramEnd"/>
      <w:r w:rsidRPr="4CD721C4">
        <w:rPr>
          <w:rFonts w:ascii="Times New Roman" w:hAnsi="Times New Roman" w:cs="Times New Roman"/>
          <w:lang w:val="en-US"/>
        </w:rPr>
        <w:t xml:space="preserve"> and orderly transitions provide the most beneficial outcome. Similarly, density plots demonstrate that scenarios with higher average downgrades also exhibit fatter tails. These results are largely consistent with those presented by De Angelis et al (2024). While orderly scenarios may prove the </w:t>
      </w:r>
      <w:proofErr w:type="gramStart"/>
      <w:r w:rsidRPr="4CD721C4">
        <w:rPr>
          <w:rFonts w:ascii="Times New Roman" w:hAnsi="Times New Roman" w:cs="Times New Roman"/>
          <w:lang w:val="en-US"/>
        </w:rPr>
        <w:t>most costly</w:t>
      </w:r>
      <w:proofErr w:type="gramEnd"/>
      <w:r w:rsidRPr="4CD721C4">
        <w:rPr>
          <w:rFonts w:ascii="Times New Roman" w:hAnsi="Times New Roman" w:cs="Times New Roman"/>
          <w:lang w:val="en-US"/>
        </w:rPr>
        <w:t xml:space="preserve"> in the short term, the longer term economic outcomes are better under these scenarios.</w:t>
      </w:r>
      <w:r w:rsidR="00AD5CB8">
        <w:rPr>
          <w:rFonts w:ascii="Times New Roman" w:hAnsi="Times New Roman" w:cs="Times New Roman"/>
          <w:lang w:val="en-US"/>
        </w:rPr>
        <w:t xml:space="preserve"> Furthermore, only taking the average downgrade from these scenarios may obscure the extent of the fiscal risks facing </w:t>
      </w:r>
      <w:r w:rsidR="00FD5D74">
        <w:rPr>
          <w:rFonts w:ascii="Times New Roman" w:hAnsi="Times New Roman" w:cs="Times New Roman"/>
          <w:lang w:val="en-US"/>
        </w:rPr>
        <w:t>those countries which are most exposed (i.e. those in the tail).</w:t>
      </w:r>
    </w:p>
    <w:p w14:paraId="47F169D1" w14:textId="03DDCF15" w:rsidR="0021603A" w:rsidRPr="00EC6FF1" w:rsidRDefault="00100065" w:rsidP="00DF4308">
      <w:pPr>
        <w:jc w:val="both"/>
        <w:rPr>
          <w:rFonts w:ascii="Times New Roman" w:hAnsi="Times New Roman" w:cs="Times New Roman"/>
          <w:lang w:val="en-US"/>
        </w:rPr>
      </w:pPr>
      <w:r>
        <w:rPr>
          <w:rFonts w:ascii="Times New Roman" w:hAnsi="Times New Roman" w:cs="Times New Roman"/>
          <w:lang w:val="en-US"/>
        </w:rPr>
        <w:t xml:space="preserve">We present our country-level results for 2050 in Figure 5. The grey dot shows the actual credit </w:t>
      </w:r>
      <w:proofErr w:type="gramStart"/>
      <w:r>
        <w:rPr>
          <w:rFonts w:ascii="Times New Roman" w:hAnsi="Times New Roman" w:cs="Times New Roman"/>
          <w:lang w:val="en-US"/>
        </w:rPr>
        <w:t>rating</w:t>
      </w:r>
      <w:proofErr w:type="gramEnd"/>
      <w:r>
        <w:rPr>
          <w:rFonts w:ascii="Times New Roman" w:hAnsi="Times New Roman" w:cs="Times New Roman"/>
          <w:lang w:val="en-US"/>
        </w:rPr>
        <w:t xml:space="preserve"> and the black whiskers depict the confidence interval around our in-sample estimate of that rating today. These whiskers are centered around the baseline estimate of today’s rating which we have removed from the graph for clarity. </w:t>
      </w:r>
      <w:r w:rsidR="00241C6F">
        <w:rPr>
          <w:rFonts w:ascii="Times New Roman" w:hAnsi="Times New Roman" w:cs="Times New Roman"/>
          <w:lang w:val="en-US"/>
        </w:rPr>
        <w:t xml:space="preserve">Our results show that for many countries, scenarios of orderly </w:t>
      </w:r>
      <w:r w:rsidR="00DE77DE">
        <w:rPr>
          <w:rFonts w:ascii="Times New Roman" w:hAnsi="Times New Roman" w:cs="Times New Roman"/>
          <w:lang w:val="en-US"/>
        </w:rPr>
        <w:t>transition</w:t>
      </w:r>
      <w:r w:rsidR="00D14452">
        <w:rPr>
          <w:rFonts w:ascii="Times New Roman" w:hAnsi="Times New Roman" w:cs="Times New Roman"/>
          <w:lang w:val="en-US"/>
        </w:rPr>
        <w:t xml:space="preserve">, and in some cases NDCs, may fall within the confidence interval of our model. This means that these countries expect to receive very little impact </w:t>
      </w:r>
      <w:r w:rsidR="00467449">
        <w:rPr>
          <w:rFonts w:ascii="Times New Roman" w:hAnsi="Times New Roman" w:cs="Times New Roman"/>
          <w:lang w:val="en-US"/>
        </w:rPr>
        <w:t>on</w:t>
      </w:r>
      <w:r w:rsidR="00D14452">
        <w:rPr>
          <w:rFonts w:ascii="Times New Roman" w:hAnsi="Times New Roman" w:cs="Times New Roman"/>
          <w:lang w:val="en-US"/>
        </w:rPr>
        <w:t xml:space="preserve"> their sovereign risk assessment </w:t>
      </w:r>
      <w:r w:rsidR="00467449">
        <w:rPr>
          <w:rFonts w:ascii="Times New Roman" w:hAnsi="Times New Roman" w:cs="Times New Roman"/>
          <w:lang w:val="en-US"/>
        </w:rPr>
        <w:t>because of</w:t>
      </w:r>
      <w:r w:rsidR="00D14452">
        <w:rPr>
          <w:rFonts w:ascii="Times New Roman" w:hAnsi="Times New Roman" w:cs="Times New Roman"/>
          <w:lang w:val="en-US"/>
        </w:rPr>
        <w:t xml:space="preserve"> these scenarios. However, almost all countries are exposed to downgrades from the Fragmented World scenario. </w:t>
      </w:r>
      <w:r w:rsidR="00744F46">
        <w:rPr>
          <w:rFonts w:ascii="Times New Roman" w:hAnsi="Times New Roman" w:cs="Times New Roman"/>
          <w:lang w:val="en-US"/>
        </w:rPr>
        <w:t xml:space="preserve">There are some distinct country-specific patterns which emerge. Russia faces the most severe downgrade from a Net Zero 2050 outcome. This is largely driven by the GDP estimates given in Figure </w:t>
      </w:r>
      <w:r w:rsidR="00DE77DE">
        <w:rPr>
          <w:rFonts w:ascii="Times New Roman" w:hAnsi="Times New Roman" w:cs="Times New Roman"/>
          <w:lang w:val="en-US"/>
        </w:rPr>
        <w:t>4 and</w:t>
      </w:r>
      <w:r w:rsidR="00AD05BB">
        <w:rPr>
          <w:rFonts w:ascii="Times New Roman" w:hAnsi="Times New Roman" w:cs="Times New Roman"/>
          <w:lang w:val="en-US"/>
        </w:rPr>
        <w:t xml:space="preserve"> stands out as the only country to experience this sort of outcome. Some countries, for instance India, Vietnam</w:t>
      </w:r>
      <w:r w:rsidR="00681119">
        <w:rPr>
          <w:rFonts w:ascii="Times New Roman" w:hAnsi="Times New Roman" w:cs="Times New Roman"/>
          <w:lang w:val="en-US"/>
        </w:rPr>
        <w:t xml:space="preserve"> and Brazil at the bottom end as well as </w:t>
      </w:r>
      <w:r w:rsidR="00BB4AC6">
        <w:rPr>
          <w:rFonts w:ascii="Times New Roman" w:hAnsi="Times New Roman" w:cs="Times New Roman"/>
          <w:lang w:val="en-US"/>
        </w:rPr>
        <w:t>Norway</w:t>
      </w:r>
      <w:r w:rsidR="00681119">
        <w:rPr>
          <w:rFonts w:ascii="Times New Roman" w:hAnsi="Times New Roman" w:cs="Times New Roman"/>
          <w:lang w:val="en-US"/>
        </w:rPr>
        <w:t xml:space="preserve">, </w:t>
      </w:r>
      <w:r w:rsidR="00BB4AC6">
        <w:rPr>
          <w:rFonts w:ascii="Times New Roman" w:hAnsi="Times New Roman" w:cs="Times New Roman"/>
          <w:lang w:val="en-US"/>
        </w:rPr>
        <w:t>Canada</w:t>
      </w:r>
      <w:r w:rsidR="00681119">
        <w:rPr>
          <w:rFonts w:ascii="Times New Roman" w:hAnsi="Times New Roman" w:cs="Times New Roman"/>
          <w:lang w:val="en-US"/>
        </w:rPr>
        <w:t xml:space="preserve">, and </w:t>
      </w:r>
      <w:r w:rsidR="00180E9B">
        <w:rPr>
          <w:rFonts w:ascii="Times New Roman" w:hAnsi="Times New Roman" w:cs="Times New Roman"/>
          <w:lang w:val="en-US"/>
        </w:rPr>
        <w:t>Finland</w:t>
      </w:r>
      <w:r w:rsidR="00681119">
        <w:rPr>
          <w:rFonts w:ascii="Times New Roman" w:hAnsi="Times New Roman" w:cs="Times New Roman"/>
          <w:lang w:val="en-US"/>
        </w:rPr>
        <w:t xml:space="preserve">, among others, at the top end, face little impacts from these </w:t>
      </w:r>
      <w:r w:rsidR="00681119">
        <w:rPr>
          <w:rFonts w:ascii="Times New Roman" w:hAnsi="Times New Roman" w:cs="Times New Roman"/>
          <w:lang w:val="en-US"/>
        </w:rPr>
        <w:lastRenderedPageBreak/>
        <w:t xml:space="preserve">scenarios to their sovereign credit ratings. </w:t>
      </w:r>
      <w:r w:rsidR="009B4E19">
        <w:rPr>
          <w:rFonts w:ascii="Times New Roman" w:hAnsi="Times New Roman" w:cs="Times New Roman"/>
          <w:lang w:val="en-US"/>
        </w:rPr>
        <w:t xml:space="preserve">Their sovereign ratings appear to be largely insensitive to the choice of climate policy. </w:t>
      </w:r>
    </w:p>
    <w:p w14:paraId="78D3779D" w14:textId="257A9853" w:rsidR="004179A7" w:rsidRPr="00EC6FF1" w:rsidRDefault="0021603A" w:rsidP="00FB7632">
      <w:pPr>
        <w:jc w:val="both"/>
        <w:rPr>
          <w:rFonts w:ascii="Times New Roman" w:hAnsi="Times New Roman" w:cs="Times New Roman"/>
          <w:lang w:val="en-US"/>
        </w:rPr>
      </w:pPr>
      <w:r w:rsidRPr="00EC6FF1">
        <w:rPr>
          <w:rFonts w:ascii="Times New Roman" w:hAnsi="Times New Roman" w:cs="Times New Roman"/>
          <w:lang w:val="en-US"/>
        </w:rPr>
        <w:t>Our results reveal an interesting problem.</w:t>
      </w:r>
      <w:r w:rsidR="00DE77DE">
        <w:rPr>
          <w:rFonts w:ascii="Times New Roman" w:hAnsi="Times New Roman" w:cs="Times New Roman"/>
          <w:lang w:val="en-US"/>
        </w:rPr>
        <w:t xml:space="preserve"> Not all countries face an equally pressing economic</w:t>
      </w:r>
      <w:r w:rsidR="00EA002F">
        <w:rPr>
          <w:rFonts w:ascii="Times New Roman" w:hAnsi="Times New Roman" w:cs="Times New Roman"/>
          <w:lang w:val="en-US"/>
        </w:rPr>
        <w:t xml:space="preserve"> incentive to implement climate policies which benefit the rest of the world. While India pursuing Net Zero by 2050 will benefit many other countries</w:t>
      </w:r>
      <w:r w:rsidR="007C0E63">
        <w:rPr>
          <w:rFonts w:ascii="Times New Roman" w:hAnsi="Times New Roman" w:cs="Times New Roman"/>
          <w:lang w:val="en-US"/>
        </w:rPr>
        <w:t xml:space="preserve">, it does little to support India’s ability to borrow from international financial markets. </w:t>
      </w:r>
      <w:r w:rsidR="00E533E9">
        <w:rPr>
          <w:rFonts w:ascii="Times New Roman" w:hAnsi="Times New Roman" w:cs="Times New Roman"/>
          <w:lang w:val="en-US"/>
        </w:rPr>
        <w:t>How does the international community contend with this issue, and what are the consequences for the NGFS and their scenarios. These scenarios are largely reliant on countries pursuing coordinated efforts. Our results show that not all countries have the same incentive to see this happen.</w:t>
      </w:r>
    </w:p>
    <w:p w14:paraId="41BD3953" w14:textId="505E8CA0" w:rsidR="00BE150D" w:rsidRPr="0082722B" w:rsidRDefault="00BE150D" w:rsidP="0082722B">
      <w:pPr>
        <w:pStyle w:val="ListParagraph"/>
        <w:numPr>
          <w:ilvl w:val="0"/>
          <w:numId w:val="1"/>
        </w:numPr>
        <w:jc w:val="both"/>
        <w:rPr>
          <w:rFonts w:ascii="Times New Roman" w:hAnsi="Times New Roman" w:cs="Times New Roman"/>
          <w:b/>
          <w:bCs/>
          <w:lang w:val="en-US"/>
        </w:rPr>
      </w:pPr>
      <w:r w:rsidRPr="0082722B">
        <w:rPr>
          <w:rFonts w:ascii="Times New Roman" w:hAnsi="Times New Roman" w:cs="Times New Roman"/>
          <w:b/>
          <w:bCs/>
          <w:lang w:val="en-US"/>
        </w:rPr>
        <w:t>Are we capturing elements of transition risk?</w:t>
      </w:r>
    </w:p>
    <w:p w14:paraId="10F05262" w14:textId="6F349CFA" w:rsidR="00DC2DA0" w:rsidRDefault="00D459E9" w:rsidP="00010316">
      <w:pPr>
        <w:rPr>
          <w:rFonts w:ascii="Times New Roman" w:hAnsi="Times New Roman" w:cs="Times New Roman"/>
          <w:lang w:val="en-US"/>
        </w:rPr>
      </w:pPr>
      <w:r w:rsidRPr="00EC6FF1">
        <w:rPr>
          <w:rFonts w:ascii="Times New Roman" w:hAnsi="Times New Roman" w:cs="Times New Roman"/>
          <w:lang w:val="en-US"/>
        </w:rPr>
        <w:t xml:space="preserve">Despite evidence that markets are beginning to price-in climate transition and policy risk </w:t>
      </w:r>
      <w:r w:rsidRPr="00CE5916">
        <w:rPr>
          <w:rFonts w:ascii="Times New Roman" w:hAnsi="Times New Roman" w:cs="Times New Roman"/>
          <w:lang w:val="en-US"/>
        </w:rPr>
        <w:t>(Bolton</w:t>
      </w:r>
      <w:r w:rsidRPr="00EC6FF1">
        <w:rPr>
          <w:rFonts w:ascii="Times New Roman" w:hAnsi="Times New Roman" w:cs="Times New Roman"/>
          <w:lang w:val="en-US"/>
        </w:rPr>
        <w:t xml:space="preserve"> </w:t>
      </w:r>
      <w:r w:rsidRPr="00CE5916">
        <w:rPr>
          <w:rFonts w:ascii="Times New Roman" w:hAnsi="Times New Roman" w:cs="Times New Roman"/>
          <w:lang w:val="en-US"/>
        </w:rPr>
        <w:t xml:space="preserve">and </w:t>
      </w:r>
      <w:proofErr w:type="spellStart"/>
      <w:r w:rsidRPr="00CE5916">
        <w:rPr>
          <w:rFonts w:ascii="Times New Roman" w:hAnsi="Times New Roman" w:cs="Times New Roman"/>
          <w:lang w:val="en-US"/>
        </w:rPr>
        <w:t>Kacperczyk</w:t>
      </w:r>
      <w:proofErr w:type="spellEnd"/>
      <w:r w:rsidRPr="00EC6FF1">
        <w:rPr>
          <w:rFonts w:ascii="Times New Roman" w:hAnsi="Times New Roman" w:cs="Times New Roman"/>
          <w:lang w:val="en-US"/>
        </w:rPr>
        <w:t xml:space="preserve">, </w:t>
      </w:r>
      <w:r w:rsidRPr="00CE5916">
        <w:rPr>
          <w:rFonts w:ascii="Times New Roman" w:hAnsi="Times New Roman" w:cs="Times New Roman"/>
          <w:lang w:val="en-US"/>
        </w:rPr>
        <w:t>202</w:t>
      </w:r>
      <w:r w:rsidR="00561392">
        <w:rPr>
          <w:rFonts w:ascii="Times New Roman" w:hAnsi="Times New Roman" w:cs="Times New Roman"/>
          <w:lang w:val="en-US"/>
        </w:rPr>
        <w:t>1</w:t>
      </w:r>
      <w:r w:rsidRPr="00CE5916">
        <w:rPr>
          <w:rFonts w:ascii="Times New Roman" w:hAnsi="Times New Roman" w:cs="Times New Roman"/>
          <w:lang w:val="en-US"/>
        </w:rPr>
        <w:t>;</w:t>
      </w:r>
      <w:r w:rsidRPr="00EC6FF1">
        <w:rPr>
          <w:rFonts w:ascii="Times New Roman" w:hAnsi="Times New Roman" w:cs="Times New Roman"/>
          <w:lang w:val="en-US"/>
        </w:rPr>
        <w:t xml:space="preserve"> </w:t>
      </w:r>
      <w:proofErr w:type="spellStart"/>
      <w:r w:rsidRPr="00CE5916">
        <w:rPr>
          <w:rFonts w:ascii="Times New Roman" w:hAnsi="Times New Roman" w:cs="Times New Roman"/>
          <w:lang w:val="en-US"/>
        </w:rPr>
        <w:t>Monasterolo</w:t>
      </w:r>
      <w:proofErr w:type="spellEnd"/>
      <w:r w:rsidRPr="00CE5916">
        <w:rPr>
          <w:rFonts w:ascii="Times New Roman" w:hAnsi="Times New Roman" w:cs="Times New Roman"/>
          <w:lang w:val="en-US"/>
        </w:rPr>
        <w:t xml:space="preserve"> and De Angelis,</w:t>
      </w:r>
      <w:r w:rsidRPr="00EC6FF1">
        <w:rPr>
          <w:rFonts w:ascii="Times New Roman" w:hAnsi="Times New Roman" w:cs="Times New Roman"/>
          <w:lang w:val="en-US"/>
        </w:rPr>
        <w:t xml:space="preserve"> </w:t>
      </w:r>
      <w:r w:rsidRPr="00CE5916">
        <w:rPr>
          <w:rFonts w:ascii="Times New Roman" w:hAnsi="Times New Roman" w:cs="Times New Roman"/>
          <w:lang w:val="en-US"/>
        </w:rPr>
        <w:t>2020)</w:t>
      </w:r>
      <w:r w:rsidRPr="00EC6FF1">
        <w:rPr>
          <w:rFonts w:ascii="Times New Roman" w:hAnsi="Times New Roman" w:cs="Times New Roman"/>
          <w:lang w:val="en-US"/>
        </w:rPr>
        <w:t xml:space="preserve"> and that physical risks are affecting fixed-income instruments </w:t>
      </w:r>
      <w:r w:rsidRPr="00CE5916">
        <w:rPr>
          <w:rFonts w:ascii="Times New Roman" w:hAnsi="Times New Roman" w:cs="Times New Roman"/>
          <w:lang w:val="en-US"/>
        </w:rPr>
        <w:t>(Goldsmith-Pinkham et al.,</w:t>
      </w:r>
      <w:r w:rsidRPr="00EC6FF1">
        <w:rPr>
          <w:rFonts w:ascii="Times New Roman" w:hAnsi="Times New Roman" w:cs="Times New Roman"/>
          <w:lang w:val="en-US"/>
        </w:rPr>
        <w:t xml:space="preserve"> </w:t>
      </w:r>
      <w:r w:rsidRPr="00CE5916">
        <w:rPr>
          <w:rFonts w:ascii="Times New Roman" w:hAnsi="Times New Roman" w:cs="Times New Roman"/>
          <w:lang w:val="en-US"/>
        </w:rPr>
        <w:t>2023;</w:t>
      </w:r>
      <w:r w:rsidRPr="00EC6FF1">
        <w:rPr>
          <w:rFonts w:ascii="Times New Roman" w:hAnsi="Times New Roman" w:cs="Times New Roman"/>
          <w:lang w:val="en-US"/>
        </w:rPr>
        <w:t xml:space="preserve"> </w:t>
      </w:r>
      <w:r w:rsidRPr="00CE5916">
        <w:rPr>
          <w:rFonts w:ascii="Times New Roman" w:hAnsi="Times New Roman" w:cs="Times New Roman"/>
          <w:lang w:val="en-US"/>
        </w:rPr>
        <w:t>Beirne et al.,</w:t>
      </w:r>
      <w:r w:rsidRPr="00EC6FF1">
        <w:rPr>
          <w:rFonts w:ascii="Times New Roman" w:hAnsi="Times New Roman" w:cs="Times New Roman"/>
          <w:lang w:val="en-US"/>
        </w:rPr>
        <w:t xml:space="preserve"> </w:t>
      </w:r>
      <w:r w:rsidRPr="00CE5916">
        <w:rPr>
          <w:rFonts w:ascii="Times New Roman" w:hAnsi="Times New Roman" w:cs="Times New Roman"/>
          <w:lang w:val="en-US"/>
        </w:rPr>
        <w:t>2021),</w:t>
      </w:r>
      <w:r w:rsidRPr="00EC6FF1">
        <w:rPr>
          <w:rFonts w:ascii="Times New Roman" w:hAnsi="Times New Roman" w:cs="Times New Roman"/>
          <w:lang w:val="en-US"/>
        </w:rPr>
        <w:t xml:space="preserve"> the balance of expert opinion is that this remains incomplete. Consistent with a survey of 861 finance academics, </w:t>
      </w:r>
      <w:r w:rsidR="00CD57DA" w:rsidRPr="00EC6FF1">
        <w:rPr>
          <w:rFonts w:ascii="Times New Roman" w:hAnsi="Times New Roman" w:cs="Times New Roman"/>
          <w:lang w:val="en-US"/>
        </w:rPr>
        <w:t>professionals,</w:t>
      </w:r>
      <w:r w:rsidRPr="00EC6FF1">
        <w:rPr>
          <w:rFonts w:ascii="Times New Roman" w:hAnsi="Times New Roman" w:cs="Times New Roman"/>
          <w:lang w:val="en-US"/>
        </w:rPr>
        <w:t xml:space="preserve"> public sector regulators and policy economists, our results imply</w:t>
      </w:r>
      <w:r w:rsidR="001D77CB" w:rsidRPr="00EC6FF1">
        <w:rPr>
          <w:rFonts w:ascii="Times New Roman" w:hAnsi="Times New Roman" w:cs="Times New Roman"/>
          <w:lang w:val="en-US"/>
        </w:rPr>
        <w:t xml:space="preserve"> this </w:t>
      </w:r>
      <w:proofErr w:type="gramStart"/>
      <w:r w:rsidR="001D77CB" w:rsidRPr="00EC6FF1">
        <w:rPr>
          <w:rFonts w:ascii="Times New Roman" w:hAnsi="Times New Roman" w:cs="Times New Roman"/>
          <w:lang w:val="en-US"/>
        </w:rPr>
        <w:t>repricing</w:t>
      </w:r>
      <w:proofErr w:type="gramEnd"/>
      <w:r w:rsidR="001D77CB" w:rsidRPr="00EC6FF1">
        <w:rPr>
          <w:rFonts w:ascii="Times New Roman" w:hAnsi="Times New Roman" w:cs="Times New Roman"/>
          <w:lang w:val="en-US"/>
        </w:rPr>
        <w:t xml:space="preserve"> has not fully </w:t>
      </w:r>
      <w:proofErr w:type="spellStart"/>
      <w:r w:rsidR="001D77CB" w:rsidRPr="00EC6FF1">
        <w:rPr>
          <w:rFonts w:ascii="Times New Roman" w:hAnsi="Times New Roman" w:cs="Times New Roman"/>
          <w:lang w:val="en-US"/>
        </w:rPr>
        <w:t>materialised</w:t>
      </w:r>
      <w:proofErr w:type="spellEnd"/>
      <w:r w:rsidR="001D77CB" w:rsidRPr="00EC6FF1">
        <w:rPr>
          <w:rFonts w:ascii="Times New Roman" w:hAnsi="Times New Roman" w:cs="Times New Roman"/>
          <w:lang w:val="en-US"/>
        </w:rPr>
        <w:t xml:space="preserve"> </w:t>
      </w:r>
      <w:r w:rsidR="001D77CB" w:rsidRPr="00CE5916">
        <w:rPr>
          <w:rFonts w:ascii="Times New Roman" w:hAnsi="Times New Roman" w:cs="Times New Roman"/>
          <w:lang w:val="en-US"/>
        </w:rPr>
        <w:t>(Stroebel and Wurgler,</w:t>
      </w:r>
      <w:r w:rsidR="001D77CB" w:rsidRPr="00EC6FF1">
        <w:rPr>
          <w:rFonts w:ascii="Times New Roman" w:hAnsi="Times New Roman" w:cs="Times New Roman"/>
          <w:lang w:val="en-US"/>
        </w:rPr>
        <w:t xml:space="preserve"> </w:t>
      </w:r>
      <w:r w:rsidR="001D77CB" w:rsidRPr="00CE5916">
        <w:rPr>
          <w:rFonts w:ascii="Times New Roman" w:hAnsi="Times New Roman" w:cs="Times New Roman"/>
          <w:lang w:val="en-US"/>
        </w:rPr>
        <w:t>2021).</w:t>
      </w:r>
      <w:r w:rsidR="001D77CB" w:rsidRPr="00EC6FF1">
        <w:rPr>
          <w:rFonts w:ascii="Times New Roman" w:hAnsi="Times New Roman" w:cs="Times New Roman"/>
          <w:lang w:val="en-US"/>
        </w:rPr>
        <w:t xml:space="preserve"> In this section, we aim to demonstrate that our downgrades do indeed reflect aspects of transition risk. Consistent with </w:t>
      </w:r>
      <w:r w:rsidR="001D77CB" w:rsidRPr="00CE5916">
        <w:rPr>
          <w:rFonts w:ascii="Times New Roman" w:hAnsi="Times New Roman" w:cs="Times New Roman"/>
          <w:lang w:val="en-US"/>
        </w:rPr>
        <w:t xml:space="preserve">Bolton and </w:t>
      </w:r>
      <w:proofErr w:type="spellStart"/>
      <w:r w:rsidR="001D77CB" w:rsidRPr="00CE5916">
        <w:rPr>
          <w:rFonts w:ascii="Times New Roman" w:hAnsi="Times New Roman" w:cs="Times New Roman"/>
          <w:lang w:val="en-US"/>
        </w:rPr>
        <w:t>Kacperczyk</w:t>
      </w:r>
      <w:proofErr w:type="spellEnd"/>
      <w:r w:rsidR="001D77CB" w:rsidRPr="00EC6FF1">
        <w:rPr>
          <w:rFonts w:ascii="Times New Roman" w:hAnsi="Times New Roman" w:cs="Times New Roman"/>
          <w:lang w:val="en-US"/>
        </w:rPr>
        <w:t xml:space="preserve"> </w:t>
      </w:r>
      <w:r w:rsidR="001D77CB" w:rsidRPr="00CE5916">
        <w:rPr>
          <w:rFonts w:ascii="Times New Roman" w:hAnsi="Times New Roman" w:cs="Times New Roman"/>
          <w:lang w:val="en-US"/>
        </w:rPr>
        <w:t>(202</w:t>
      </w:r>
      <w:r w:rsidR="00561392">
        <w:rPr>
          <w:rFonts w:ascii="Times New Roman" w:hAnsi="Times New Roman" w:cs="Times New Roman"/>
          <w:lang w:val="en-US"/>
        </w:rPr>
        <w:t>1</w:t>
      </w:r>
      <w:r w:rsidR="001D77CB" w:rsidRPr="00CE5916">
        <w:rPr>
          <w:rFonts w:ascii="Times New Roman" w:hAnsi="Times New Roman" w:cs="Times New Roman"/>
          <w:lang w:val="en-US"/>
        </w:rPr>
        <w:t>)</w:t>
      </w:r>
      <w:r w:rsidR="001D77CB" w:rsidRPr="00EC6FF1">
        <w:rPr>
          <w:rFonts w:ascii="Times New Roman" w:hAnsi="Times New Roman" w:cs="Times New Roman"/>
          <w:lang w:val="en-US"/>
        </w:rPr>
        <w:t xml:space="preserve"> we proxy for transition risk by using country-level log total emissions to estimate the following regression model, for 2020 emissions data.</w:t>
      </w:r>
      <w:r w:rsidR="00010316" w:rsidRPr="00EC6FF1">
        <w:rPr>
          <w:rFonts w:ascii="Times New Roman" w:hAnsi="Times New Roman" w:cs="Times New Roman"/>
          <w:lang w:val="en-US"/>
        </w:rPr>
        <w:t xml:space="preserve"> Our results </w:t>
      </w:r>
      <w:proofErr w:type="gramStart"/>
      <w:r w:rsidR="00010316" w:rsidRPr="00EC6FF1">
        <w:rPr>
          <w:rFonts w:ascii="Times New Roman" w:hAnsi="Times New Roman" w:cs="Times New Roman"/>
          <w:lang w:val="en-US"/>
        </w:rPr>
        <w:t>show,</w:t>
      </w:r>
      <w:proofErr w:type="gramEnd"/>
      <w:r w:rsidR="00010316" w:rsidRPr="00EC6FF1">
        <w:rPr>
          <w:rFonts w:ascii="Times New Roman" w:hAnsi="Times New Roman" w:cs="Times New Roman"/>
          <w:lang w:val="en-US"/>
        </w:rPr>
        <w:t xml:space="preserve"> </w:t>
      </w:r>
      <w:r w:rsidR="00C7171B">
        <w:rPr>
          <w:rFonts w:ascii="Times New Roman" w:hAnsi="Times New Roman" w:cs="Times New Roman"/>
          <w:lang w:val="en-US"/>
        </w:rPr>
        <w:t>that for the Net Zero 2050 scenario</w:t>
      </w:r>
      <w:r w:rsidR="00010316" w:rsidRPr="00EC6FF1">
        <w:rPr>
          <w:rFonts w:ascii="Times New Roman" w:hAnsi="Times New Roman" w:cs="Times New Roman"/>
          <w:lang w:val="en-US"/>
        </w:rPr>
        <w:t xml:space="preserve">, </w:t>
      </w:r>
      <w:r w:rsidR="00D93C0C">
        <w:rPr>
          <w:rFonts w:ascii="Times New Roman" w:hAnsi="Times New Roman" w:cs="Times New Roman"/>
          <w:lang w:val="en-US"/>
        </w:rPr>
        <w:t>countries with higher emissions (by 1 standard deviation)</w:t>
      </w:r>
      <w:r w:rsidR="002D08CD">
        <w:rPr>
          <w:rFonts w:ascii="Times New Roman" w:hAnsi="Times New Roman" w:cs="Times New Roman"/>
          <w:lang w:val="en-US"/>
        </w:rPr>
        <w:t xml:space="preserve"> are associated with a 0.</w:t>
      </w:r>
      <w:r w:rsidR="00C7171B">
        <w:rPr>
          <w:rFonts w:ascii="Times New Roman" w:hAnsi="Times New Roman" w:cs="Times New Roman"/>
          <w:lang w:val="en-US"/>
        </w:rPr>
        <w:t>9</w:t>
      </w:r>
      <w:r w:rsidR="006E5930">
        <w:rPr>
          <w:rFonts w:ascii="Times New Roman" w:hAnsi="Times New Roman" w:cs="Times New Roman"/>
          <w:lang w:val="en-US"/>
        </w:rPr>
        <w:t>5</w:t>
      </w:r>
      <w:r w:rsidR="002D08CD">
        <w:rPr>
          <w:rFonts w:ascii="Times New Roman" w:hAnsi="Times New Roman" w:cs="Times New Roman"/>
          <w:lang w:val="en-US"/>
        </w:rPr>
        <w:t xml:space="preserve"> notch downgrade in our model. </w:t>
      </w:r>
      <w:r w:rsidR="00010316" w:rsidRPr="00EC6FF1">
        <w:rPr>
          <w:rFonts w:ascii="Times New Roman" w:hAnsi="Times New Roman" w:cs="Times New Roman"/>
          <w:lang w:val="en-US"/>
        </w:rPr>
        <w:t xml:space="preserve">In other words, </w:t>
      </w:r>
      <w:r w:rsidR="00EE0252">
        <w:rPr>
          <w:rFonts w:ascii="Times New Roman" w:hAnsi="Times New Roman" w:cs="Times New Roman"/>
          <w:lang w:val="en-US"/>
        </w:rPr>
        <w:t xml:space="preserve">countries </w:t>
      </w:r>
      <w:proofErr w:type="gramStart"/>
      <w:r w:rsidR="00EE0252">
        <w:rPr>
          <w:rFonts w:ascii="Times New Roman" w:hAnsi="Times New Roman" w:cs="Times New Roman"/>
          <w:lang w:val="en-US"/>
        </w:rPr>
        <w:t>at</w:t>
      </w:r>
      <w:proofErr w:type="gramEnd"/>
      <w:r w:rsidR="00EE0252">
        <w:rPr>
          <w:rFonts w:ascii="Times New Roman" w:hAnsi="Times New Roman" w:cs="Times New Roman"/>
          <w:lang w:val="en-US"/>
        </w:rPr>
        <w:t xml:space="preserve"> the </w:t>
      </w:r>
      <w:r w:rsidR="00010316" w:rsidRPr="00EC6FF1">
        <w:rPr>
          <w:rFonts w:ascii="Times New Roman" w:hAnsi="Times New Roman" w:cs="Times New Roman"/>
          <w:lang w:val="en-US"/>
        </w:rPr>
        <w:t xml:space="preserve">10th percentile of polluters </w:t>
      </w:r>
      <w:r w:rsidR="00EE0252">
        <w:rPr>
          <w:rFonts w:ascii="Times New Roman" w:hAnsi="Times New Roman" w:cs="Times New Roman"/>
          <w:lang w:val="en-US"/>
        </w:rPr>
        <w:t xml:space="preserve">compared </w:t>
      </w:r>
      <w:r w:rsidR="00010316" w:rsidRPr="00EC6FF1">
        <w:rPr>
          <w:rFonts w:ascii="Times New Roman" w:hAnsi="Times New Roman" w:cs="Times New Roman"/>
          <w:lang w:val="en-US"/>
        </w:rPr>
        <w:t xml:space="preserve">to the 90th percentile, </w:t>
      </w:r>
      <w:r w:rsidR="00EE0252">
        <w:rPr>
          <w:rFonts w:ascii="Times New Roman" w:hAnsi="Times New Roman" w:cs="Times New Roman"/>
          <w:lang w:val="en-US"/>
        </w:rPr>
        <w:t>have a different simulated</w:t>
      </w:r>
      <w:r w:rsidR="00010316" w:rsidRPr="00EC6FF1">
        <w:rPr>
          <w:rFonts w:ascii="Times New Roman" w:hAnsi="Times New Roman" w:cs="Times New Roman"/>
          <w:lang w:val="en-US"/>
        </w:rPr>
        <w:t xml:space="preserve"> credit rating of approximately </w:t>
      </w:r>
      <w:r w:rsidR="001F1BDF">
        <w:rPr>
          <w:rFonts w:ascii="Times New Roman" w:hAnsi="Times New Roman" w:cs="Times New Roman"/>
          <w:lang w:val="en-US"/>
        </w:rPr>
        <w:t>2.4</w:t>
      </w:r>
      <w:r w:rsidR="00010316" w:rsidRPr="00EC6FF1">
        <w:rPr>
          <w:rFonts w:ascii="Times New Roman" w:hAnsi="Times New Roman" w:cs="Times New Roman"/>
          <w:lang w:val="en-US"/>
        </w:rPr>
        <w:t xml:space="preserve"> notches (0.</w:t>
      </w:r>
      <w:r w:rsidR="00C7171B">
        <w:rPr>
          <w:rFonts w:ascii="Times New Roman" w:hAnsi="Times New Roman" w:cs="Times New Roman"/>
          <w:lang w:val="en-US"/>
        </w:rPr>
        <w:t>9</w:t>
      </w:r>
      <w:r w:rsidR="001849F0">
        <w:rPr>
          <w:rFonts w:ascii="Times New Roman" w:hAnsi="Times New Roman" w:cs="Times New Roman"/>
          <w:lang w:val="en-US"/>
        </w:rPr>
        <w:t>5</w:t>
      </w:r>
      <w:r w:rsidR="00010316" w:rsidRPr="00EC6FF1">
        <w:rPr>
          <w:rFonts w:ascii="Times New Roman" w:hAnsi="Times New Roman" w:cs="Times New Roman"/>
          <w:lang w:val="en-US"/>
        </w:rPr>
        <w:t xml:space="preserve"> x 2.56 = </w:t>
      </w:r>
      <w:r w:rsidR="005C5818">
        <w:rPr>
          <w:rFonts w:ascii="Times New Roman" w:hAnsi="Times New Roman" w:cs="Times New Roman"/>
          <w:lang w:val="en-US"/>
        </w:rPr>
        <w:t>2.</w:t>
      </w:r>
      <w:r w:rsidR="001F1BDF">
        <w:rPr>
          <w:rFonts w:ascii="Times New Roman" w:hAnsi="Times New Roman" w:cs="Times New Roman"/>
          <w:lang w:val="en-US"/>
        </w:rPr>
        <w:t>43</w:t>
      </w:r>
      <w:r w:rsidR="00010316" w:rsidRPr="00EC6FF1">
        <w:rPr>
          <w:rFonts w:ascii="Times New Roman" w:hAnsi="Times New Roman" w:cs="Times New Roman"/>
          <w:lang w:val="en-US"/>
        </w:rPr>
        <w:t xml:space="preserve">). We present the results of this analysis in Table </w:t>
      </w:r>
      <w:r w:rsidR="002D08CD">
        <w:rPr>
          <w:rFonts w:ascii="Times New Roman" w:hAnsi="Times New Roman" w:cs="Times New Roman"/>
          <w:lang w:val="en-US"/>
        </w:rPr>
        <w:t>4</w:t>
      </w:r>
      <w:r w:rsidR="005C5818">
        <w:rPr>
          <w:rFonts w:ascii="Times New Roman" w:hAnsi="Times New Roman" w:cs="Times New Roman"/>
          <w:lang w:val="en-US"/>
        </w:rPr>
        <w:t>, amongst the other scenario estimations</w:t>
      </w:r>
      <w:r w:rsidR="00010316" w:rsidRPr="00CE5916">
        <w:rPr>
          <w:rFonts w:ascii="Times New Roman" w:hAnsi="Times New Roman" w:cs="Times New Roman"/>
          <w:lang w:val="en-US"/>
        </w:rPr>
        <w:t>.</w:t>
      </w:r>
      <w:r w:rsidR="00C6527C">
        <w:rPr>
          <w:rFonts w:ascii="Times New Roman" w:hAnsi="Times New Roman" w:cs="Times New Roman"/>
          <w:lang w:val="en-US"/>
        </w:rPr>
        <w:t xml:space="preserve"> Furthermore, we also observe the </w:t>
      </w:r>
      <w:proofErr w:type="gramStart"/>
      <w:r w:rsidR="00C6527C">
        <w:rPr>
          <w:rFonts w:ascii="Times New Roman" w:hAnsi="Times New Roman" w:cs="Times New Roman"/>
          <w:lang w:val="en-US"/>
        </w:rPr>
        <w:t>fit</w:t>
      </w:r>
      <w:proofErr w:type="gramEnd"/>
      <w:r w:rsidR="00C6527C">
        <w:rPr>
          <w:rFonts w:ascii="Times New Roman" w:hAnsi="Times New Roman" w:cs="Times New Roman"/>
          <w:lang w:val="en-US"/>
        </w:rPr>
        <w:t xml:space="preserve"> of this relationship to be better in scenarios characterized by higher levels of transition risk, as one might expect.</w:t>
      </w:r>
    </w:p>
    <w:p w14:paraId="42A97169" w14:textId="79709199" w:rsidR="00DC2DA0" w:rsidRPr="00EC6FF1" w:rsidRDefault="00DC2DA0" w:rsidP="00010316">
      <w:pPr>
        <w:rPr>
          <w:rFonts w:ascii="Times New Roman" w:hAnsi="Times New Roman" w:cs="Times New Roman"/>
          <w:lang w:val="en-US"/>
        </w:rPr>
      </w:pPr>
      <m:oMathPara>
        <m:oMath>
          <m:r>
            <m:rPr>
              <m:sty m:val="p"/>
            </m:rPr>
            <w:rPr>
              <w:rFonts w:ascii="Cambria Math" w:hAnsi="Cambria Math" w:cs="Times New Roman"/>
              <w:lang w:val="en-US"/>
            </w:rPr>
            <m:t>Δ</m:t>
          </m:r>
          <m:r>
            <w:rPr>
              <w:rFonts w:ascii="Cambria Math" w:hAnsi="Cambria Math" w:cs="Times New Roman"/>
              <w:lang w:val="en-US"/>
            </w:rPr>
            <m:t>Ratin</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i,NGFS</m:t>
              </m:r>
            </m:sub>
          </m:sSub>
          <m:r>
            <w:rPr>
              <w:rFonts w:ascii="Cambria Math" w:hAnsi="Cambria Math" w:cs="Times New Roman"/>
              <w:lang w:val="en-US"/>
            </w:rPr>
            <m:t>=</m:t>
          </m:r>
          <m:r>
            <m:rPr>
              <m:sty m:val="p"/>
            </m:rPr>
            <w:rPr>
              <w:rFonts w:ascii="Cambria Math" w:hAnsi="Cambria Math" w:cs="Times New Roman"/>
              <w:lang w:val="en-US"/>
            </w:rPr>
            <m:t>β</m:t>
          </m:r>
          <m:r>
            <w:rPr>
              <w:rFonts w:ascii="Cambria Math" w:hAnsi="Cambria Math" w:cs="Times New Roman"/>
              <w:lang w:val="en-US"/>
            </w:rPr>
            <m:t>lnEmission</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i,2020</m:t>
              </m:r>
            </m:sub>
          </m:sSub>
          <m:r>
            <w:rPr>
              <w:rFonts w:ascii="Cambria Math" w:hAnsi="Cambria Math" w:cs="Times New Roman"/>
              <w:lang w:val="en-US"/>
            </w:rPr>
            <m:t>+</m:t>
          </m:r>
          <m:sSub>
            <m:sSubPr>
              <m:ctrlPr>
                <w:rPr>
                  <w:rFonts w:ascii="Cambria Math" w:hAnsi="Cambria Math" w:cs="Times New Roman"/>
                  <w:i/>
                  <w:lang w:val="en-US"/>
                </w:rPr>
              </m:ctrlPr>
            </m:sSubPr>
            <m:e>
              <m:r>
                <m:rPr>
                  <m:sty m:val="p"/>
                </m:rPr>
                <w:rPr>
                  <w:rFonts w:ascii="Cambria Math" w:hAnsi="Cambria Math" w:cs="Times New Roman"/>
                  <w:lang w:val="en-US"/>
                </w:rPr>
                <m:t>μ</m:t>
              </m:r>
            </m:e>
            <m:sub>
              <m:r>
                <w:rPr>
                  <w:rFonts w:ascii="Cambria Math" w:hAnsi="Cambria Math" w:cs="Times New Roman"/>
                  <w:lang w:val="en-US"/>
                </w:rPr>
                <m:t>i</m:t>
              </m:r>
            </m:sub>
          </m:sSub>
        </m:oMath>
      </m:oMathPara>
    </w:p>
    <w:p w14:paraId="3117EF97" w14:textId="1246C431" w:rsidR="00DC2DA0" w:rsidRPr="00DC2DA0" w:rsidRDefault="0024129D" w:rsidP="00DC2DA0">
      <w:pPr>
        <w:pStyle w:val="ListParagraph"/>
        <w:numPr>
          <w:ilvl w:val="0"/>
          <w:numId w:val="1"/>
        </w:numPr>
        <w:jc w:val="both"/>
        <w:rPr>
          <w:rFonts w:ascii="Times New Roman" w:hAnsi="Times New Roman" w:cs="Times New Roman"/>
          <w:b/>
          <w:bCs/>
          <w:lang w:val="en-US"/>
        </w:rPr>
      </w:pPr>
      <w:r w:rsidRPr="0082722B">
        <w:rPr>
          <w:rFonts w:ascii="Times New Roman" w:hAnsi="Times New Roman" w:cs="Times New Roman"/>
          <w:b/>
          <w:bCs/>
          <w:lang w:val="en-US"/>
        </w:rPr>
        <w:t>Conclusio</w:t>
      </w:r>
      <w:r w:rsidR="00417D10" w:rsidRPr="0082722B">
        <w:rPr>
          <w:rFonts w:ascii="Times New Roman" w:hAnsi="Times New Roman" w:cs="Times New Roman"/>
          <w:b/>
          <w:bCs/>
          <w:lang w:val="en-US"/>
        </w:rPr>
        <w:t>n</w:t>
      </w:r>
    </w:p>
    <w:p w14:paraId="78697DA7" w14:textId="32541312" w:rsidR="00851921" w:rsidRPr="00EC6FF1" w:rsidRDefault="00851921" w:rsidP="00851921">
      <w:pPr>
        <w:jc w:val="both"/>
        <w:rPr>
          <w:rFonts w:ascii="Times New Roman" w:hAnsi="Times New Roman" w:cs="Times New Roman"/>
          <w:lang w:val="en-US"/>
        </w:rPr>
      </w:pPr>
      <w:r w:rsidRPr="00EC6FF1">
        <w:rPr>
          <w:rFonts w:ascii="Times New Roman" w:hAnsi="Times New Roman" w:cs="Times New Roman"/>
          <w:lang w:val="en-US"/>
        </w:rPr>
        <w:t>This paper studies how sovereign creditworthiness may change in response to various scenarios of climate transition. To address this issue we combine macroeconomic data, sovereign ratings data and projected GDP pathways of 48 countries under five different scenarios of climate transition. We construct a predictive model of sovereign credit ratings and simulate rating downgrades under the five different scenarios 2050. We document three key findings.</w:t>
      </w:r>
    </w:p>
    <w:p w14:paraId="147D53C5" w14:textId="49F5E335" w:rsidR="00070885" w:rsidRDefault="00851921" w:rsidP="000D3507">
      <w:pPr>
        <w:jc w:val="both"/>
        <w:rPr>
          <w:rFonts w:ascii="Times New Roman" w:hAnsi="Times New Roman" w:cs="Times New Roman"/>
          <w:lang w:val="en-US"/>
        </w:rPr>
      </w:pPr>
      <w:r w:rsidRPr="00EC6FF1">
        <w:rPr>
          <w:rFonts w:ascii="Times New Roman" w:hAnsi="Times New Roman" w:cs="Times New Roman"/>
          <w:lang w:val="en-US"/>
        </w:rPr>
        <w:t xml:space="preserve">First, on a global average, a Fragmented World scenario results in a </w:t>
      </w:r>
      <w:r w:rsidR="00734F81">
        <w:rPr>
          <w:rFonts w:ascii="Times New Roman" w:hAnsi="Times New Roman" w:cs="Times New Roman"/>
          <w:lang w:val="en-US"/>
        </w:rPr>
        <w:t>3.9</w:t>
      </w:r>
      <w:r w:rsidRPr="00EC6FF1">
        <w:rPr>
          <w:rFonts w:ascii="Times New Roman" w:hAnsi="Times New Roman" w:cs="Times New Roman"/>
          <w:lang w:val="en-US"/>
        </w:rPr>
        <w:t xml:space="preserve"> notch downgrade by 2050. Second, we show that some countries are motivated to make careful climate-policy choices because of the implications for their creditworthiness. Whereas other countries face a moral hazard dilemma and </w:t>
      </w:r>
      <w:proofErr w:type="gramStart"/>
      <w:r w:rsidRPr="00EC6FF1">
        <w:rPr>
          <w:rFonts w:ascii="Times New Roman" w:hAnsi="Times New Roman" w:cs="Times New Roman"/>
          <w:lang w:val="en-US"/>
        </w:rPr>
        <w:t>either</w:t>
      </w:r>
      <w:proofErr w:type="gramEnd"/>
      <w:r w:rsidRPr="00EC6FF1">
        <w:rPr>
          <w:rFonts w:ascii="Times New Roman" w:hAnsi="Times New Roman" w:cs="Times New Roman"/>
          <w:lang w:val="en-US"/>
        </w:rPr>
        <w:t xml:space="preserve"> face no downgrade (or equally large) regardless of climate- policy choices. Finally, we argue that our results have both practical and policy implications for long-term investors and sovereigns respectively. </w:t>
      </w:r>
    </w:p>
    <w:p w14:paraId="4000F9D7" w14:textId="77777777" w:rsidR="00734F81" w:rsidRDefault="00734F81" w:rsidP="00A4614D">
      <w:pPr>
        <w:jc w:val="both"/>
        <w:rPr>
          <w:rFonts w:ascii="Times New Roman" w:hAnsi="Times New Roman" w:cs="Times New Roman"/>
          <w:lang w:val="en-US"/>
        </w:rPr>
      </w:pPr>
    </w:p>
    <w:p w14:paraId="020B08FB" w14:textId="1CCEAE49" w:rsidR="00070885" w:rsidRDefault="00070885" w:rsidP="00A4614D">
      <w:pPr>
        <w:jc w:val="both"/>
        <w:rPr>
          <w:rFonts w:ascii="Times New Roman" w:hAnsi="Times New Roman" w:cs="Times New Roman"/>
          <w:b/>
          <w:bCs/>
          <w:lang w:val="en-US"/>
        </w:rPr>
      </w:pPr>
      <w:r>
        <w:rPr>
          <w:rFonts w:ascii="Times New Roman" w:hAnsi="Times New Roman" w:cs="Times New Roman"/>
          <w:b/>
          <w:bCs/>
          <w:lang w:val="en-US"/>
        </w:rPr>
        <w:lastRenderedPageBreak/>
        <w:t>References</w:t>
      </w:r>
    </w:p>
    <w:p w14:paraId="7C64B7FD" w14:textId="58F9CBC4" w:rsidR="00070885" w:rsidRPr="00EC6FF1" w:rsidRDefault="00070885" w:rsidP="00A4614D">
      <w:pPr>
        <w:jc w:val="both"/>
        <w:rPr>
          <w:rFonts w:ascii="Times New Roman" w:hAnsi="Times New Roman" w:cs="Times New Roman"/>
          <w:lang w:val="en-US"/>
        </w:rPr>
      </w:pPr>
      <w:r w:rsidRPr="00EC6FF1">
        <w:rPr>
          <w:rFonts w:ascii="Times New Roman" w:hAnsi="Times New Roman" w:cs="Times New Roman"/>
          <w:lang w:val="en-US"/>
        </w:rPr>
        <w:t xml:space="preserve">Almeida, H., Cunha, I., Ferreira, M. A., and Restrepo, F. (2017). The real effects of credit ratings: The sovereign ceiling channel. </w:t>
      </w:r>
      <w:r w:rsidRPr="00EC6FF1">
        <w:rPr>
          <w:rFonts w:ascii="Times New Roman" w:hAnsi="Times New Roman" w:cs="Times New Roman"/>
          <w:i/>
          <w:lang w:val="en-US"/>
        </w:rPr>
        <w:t>The Journal of Finance</w:t>
      </w:r>
      <w:r w:rsidRPr="00EC6FF1">
        <w:rPr>
          <w:rFonts w:ascii="Times New Roman" w:hAnsi="Times New Roman" w:cs="Times New Roman"/>
          <w:lang w:val="en-US"/>
        </w:rPr>
        <w:t>, 72(1):249–290.</w:t>
      </w:r>
    </w:p>
    <w:p w14:paraId="1BDF4B40" w14:textId="77777777" w:rsidR="00070885" w:rsidRDefault="00070885" w:rsidP="00A4614D">
      <w:pPr>
        <w:jc w:val="both"/>
        <w:rPr>
          <w:rFonts w:ascii="Times New Roman" w:hAnsi="Times New Roman" w:cs="Times New Roman"/>
          <w:lang w:val="en-US"/>
        </w:rPr>
      </w:pPr>
      <w:bookmarkStart w:id="1" w:name="_bookmark19"/>
      <w:bookmarkEnd w:id="1"/>
      <w:r w:rsidRPr="00EC6FF1">
        <w:rPr>
          <w:rFonts w:ascii="Times New Roman" w:hAnsi="Times New Roman" w:cs="Times New Roman"/>
          <w:lang w:val="en-US"/>
        </w:rPr>
        <w:t xml:space="preserve">Athey, S. and </w:t>
      </w:r>
      <w:proofErr w:type="spellStart"/>
      <w:r w:rsidRPr="00EC6FF1">
        <w:rPr>
          <w:rFonts w:ascii="Times New Roman" w:hAnsi="Times New Roman" w:cs="Times New Roman"/>
          <w:lang w:val="en-US"/>
        </w:rPr>
        <w:t>Imbens</w:t>
      </w:r>
      <w:proofErr w:type="spellEnd"/>
      <w:r w:rsidRPr="00EC6FF1">
        <w:rPr>
          <w:rFonts w:ascii="Times New Roman" w:hAnsi="Times New Roman" w:cs="Times New Roman"/>
          <w:lang w:val="en-US"/>
        </w:rPr>
        <w:t xml:space="preserve">, G. W. (2019). Machine learning methods that economists should know about. </w:t>
      </w:r>
      <w:r w:rsidRPr="00EC6FF1">
        <w:rPr>
          <w:rFonts w:ascii="Times New Roman" w:hAnsi="Times New Roman" w:cs="Times New Roman"/>
          <w:i/>
          <w:lang w:val="en-US"/>
        </w:rPr>
        <w:t>Annual Review of Economics</w:t>
      </w:r>
      <w:r w:rsidRPr="00EC6FF1">
        <w:rPr>
          <w:rFonts w:ascii="Times New Roman" w:hAnsi="Times New Roman" w:cs="Times New Roman"/>
          <w:lang w:val="en-US"/>
        </w:rPr>
        <w:t>, 11:685–725.</w:t>
      </w:r>
      <w:bookmarkStart w:id="2" w:name="_bookmark20"/>
      <w:bookmarkStart w:id="3" w:name="_bookmark21"/>
      <w:bookmarkEnd w:id="2"/>
      <w:bookmarkEnd w:id="3"/>
    </w:p>
    <w:p w14:paraId="605683F4" w14:textId="77777777" w:rsidR="00070885" w:rsidRPr="00EC6FF1" w:rsidRDefault="00070885" w:rsidP="00A4614D">
      <w:pPr>
        <w:jc w:val="both"/>
        <w:rPr>
          <w:rFonts w:ascii="Times New Roman" w:hAnsi="Times New Roman" w:cs="Times New Roman"/>
          <w:lang w:val="en-US"/>
        </w:rPr>
      </w:pPr>
      <w:bookmarkStart w:id="4" w:name="_bookmark22"/>
      <w:bookmarkEnd w:id="4"/>
      <w:r w:rsidRPr="00EC6FF1">
        <w:rPr>
          <w:rFonts w:ascii="Times New Roman" w:hAnsi="Times New Roman" w:cs="Times New Roman"/>
          <w:lang w:val="en-US"/>
        </w:rPr>
        <w:t xml:space="preserve">Barnett, M., Brock, W., and Hansen, L. P. (2020). Pricing uncertainty </w:t>
      </w:r>
      <w:proofErr w:type="gramStart"/>
      <w:r w:rsidRPr="00EC6FF1">
        <w:rPr>
          <w:rFonts w:ascii="Times New Roman" w:hAnsi="Times New Roman" w:cs="Times New Roman"/>
          <w:lang w:val="en-US"/>
        </w:rPr>
        <w:t>induced</w:t>
      </w:r>
      <w:proofErr w:type="gramEnd"/>
      <w:r w:rsidRPr="00EC6FF1">
        <w:rPr>
          <w:rFonts w:ascii="Times New Roman" w:hAnsi="Times New Roman" w:cs="Times New Roman"/>
          <w:lang w:val="en-US"/>
        </w:rPr>
        <w:t xml:space="preserve"> by climate change. </w:t>
      </w:r>
      <w:r w:rsidRPr="00EC6FF1">
        <w:rPr>
          <w:rFonts w:ascii="Times New Roman" w:hAnsi="Times New Roman" w:cs="Times New Roman"/>
          <w:i/>
          <w:lang w:val="en-US"/>
        </w:rPr>
        <w:t>The Review of Financial Studies</w:t>
      </w:r>
      <w:r w:rsidRPr="00EC6FF1">
        <w:rPr>
          <w:rFonts w:ascii="Times New Roman" w:hAnsi="Times New Roman" w:cs="Times New Roman"/>
          <w:lang w:val="en-US"/>
        </w:rPr>
        <w:t>, 33(3):1024–1066.</w:t>
      </w:r>
    </w:p>
    <w:p w14:paraId="72112033" w14:textId="74DD94F3" w:rsidR="00070885" w:rsidRPr="00EC6FF1" w:rsidRDefault="00070885" w:rsidP="00A4614D">
      <w:pPr>
        <w:jc w:val="both"/>
        <w:rPr>
          <w:rFonts w:ascii="Times New Roman" w:hAnsi="Times New Roman" w:cs="Times New Roman"/>
          <w:lang w:val="en-US"/>
        </w:rPr>
      </w:pPr>
      <w:r w:rsidRPr="00EC6FF1">
        <w:rPr>
          <w:rFonts w:ascii="Times New Roman" w:hAnsi="Times New Roman" w:cs="Times New Roman"/>
          <w:lang w:val="en-US"/>
        </w:rPr>
        <w:t xml:space="preserve">Battiston, S. and </w:t>
      </w:r>
      <w:proofErr w:type="spellStart"/>
      <w:r w:rsidRPr="00EC6FF1">
        <w:rPr>
          <w:rFonts w:ascii="Times New Roman" w:hAnsi="Times New Roman" w:cs="Times New Roman"/>
          <w:lang w:val="en-US"/>
        </w:rPr>
        <w:t>Monasterolo</w:t>
      </w:r>
      <w:proofErr w:type="spellEnd"/>
      <w:r w:rsidRPr="00EC6FF1">
        <w:rPr>
          <w:rFonts w:ascii="Times New Roman" w:hAnsi="Times New Roman" w:cs="Times New Roman"/>
          <w:lang w:val="en-US"/>
        </w:rPr>
        <w:t>, I. (2020). The climate spread of corporate and sovereign bonds.</w:t>
      </w:r>
      <w:r w:rsidR="00780B74">
        <w:rPr>
          <w:rFonts w:ascii="Times New Roman" w:hAnsi="Times New Roman" w:cs="Times New Roman"/>
          <w:lang w:val="en-US"/>
        </w:rPr>
        <w:t xml:space="preserve"> </w:t>
      </w:r>
      <w:r w:rsidR="00780B74" w:rsidRPr="00780B74">
        <w:rPr>
          <w:rFonts w:ascii="Times New Roman" w:hAnsi="Times New Roman" w:cs="Times New Roman"/>
          <w:i/>
          <w:iCs/>
          <w:lang w:val="en-US"/>
        </w:rPr>
        <w:t>Working Paper</w:t>
      </w:r>
      <w:r w:rsidR="00780B74">
        <w:rPr>
          <w:rFonts w:ascii="Times New Roman" w:hAnsi="Times New Roman" w:cs="Times New Roman"/>
          <w:lang w:val="en-US"/>
        </w:rPr>
        <w:t>.</w:t>
      </w:r>
    </w:p>
    <w:p w14:paraId="160D2856" w14:textId="77777777" w:rsidR="00070885" w:rsidRPr="00EC6FF1" w:rsidRDefault="00070885" w:rsidP="00A4614D">
      <w:pPr>
        <w:jc w:val="both"/>
        <w:rPr>
          <w:rFonts w:ascii="Times New Roman" w:hAnsi="Times New Roman" w:cs="Times New Roman"/>
          <w:lang w:val="en-US"/>
        </w:rPr>
      </w:pPr>
      <w:bookmarkStart w:id="5" w:name="_bookmark23"/>
      <w:bookmarkEnd w:id="5"/>
      <w:r w:rsidRPr="00EC6FF1">
        <w:rPr>
          <w:rFonts w:ascii="Times New Roman" w:hAnsi="Times New Roman" w:cs="Times New Roman"/>
          <w:lang w:val="en-US"/>
        </w:rPr>
        <w:t xml:space="preserve">Beirne, J., Renzhi, N., and Volz, U. (2021). Feeling the heat: Climate risks and the cost of sovereign borrowing. </w:t>
      </w:r>
      <w:r w:rsidRPr="00EC6FF1">
        <w:rPr>
          <w:rFonts w:ascii="Times New Roman" w:hAnsi="Times New Roman" w:cs="Times New Roman"/>
          <w:i/>
          <w:lang w:val="en-US"/>
        </w:rPr>
        <w:t>International Review of Economics &amp; Finance</w:t>
      </w:r>
      <w:r w:rsidRPr="00EC6FF1">
        <w:rPr>
          <w:rFonts w:ascii="Times New Roman" w:hAnsi="Times New Roman" w:cs="Times New Roman"/>
          <w:lang w:val="en-US"/>
        </w:rPr>
        <w:t>, 76:920–936.</w:t>
      </w:r>
    </w:p>
    <w:p w14:paraId="2982F005" w14:textId="5B1B2DD0" w:rsidR="000869DE" w:rsidRDefault="000869DE" w:rsidP="00A4614D">
      <w:pPr>
        <w:jc w:val="both"/>
        <w:rPr>
          <w:rFonts w:ascii="Times New Roman" w:hAnsi="Times New Roman" w:cs="Times New Roman"/>
        </w:rPr>
      </w:pPr>
      <w:bookmarkStart w:id="6" w:name="_bookmark24"/>
      <w:bookmarkEnd w:id="6"/>
      <w:r w:rsidRPr="000869DE">
        <w:rPr>
          <w:rFonts w:ascii="Times New Roman" w:hAnsi="Times New Roman" w:cs="Times New Roman"/>
        </w:rPr>
        <w:t xml:space="preserve">Bolton, P., &amp; </w:t>
      </w:r>
      <w:proofErr w:type="spellStart"/>
      <w:r w:rsidRPr="000869DE">
        <w:rPr>
          <w:rFonts w:ascii="Times New Roman" w:hAnsi="Times New Roman" w:cs="Times New Roman"/>
        </w:rPr>
        <w:t>Kacperczyk</w:t>
      </w:r>
      <w:proofErr w:type="spellEnd"/>
      <w:r w:rsidRPr="000869DE">
        <w:rPr>
          <w:rFonts w:ascii="Times New Roman" w:hAnsi="Times New Roman" w:cs="Times New Roman"/>
        </w:rPr>
        <w:t xml:space="preserve">, M. (2021). Do investors care about carbon </w:t>
      </w:r>
      <w:proofErr w:type="gramStart"/>
      <w:r w:rsidRPr="000869DE">
        <w:rPr>
          <w:rFonts w:ascii="Times New Roman" w:hAnsi="Times New Roman" w:cs="Times New Roman"/>
        </w:rPr>
        <w:t>risk?.</w:t>
      </w:r>
      <w:proofErr w:type="gramEnd"/>
      <w:r w:rsidRPr="000869DE">
        <w:rPr>
          <w:rFonts w:ascii="Times New Roman" w:hAnsi="Times New Roman" w:cs="Times New Roman"/>
        </w:rPr>
        <w:t> </w:t>
      </w:r>
      <w:r w:rsidRPr="000869DE">
        <w:rPr>
          <w:rFonts w:ascii="Times New Roman" w:hAnsi="Times New Roman" w:cs="Times New Roman"/>
          <w:i/>
          <w:iCs/>
        </w:rPr>
        <w:t>Journal of</w:t>
      </w:r>
      <w:r w:rsidR="00780B74">
        <w:rPr>
          <w:rFonts w:ascii="Times New Roman" w:hAnsi="Times New Roman" w:cs="Times New Roman"/>
          <w:i/>
          <w:iCs/>
        </w:rPr>
        <w:t xml:space="preserve"> F</w:t>
      </w:r>
      <w:r w:rsidRPr="000869DE">
        <w:rPr>
          <w:rFonts w:ascii="Times New Roman" w:hAnsi="Times New Roman" w:cs="Times New Roman"/>
          <w:i/>
          <w:iCs/>
        </w:rPr>
        <w:t xml:space="preserve">inancial </w:t>
      </w:r>
      <w:r w:rsidR="00780B74">
        <w:rPr>
          <w:rFonts w:ascii="Times New Roman" w:hAnsi="Times New Roman" w:cs="Times New Roman"/>
          <w:i/>
          <w:iCs/>
        </w:rPr>
        <w:t>E</w:t>
      </w:r>
      <w:r w:rsidRPr="000869DE">
        <w:rPr>
          <w:rFonts w:ascii="Times New Roman" w:hAnsi="Times New Roman" w:cs="Times New Roman"/>
          <w:i/>
          <w:iCs/>
        </w:rPr>
        <w:t>conomics</w:t>
      </w:r>
      <w:r w:rsidRPr="000869DE">
        <w:rPr>
          <w:rFonts w:ascii="Times New Roman" w:hAnsi="Times New Roman" w:cs="Times New Roman"/>
        </w:rPr>
        <w:t>, </w:t>
      </w:r>
      <w:r w:rsidRPr="000869DE">
        <w:rPr>
          <w:rFonts w:ascii="Times New Roman" w:hAnsi="Times New Roman" w:cs="Times New Roman"/>
          <w:i/>
          <w:iCs/>
        </w:rPr>
        <w:t>142</w:t>
      </w:r>
      <w:r w:rsidRPr="000869DE">
        <w:rPr>
          <w:rFonts w:ascii="Times New Roman" w:hAnsi="Times New Roman" w:cs="Times New Roman"/>
        </w:rPr>
        <w:t>(2), 517-549.</w:t>
      </w:r>
    </w:p>
    <w:p w14:paraId="1E43CE24" w14:textId="2F820191" w:rsidR="00070885" w:rsidRPr="00EC6FF1" w:rsidRDefault="00070885" w:rsidP="00A4614D">
      <w:pPr>
        <w:jc w:val="both"/>
        <w:rPr>
          <w:rFonts w:ascii="Times New Roman" w:hAnsi="Times New Roman" w:cs="Times New Roman"/>
          <w:lang w:val="en-US"/>
        </w:rPr>
      </w:pPr>
      <w:r w:rsidRPr="00EC6FF1">
        <w:rPr>
          <w:rFonts w:ascii="Times New Roman" w:hAnsi="Times New Roman" w:cs="Times New Roman"/>
          <w:lang w:val="en-US"/>
        </w:rPr>
        <w:t>Carney, M. (2015). Breaking the tragedy of the horizon–climate change and financial stability.</w:t>
      </w:r>
      <w:r>
        <w:rPr>
          <w:rFonts w:ascii="Times New Roman" w:hAnsi="Times New Roman" w:cs="Times New Roman"/>
          <w:lang w:val="en-US"/>
        </w:rPr>
        <w:t xml:space="preserve"> </w:t>
      </w:r>
      <w:r w:rsidRPr="00780B74">
        <w:rPr>
          <w:rFonts w:ascii="Times New Roman" w:hAnsi="Times New Roman" w:cs="Times New Roman"/>
          <w:i/>
          <w:iCs/>
          <w:lang w:val="en-US"/>
        </w:rPr>
        <w:t xml:space="preserve">Speech given at Lloyd’s </w:t>
      </w:r>
      <w:proofErr w:type="gramStart"/>
      <w:r w:rsidRPr="00780B74">
        <w:rPr>
          <w:rFonts w:ascii="Times New Roman" w:hAnsi="Times New Roman" w:cs="Times New Roman"/>
          <w:i/>
          <w:iCs/>
          <w:lang w:val="en-US"/>
        </w:rPr>
        <w:t>of</w:t>
      </w:r>
      <w:proofErr w:type="gramEnd"/>
      <w:r w:rsidRPr="00780B74">
        <w:rPr>
          <w:rFonts w:ascii="Times New Roman" w:hAnsi="Times New Roman" w:cs="Times New Roman"/>
          <w:i/>
          <w:iCs/>
          <w:lang w:val="en-US"/>
        </w:rPr>
        <w:t xml:space="preserve"> London</w:t>
      </w:r>
      <w:r w:rsidRPr="00EC6FF1">
        <w:rPr>
          <w:rFonts w:ascii="Times New Roman" w:hAnsi="Times New Roman" w:cs="Times New Roman"/>
          <w:lang w:val="en-US"/>
        </w:rPr>
        <w:t>. 29, 220–230.</w:t>
      </w:r>
    </w:p>
    <w:p w14:paraId="2A47EE68" w14:textId="77777777" w:rsidR="00070885" w:rsidRPr="00EC6FF1" w:rsidRDefault="00070885" w:rsidP="00A4614D">
      <w:pPr>
        <w:jc w:val="both"/>
        <w:rPr>
          <w:rFonts w:ascii="Times New Roman" w:hAnsi="Times New Roman" w:cs="Times New Roman"/>
          <w:lang w:val="en-US"/>
        </w:rPr>
      </w:pPr>
      <w:r w:rsidRPr="00EC6FF1">
        <w:rPr>
          <w:rFonts w:ascii="Times New Roman" w:hAnsi="Times New Roman" w:cs="Times New Roman"/>
          <w:lang w:val="en-US"/>
        </w:rPr>
        <w:t>Dang, T. H. N., Nguyen, C. P., Lee, G. S., Nguyen, B. Q., and Le</w:t>
      </w:r>
      <w:proofErr w:type="gramStart"/>
      <w:r w:rsidRPr="00EC6FF1">
        <w:rPr>
          <w:rFonts w:ascii="Times New Roman" w:hAnsi="Times New Roman" w:cs="Times New Roman"/>
          <w:lang w:val="en-US"/>
        </w:rPr>
        <w:t>, T.</w:t>
      </w:r>
      <w:proofErr w:type="gramEnd"/>
      <w:r w:rsidRPr="00EC6FF1">
        <w:rPr>
          <w:rFonts w:ascii="Times New Roman" w:hAnsi="Times New Roman" w:cs="Times New Roman"/>
          <w:lang w:val="en-US"/>
        </w:rPr>
        <w:t xml:space="preserve"> T. (2023). Measuring the energy-related uncertainty index. </w:t>
      </w:r>
      <w:r w:rsidRPr="00EC6FF1">
        <w:rPr>
          <w:rFonts w:ascii="Times New Roman" w:hAnsi="Times New Roman" w:cs="Times New Roman"/>
          <w:i/>
          <w:lang w:val="en-US"/>
        </w:rPr>
        <w:t>Energy Economics</w:t>
      </w:r>
      <w:r w:rsidRPr="00EC6FF1">
        <w:rPr>
          <w:rFonts w:ascii="Times New Roman" w:hAnsi="Times New Roman" w:cs="Times New Roman"/>
          <w:lang w:val="en-US"/>
        </w:rPr>
        <w:t>, 124:106817.</w:t>
      </w:r>
    </w:p>
    <w:p w14:paraId="08D2DC97" w14:textId="02B82FF0" w:rsidR="00070885" w:rsidRPr="00EC6FF1" w:rsidRDefault="00070885" w:rsidP="00A4614D">
      <w:pPr>
        <w:jc w:val="both"/>
        <w:rPr>
          <w:rFonts w:ascii="Times New Roman" w:hAnsi="Times New Roman" w:cs="Times New Roman"/>
          <w:lang w:val="en-US"/>
        </w:rPr>
      </w:pPr>
      <w:bookmarkStart w:id="7" w:name="_bookmark26"/>
      <w:bookmarkStart w:id="8" w:name="_bookmark27"/>
      <w:bookmarkEnd w:id="7"/>
      <w:bookmarkEnd w:id="8"/>
      <w:r w:rsidRPr="00EC6FF1">
        <w:rPr>
          <w:rFonts w:ascii="Times New Roman" w:hAnsi="Times New Roman" w:cs="Times New Roman"/>
        </w:rPr>
        <w:t xml:space="preserve">De Angelis, L., </w:t>
      </w:r>
      <w:proofErr w:type="spellStart"/>
      <w:r w:rsidRPr="00EC6FF1">
        <w:rPr>
          <w:rFonts w:ascii="Times New Roman" w:hAnsi="Times New Roman" w:cs="Times New Roman"/>
        </w:rPr>
        <w:t>Monasterolo</w:t>
      </w:r>
      <w:proofErr w:type="spellEnd"/>
      <w:r w:rsidRPr="00EC6FF1">
        <w:rPr>
          <w:rFonts w:ascii="Times New Roman" w:hAnsi="Times New Roman" w:cs="Times New Roman"/>
        </w:rPr>
        <w:t>, I., &amp; Zanin, L. (2024). Look Up and Ahead: How Climate Scenarios Affect European Sovereign Risk. </w:t>
      </w:r>
      <w:r w:rsidR="00780B74">
        <w:rPr>
          <w:rFonts w:ascii="Times New Roman" w:hAnsi="Times New Roman" w:cs="Times New Roman"/>
          <w:i/>
          <w:iCs/>
        </w:rPr>
        <w:t>Working Paper.</w:t>
      </w:r>
    </w:p>
    <w:p w14:paraId="1C6533F8" w14:textId="77777777" w:rsidR="00070885" w:rsidRPr="00EC6FF1" w:rsidRDefault="00070885" w:rsidP="00A4614D">
      <w:pPr>
        <w:jc w:val="both"/>
        <w:rPr>
          <w:rFonts w:ascii="Times New Roman" w:hAnsi="Times New Roman" w:cs="Times New Roman"/>
          <w:lang w:val="en-US"/>
        </w:rPr>
      </w:pPr>
      <w:proofErr w:type="spellStart"/>
      <w:r w:rsidRPr="00EC6FF1">
        <w:rPr>
          <w:rFonts w:ascii="Times New Roman" w:hAnsi="Times New Roman" w:cs="Times New Roman"/>
        </w:rPr>
        <w:t>Dikau</w:t>
      </w:r>
      <w:proofErr w:type="spellEnd"/>
      <w:r w:rsidRPr="00EC6FF1">
        <w:rPr>
          <w:rFonts w:ascii="Times New Roman" w:hAnsi="Times New Roman" w:cs="Times New Roman"/>
        </w:rPr>
        <w:t>, S., &amp; Volz, U. (2021). Central bank mandates, sustainability objectives and the promotion of green finance. </w:t>
      </w:r>
      <w:r w:rsidRPr="00EC6FF1">
        <w:rPr>
          <w:rFonts w:ascii="Times New Roman" w:hAnsi="Times New Roman" w:cs="Times New Roman"/>
          <w:i/>
          <w:iCs/>
        </w:rPr>
        <w:t>Ecological Economics</w:t>
      </w:r>
      <w:r w:rsidRPr="00EC6FF1">
        <w:rPr>
          <w:rFonts w:ascii="Times New Roman" w:hAnsi="Times New Roman" w:cs="Times New Roman"/>
        </w:rPr>
        <w:t>, </w:t>
      </w:r>
      <w:r w:rsidRPr="00EC6FF1">
        <w:rPr>
          <w:rFonts w:ascii="Times New Roman" w:hAnsi="Times New Roman" w:cs="Times New Roman"/>
          <w:i/>
          <w:iCs/>
        </w:rPr>
        <w:t>184</w:t>
      </w:r>
      <w:r w:rsidRPr="00EC6FF1">
        <w:rPr>
          <w:rFonts w:ascii="Times New Roman" w:hAnsi="Times New Roman" w:cs="Times New Roman"/>
        </w:rPr>
        <w:t>, 107022.</w:t>
      </w:r>
    </w:p>
    <w:p w14:paraId="76DB90A6" w14:textId="77777777" w:rsidR="00070885" w:rsidRPr="00EC6FF1" w:rsidRDefault="00070885" w:rsidP="00A4614D">
      <w:pPr>
        <w:jc w:val="both"/>
        <w:rPr>
          <w:rFonts w:ascii="Times New Roman" w:hAnsi="Times New Roman" w:cs="Times New Roman"/>
          <w:lang w:val="en-US"/>
        </w:rPr>
      </w:pPr>
      <w:bookmarkStart w:id="9" w:name="_bookmark28"/>
      <w:bookmarkEnd w:id="9"/>
      <w:r w:rsidRPr="00EC6FF1">
        <w:rPr>
          <w:rFonts w:ascii="Times New Roman" w:hAnsi="Times New Roman" w:cs="Times New Roman"/>
        </w:rPr>
        <w:t>Fisher-Vanden, K., &amp; Weyant, J. (2020). The evolution of integrated assessment: Developing the next generation of use-inspired integrated assessment tools. </w:t>
      </w:r>
      <w:r w:rsidRPr="00EC6FF1">
        <w:rPr>
          <w:rFonts w:ascii="Times New Roman" w:hAnsi="Times New Roman" w:cs="Times New Roman"/>
          <w:i/>
          <w:iCs/>
        </w:rPr>
        <w:t>Annual Review of Resource Economics</w:t>
      </w:r>
      <w:r w:rsidRPr="00EC6FF1">
        <w:rPr>
          <w:rFonts w:ascii="Times New Roman" w:hAnsi="Times New Roman" w:cs="Times New Roman"/>
        </w:rPr>
        <w:t>, </w:t>
      </w:r>
      <w:r w:rsidRPr="00EC6FF1">
        <w:rPr>
          <w:rFonts w:ascii="Times New Roman" w:hAnsi="Times New Roman" w:cs="Times New Roman"/>
          <w:i/>
          <w:iCs/>
        </w:rPr>
        <w:t>12</w:t>
      </w:r>
      <w:r w:rsidRPr="00EC6FF1">
        <w:rPr>
          <w:rFonts w:ascii="Times New Roman" w:hAnsi="Times New Roman" w:cs="Times New Roman"/>
        </w:rPr>
        <w:t>(1), 471-487.</w:t>
      </w:r>
    </w:p>
    <w:p w14:paraId="604933CD" w14:textId="6564F3CD" w:rsidR="00070885" w:rsidRPr="00EC6FF1" w:rsidRDefault="00070885" w:rsidP="00A4614D">
      <w:pPr>
        <w:jc w:val="both"/>
        <w:rPr>
          <w:rFonts w:ascii="Times New Roman" w:hAnsi="Times New Roman" w:cs="Times New Roman"/>
          <w:lang w:val="en-US"/>
        </w:rPr>
      </w:pPr>
      <w:bookmarkStart w:id="10" w:name="_bookmark29"/>
      <w:bookmarkEnd w:id="10"/>
      <w:r w:rsidRPr="00EC6FF1">
        <w:rPr>
          <w:rFonts w:ascii="Times New Roman" w:hAnsi="Times New Roman" w:cs="Times New Roman"/>
          <w:lang w:val="en-US"/>
        </w:rPr>
        <w:t xml:space="preserve">Gavriilidis, K. (2021). Measuring climate policy uncertainty. </w:t>
      </w:r>
      <w:r w:rsidR="00780B74">
        <w:rPr>
          <w:rFonts w:ascii="Times New Roman" w:hAnsi="Times New Roman" w:cs="Times New Roman"/>
          <w:i/>
          <w:lang w:val="en-US"/>
        </w:rPr>
        <w:t>Working Paper</w:t>
      </w:r>
      <w:r w:rsidRPr="00EC6FF1">
        <w:rPr>
          <w:rFonts w:ascii="Times New Roman" w:hAnsi="Times New Roman" w:cs="Times New Roman"/>
          <w:lang w:val="en-US"/>
        </w:rPr>
        <w:t>.</w:t>
      </w:r>
    </w:p>
    <w:p w14:paraId="73553748" w14:textId="77777777" w:rsidR="00070885" w:rsidRPr="00EC6FF1" w:rsidRDefault="00070885" w:rsidP="00A4614D">
      <w:pPr>
        <w:jc w:val="both"/>
        <w:rPr>
          <w:rFonts w:ascii="Times New Roman" w:hAnsi="Times New Roman" w:cs="Times New Roman"/>
          <w:lang w:val="en-US"/>
        </w:rPr>
      </w:pPr>
      <w:bookmarkStart w:id="11" w:name="_bookmark30"/>
      <w:bookmarkEnd w:id="11"/>
      <w:proofErr w:type="spellStart"/>
      <w:r w:rsidRPr="00EC6FF1">
        <w:rPr>
          <w:rFonts w:ascii="Times New Roman" w:hAnsi="Times New Roman" w:cs="Times New Roman"/>
          <w:lang w:val="en-US"/>
        </w:rPr>
        <w:t>Ghoddusi</w:t>
      </w:r>
      <w:proofErr w:type="spellEnd"/>
      <w:r w:rsidRPr="00EC6FF1">
        <w:rPr>
          <w:rFonts w:ascii="Times New Roman" w:hAnsi="Times New Roman" w:cs="Times New Roman"/>
          <w:lang w:val="en-US"/>
        </w:rPr>
        <w:t xml:space="preserve">, H., Creamer, G. G., and Rafizadeh, N. (2019). Machine learning in energy economics and finance: A review. </w:t>
      </w:r>
      <w:r w:rsidRPr="00EC6FF1">
        <w:rPr>
          <w:rFonts w:ascii="Times New Roman" w:hAnsi="Times New Roman" w:cs="Times New Roman"/>
          <w:i/>
          <w:lang w:val="en-US"/>
        </w:rPr>
        <w:t>Energy Economics</w:t>
      </w:r>
      <w:r w:rsidRPr="00EC6FF1">
        <w:rPr>
          <w:rFonts w:ascii="Times New Roman" w:hAnsi="Times New Roman" w:cs="Times New Roman"/>
          <w:lang w:val="en-US"/>
        </w:rPr>
        <w:t>, 81:709–727.</w:t>
      </w:r>
    </w:p>
    <w:p w14:paraId="2736B001" w14:textId="77777777" w:rsidR="00070885" w:rsidRPr="00EC6FF1" w:rsidRDefault="00070885" w:rsidP="00A4614D">
      <w:pPr>
        <w:jc w:val="both"/>
        <w:rPr>
          <w:rFonts w:ascii="Times New Roman" w:hAnsi="Times New Roman" w:cs="Times New Roman"/>
          <w:lang w:val="en-US"/>
        </w:rPr>
      </w:pPr>
      <w:r w:rsidRPr="00EC6FF1">
        <w:rPr>
          <w:rFonts w:ascii="Times New Roman" w:hAnsi="Times New Roman" w:cs="Times New Roman"/>
          <w:lang w:val="en-US"/>
        </w:rPr>
        <w:t xml:space="preserve">Goldsmith-Pinkham, P., Gustafson, M. T., Lewis, R. C., and Schwert, M. (2023). Sea-level rise exposure and municipal bond yields. </w:t>
      </w:r>
      <w:r w:rsidRPr="00EC6FF1">
        <w:rPr>
          <w:rFonts w:ascii="Times New Roman" w:hAnsi="Times New Roman" w:cs="Times New Roman"/>
          <w:i/>
          <w:lang w:val="en-US"/>
        </w:rPr>
        <w:t>The Review of Financial Studies</w:t>
      </w:r>
      <w:r w:rsidRPr="00EC6FF1">
        <w:rPr>
          <w:rFonts w:ascii="Times New Roman" w:hAnsi="Times New Roman" w:cs="Times New Roman"/>
          <w:lang w:val="en-US"/>
        </w:rPr>
        <w:t>, 36(11):4588–4635.</w:t>
      </w:r>
    </w:p>
    <w:p w14:paraId="780AF119" w14:textId="77777777" w:rsidR="00070885" w:rsidRDefault="00070885" w:rsidP="000D3507">
      <w:pPr>
        <w:jc w:val="both"/>
        <w:rPr>
          <w:rFonts w:ascii="Times New Roman" w:hAnsi="Times New Roman" w:cs="Times New Roman"/>
          <w:lang w:val="en-US"/>
        </w:rPr>
      </w:pPr>
      <w:r w:rsidRPr="00EC6FF1">
        <w:rPr>
          <w:rFonts w:ascii="Times New Roman" w:hAnsi="Times New Roman" w:cs="Times New Roman"/>
          <w:lang w:val="en-US"/>
        </w:rPr>
        <w:t xml:space="preserve">Ilhan, E., Krueger, P., Sautner, Z., and Starks, L. T. (2023). Climate risk disclosure and institutional investors. </w:t>
      </w:r>
      <w:r w:rsidRPr="00EC6FF1">
        <w:rPr>
          <w:rFonts w:ascii="Times New Roman" w:hAnsi="Times New Roman" w:cs="Times New Roman"/>
          <w:i/>
          <w:lang w:val="en-US"/>
        </w:rPr>
        <w:t>The Review of Financial Studies</w:t>
      </w:r>
      <w:r w:rsidRPr="00EC6FF1">
        <w:rPr>
          <w:rFonts w:ascii="Times New Roman" w:hAnsi="Times New Roman" w:cs="Times New Roman"/>
          <w:lang w:val="en-US"/>
        </w:rPr>
        <w:t>, 36(7):2617–2650.</w:t>
      </w:r>
      <w:bookmarkStart w:id="12" w:name="_bookmark31"/>
      <w:bookmarkStart w:id="13" w:name="_bookmark32"/>
      <w:bookmarkEnd w:id="12"/>
      <w:bookmarkEnd w:id="13"/>
    </w:p>
    <w:p w14:paraId="5201F212" w14:textId="23710C28" w:rsidR="00285D89" w:rsidRDefault="00285D89" w:rsidP="000D3507">
      <w:pPr>
        <w:jc w:val="both"/>
        <w:rPr>
          <w:rFonts w:ascii="Times New Roman" w:hAnsi="Times New Roman" w:cs="Times New Roman"/>
          <w:lang w:val="en-US"/>
        </w:rPr>
      </w:pPr>
      <w:r w:rsidRPr="00285D89">
        <w:rPr>
          <w:rFonts w:ascii="Times New Roman" w:hAnsi="Times New Roman" w:cs="Times New Roman"/>
          <w:lang w:val="en-US"/>
        </w:rPr>
        <w:t xml:space="preserve">Kahn, M. E., </w:t>
      </w:r>
      <w:proofErr w:type="spellStart"/>
      <w:r w:rsidRPr="00285D89">
        <w:rPr>
          <w:rFonts w:ascii="Times New Roman" w:hAnsi="Times New Roman" w:cs="Times New Roman"/>
          <w:lang w:val="en-US"/>
        </w:rPr>
        <w:t>Mohaddes</w:t>
      </w:r>
      <w:proofErr w:type="spellEnd"/>
      <w:r w:rsidRPr="00285D89">
        <w:rPr>
          <w:rFonts w:ascii="Times New Roman" w:hAnsi="Times New Roman" w:cs="Times New Roman"/>
          <w:lang w:val="en-US"/>
        </w:rPr>
        <w:t xml:space="preserve">, K., Ng, R. N., </w:t>
      </w:r>
      <w:proofErr w:type="spellStart"/>
      <w:r w:rsidRPr="00285D89">
        <w:rPr>
          <w:rFonts w:ascii="Times New Roman" w:hAnsi="Times New Roman" w:cs="Times New Roman"/>
          <w:lang w:val="en-US"/>
        </w:rPr>
        <w:t>Pesaran</w:t>
      </w:r>
      <w:proofErr w:type="spellEnd"/>
      <w:r w:rsidRPr="00285D89">
        <w:rPr>
          <w:rFonts w:ascii="Times New Roman" w:hAnsi="Times New Roman" w:cs="Times New Roman"/>
          <w:lang w:val="en-US"/>
        </w:rPr>
        <w:t xml:space="preserve">, M. H., </w:t>
      </w:r>
      <w:proofErr w:type="spellStart"/>
      <w:r w:rsidRPr="00285D89">
        <w:rPr>
          <w:rFonts w:ascii="Times New Roman" w:hAnsi="Times New Roman" w:cs="Times New Roman"/>
          <w:lang w:val="en-US"/>
        </w:rPr>
        <w:t>Raissi</w:t>
      </w:r>
      <w:proofErr w:type="spellEnd"/>
      <w:r w:rsidRPr="00285D89">
        <w:rPr>
          <w:rFonts w:ascii="Times New Roman" w:hAnsi="Times New Roman" w:cs="Times New Roman"/>
          <w:lang w:val="en-US"/>
        </w:rPr>
        <w:t xml:space="preserve">, M., &amp; Yang, J. C. (2021). Long-term macroeconomic effects of climate change: A cross-country analysis. </w:t>
      </w:r>
      <w:r w:rsidRPr="00AA3EA1">
        <w:rPr>
          <w:rFonts w:ascii="Times New Roman" w:hAnsi="Times New Roman" w:cs="Times New Roman"/>
          <w:i/>
          <w:iCs/>
          <w:lang w:val="en-US"/>
        </w:rPr>
        <w:t>Energy Economics</w:t>
      </w:r>
      <w:r w:rsidRPr="00285D89">
        <w:rPr>
          <w:rFonts w:ascii="Times New Roman" w:hAnsi="Times New Roman" w:cs="Times New Roman"/>
          <w:lang w:val="en-US"/>
        </w:rPr>
        <w:t>, 104, 105624.</w:t>
      </w:r>
    </w:p>
    <w:p w14:paraId="56D04B02" w14:textId="77777777" w:rsidR="00070885" w:rsidRDefault="00070885" w:rsidP="00A4614D">
      <w:pPr>
        <w:jc w:val="both"/>
        <w:rPr>
          <w:rFonts w:ascii="Times New Roman" w:hAnsi="Times New Roman" w:cs="Times New Roman"/>
          <w:lang w:val="en-US"/>
        </w:rPr>
      </w:pPr>
      <w:bookmarkStart w:id="14" w:name="_bookmark33"/>
      <w:bookmarkEnd w:id="14"/>
      <w:r w:rsidRPr="00EC6FF1">
        <w:rPr>
          <w:rFonts w:ascii="Times New Roman" w:hAnsi="Times New Roman" w:cs="Times New Roman"/>
          <w:lang w:val="en-US"/>
        </w:rPr>
        <w:lastRenderedPageBreak/>
        <w:t xml:space="preserve">Klusak, P., Agarwala, M., Burke, M., Kraemer, M., and </w:t>
      </w:r>
      <w:proofErr w:type="spellStart"/>
      <w:r w:rsidRPr="00EC6FF1">
        <w:rPr>
          <w:rFonts w:ascii="Times New Roman" w:hAnsi="Times New Roman" w:cs="Times New Roman"/>
          <w:lang w:val="en-US"/>
        </w:rPr>
        <w:t>Mohaddes</w:t>
      </w:r>
      <w:proofErr w:type="spellEnd"/>
      <w:r w:rsidRPr="00EC6FF1">
        <w:rPr>
          <w:rFonts w:ascii="Times New Roman" w:hAnsi="Times New Roman" w:cs="Times New Roman"/>
          <w:lang w:val="en-US"/>
        </w:rPr>
        <w:t xml:space="preserve">, K. (2023). Rising tempera- </w:t>
      </w:r>
      <w:proofErr w:type="spellStart"/>
      <w:r w:rsidRPr="00EC6FF1">
        <w:rPr>
          <w:rFonts w:ascii="Times New Roman" w:hAnsi="Times New Roman" w:cs="Times New Roman"/>
          <w:lang w:val="en-US"/>
        </w:rPr>
        <w:t>tures</w:t>
      </w:r>
      <w:proofErr w:type="spellEnd"/>
      <w:r w:rsidRPr="00EC6FF1">
        <w:rPr>
          <w:rFonts w:ascii="Times New Roman" w:hAnsi="Times New Roman" w:cs="Times New Roman"/>
          <w:lang w:val="en-US"/>
        </w:rPr>
        <w:t xml:space="preserve">, falling ratings: The effect of climate change on sovereign creditworthiness. </w:t>
      </w:r>
      <w:r w:rsidRPr="00EC6FF1">
        <w:rPr>
          <w:rFonts w:ascii="Times New Roman" w:hAnsi="Times New Roman" w:cs="Times New Roman"/>
          <w:i/>
          <w:lang w:val="en-US"/>
        </w:rPr>
        <w:t>Management Science</w:t>
      </w:r>
      <w:r w:rsidRPr="00EC6FF1">
        <w:rPr>
          <w:rFonts w:ascii="Times New Roman" w:hAnsi="Times New Roman" w:cs="Times New Roman"/>
          <w:lang w:val="en-US"/>
        </w:rPr>
        <w:t>, 69(12):7468–7491.</w:t>
      </w:r>
    </w:p>
    <w:p w14:paraId="69599EFD" w14:textId="39CF5296" w:rsidR="00566C7A" w:rsidRPr="00EC6FF1" w:rsidRDefault="00566C7A" w:rsidP="00A4614D">
      <w:pPr>
        <w:jc w:val="both"/>
        <w:rPr>
          <w:rFonts w:ascii="Times New Roman" w:hAnsi="Times New Roman" w:cs="Times New Roman"/>
          <w:lang w:val="en-US"/>
        </w:rPr>
      </w:pPr>
      <w:r w:rsidRPr="00566C7A">
        <w:rPr>
          <w:rFonts w:ascii="Times New Roman" w:hAnsi="Times New Roman" w:cs="Times New Roman"/>
        </w:rPr>
        <w:t>Kotz, M., Levermann, A., &amp; Wenz, L. (2024). The economic commitment of climate change. </w:t>
      </w:r>
      <w:r w:rsidRPr="00566C7A">
        <w:rPr>
          <w:rFonts w:ascii="Times New Roman" w:hAnsi="Times New Roman" w:cs="Times New Roman"/>
          <w:i/>
          <w:iCs/>
        </w:rPr>
        <w:t>Nature</w:t>
      </w:r>
      <w:r w:rsidRPr="00566C7A">
        <w:rPr>
          <w:rFonts w:ascii="Times New Roman" w:hAnsi="Times New Roman" w:cs="Times New Roman"/>
        </w:rPr>
        <w:t>, </w:t>
      </w:r>
      <w:r w:rsidRPr="00566C7A">
        <w:rPr>
          <w:rFonts w:ascii="Times New Roman" w:hAnsi="Times New Roman" w:cs="Times New Roman"/>
          <w:i/>
          <w:iCs/>
        </w:rPr>
        <w:t>628</w:t>
      </w:r>
      <w:r w:rsidRPr="00566C7A">
        <w:rPr>
          <w:rFonts w:ascii="Times New Roman" w:hAnsi="Times New Roman" w:cs="Times New Roman"/>
        </w:rPr>
        <w:t>(8008), 551-557.</w:t>
      </w:r>
    </w:p>
    <w:p w14:paraId="4C820ECA" w14:textId="77777777" w:rsidR="00070885" w:rsidRPr="00EC6FF1" w:rsidRDefault="00070885" w:rsidP="00A4614D">
      <w:pPr>
        <w:jc w:val="both"/>
        <w:rPr>
          <w:rFonts w:ascii="Times New Roman" w:hAnsi="Times New Roman" w:cs="Times New Roman"/>
          <w:lang w:val="en-US"/>
        </w:rPr>
      </w:pPr>
      <w:bookmarkStart w:id="15" w:name="_bookmark34"/>
      <w:bookmarkEnd w:id="15"/>
      <w:proofErr w:type="spellStart"/>
      <w:r w:rsidRPr="00EC6FF1">
        <w:rPr>
          <w:rFonts w:ascii="Times New Roman" w:hAnsi="Times New Roman" w:cs="Times New Roman"/>
          <w:lang w:val="en-US"/>
        </w:rPr>
        <w:t>Monasterolo</w:t>
      </w:r>
      <w:proofErr w:type="spellEnd"/>
      <w:r w:rsidRPr="00EC6FF1">
        <w:rPr>
          <w:rFonts w:ascii="Times New Roman" w:hAnsi="Times New Roman" w:cs="Times New Roman"/>
          <w:lang w:val="en-US"/>
        </w:rPr>
        <w:t xml:space="preserve">, I. (2020). Climate change and the financial system. </w:t>
      </w:r>
      <w:r w:rsidRPr="00EC6FF1">
        <w:rPr>
          <w:rFonts w:ascii="Times New Roman" w:hAnsi="Times New Roman" w:cs="Times New Roman"/>
          <w:i/>
          <w:lang w:val="en-US"/>
        </w:rPr>
        <w:t>Annual Review of Resource Economics</w:t>
      </w:r>
      <w:r w:rsidRPr="00EC6FF1">
        <w:rPr>
          <w:rFonts w:ascii="Times New Roman" w:hAnsi="Times New Roman" w:cs="Times New Roman"/>
          <w:lang w:val="en-US"/>
        </w:rPr>
        <w:t>, 12:299–320.</w:t>
      </w:r>
    </w:p>
    <w:p w14:paraId="347E415C" w14:textId="77777777" w:rsidR="00070885" w:rsidRPr="00EC6FF1" w:rsidRDefault="00070885" w:rsidP="00A4614D">
      <w:pPr>
        <w:jc w:val="both"/>
        <w:rPr>
          <w:rFonts w:ascii="Times New Roman" w:hAnsi="Times New Roman" w:cs="Times New Roman"/>
          <w:lang w:val="en-US"/>
        </w:rPr>
      </w:pPr>
      <w:bookmarkStart w:id="16" w:name="_bookmark35"/>
      <w:bookmarkEnd w:id="16"/>
      <w:proofErr w:type="spellStart"/>
      <w:r w:rsidRPr="00EC6FF1">
        <w:rPr>
          <w:rFonts w:ascii="Times New Roman" w:hAnsi="Times New Roman" w:cs="Times New Roman"/>
          <w:lang w:val="en-US"/>
        </w:rPr>
        <w:t>Monasterolo</w:t>
      </w:r>
      <w:proofErr w:type="spellEnd"/>
      <w:r w:rsidRPr="00EC6FF1">
        <w:rPr>
          <w:rFonts w:ascii="Times New Roman" w:hAnsi="Times New Roman" w:cs="Times New Roman"/>
          <w:lang w:val="en-US"/>
        </w:rPr>
        <w:t xml:space="preserve">, I. and De Angelis, L. (2020). Blind to carbon risk? An analysis of stock market reaction to the Paris Agreement. </w:t>
      </w:r>
      <w:r w:rsidRPr="00EC6FF1">
        <w:rPr>
          <w:rFonts w:ascii="Times New Roman" w:hAnsi="Times New Roman" w:cs="Times New Roman"/>
          <w:i/>
          <w:lang w:val="en-US"/>
        </w:rPr>
        <w:t>Ecological Economics</w:t>
      </w:r>
      <w:r w:rsidRPr="00EC6FF1">
        <w:rPr>
          <w:rFonts w:ascii="Times New Roman" w:hAnsi="Times New Roman" w:cs="Times New Roman"/>
          <w:lang w:val="en-US"/>
        </w:rPr>
        <w:t>, 170:106571.</w:t>
      </w:r>
    </w:p>
    <w:p w14:paraId="554D6DEA" w14:textId="2599BF39" w:rsidR="00070885" w:rsidRPr="00EC6FF1" w:rsidRDefault="00070885" w:rsidP="00801A18">
      <w:pPr>
        <w:jc w:val="both"/>
        <w:rPr>
          <w:rFonts w:ascii="Times New Roman" w:hAnsi="Times New Roman" w:cs="Times New Roman"/>
          <w:lang w:val="en-US"/>
        </w:rPr>
      </w:pPr>
      <w:bookmarkStart w:id="17" w:name="_bookmark36"/>
      <w:bookmarkEnd w:id="17"/>
      <w:proofErr w:type="spellStart"/>
      <w:r w:rsidRPr="00EC6FF1">
        <w:rPr>
          <w:rFonts w:ascii="Times New Roman" w:hAnsi="Times New Roman" w:cs="Times New Roman"/>
          <w:lang w:val="en-US"/>
        </w:rPr>
        <w:t>P</w:t>
      </w:r>
      <w:r w:rsidR="00B05A59">
        <w:rPr>
          <w:rFonts w:ascii="Times New Roman" w:hAnsi="Times New Roman" w:cs="Times New Roman"/>
          <w:lang w:val="en-US"/>
        </w:rPr>
        <w:t>á</w:t>
      </w:r>
      <w:r w:rsidRPr="00EC6FF1">
        <w:rPr>
          <w:rFonts w:ascii="Times New Roman" w:hAnsi="Times New Roman" w:cs="Times New Roman"/>
          <w:lang w:val="en-US"/>
        </w:rPr>
        <w:t>stor</w:t>
      </w:r>
      <w:proofErr w:type="spellEnd"/>
      <w:r w:rsidRPr="00EC6FF1">
        <w:rPr>
          <w:rFonts w:ascii="Times New Roman" w:hAnsi="Times New Roman" w:cs="Times New Roman"/>
          <w:lang w:val="en-US"/>
        </w:rPr>
        <w:t xml:space="preserve">, C., Stambaugh, R. F., and Taylor, L. A. (2022). Dissecting green returns. </w:t>
      </w:r>
      <w:r w:rsidRPr="00EC6FF1">
        <w:rPr>
          <w:rFonts w:ascii="Times New Roman" w:hAnsi="Times New Roman" w:cs="Times New Roman"/>
          <w:i/>
          <w:lang w:val="en-US"/>
        </w:rPr>
        <w:t>Journal of Financial Economics</w:t>
      </w:r>
      <w:r w:rsidRPr="00EC6FF1">
        <w:rPr>
          <w:rFonts w:ascii="Times New Roman" w:hAnsi="Times New Roman" w:cs="Times New Roman"/>
          <w:lang w:val="en-US"/>
        </w:rPr>
        <w:t>, 146(2):403–424.</w:t>
      </w:r>
    </w:p>
    <w:p w14:paraId="102FFB03" w14:textId="0F4C8C95" w:rsidR="00070885" w:rsidRPr="00EC6FF1" w:rsidRDefault="00070885" w:rsidP="00A4614D">
      <w:pPr>
        <w:jc w:val="both"/>
        <w:rPr>
          <w:rFonts w:ascii="Times New Roman" w:hAnsi="Times New Roman" w:cs="Times New Roman"/>
          <w:lang w:val="en-US"/>
        </w:rPr>
      </w:pPr>
      <w:bookmarkStart w:id="18" w:name="_bookmark38"/>
      <w:bookmarkStart w:id="19" w:name="_bookmark39"/>
      <w:bookmarkEnd w:id="18"/>
      <w:bookmarkEnd w:id="19"/>
      <w:r w:rsidRPr="00EC6FF1">
        <w:rPr>
          <w:rFonts w:ascii="Times New Roman" w:hAnsi="Times New Roman" w:cs="Times New Roman"/>
          <w:lang w:val="en-US"/>
        </w:rPr>
        <w:t>Stroebel, J. and Wurgler, J. (2021). What do you think about climate finance?</w:t>
      </w:r>
      <w:r w:rsidR="00801A18">
        <w:rPr>
          <w:rFonts w:ascii="Times New Roman" w:hAnsi="Times New Roman" w:cs="Times New Roman"/>
          <w:lang w:val="en-US"/>
        </w:rPr>
        <w:t xml:space="preserve"> </w:t>
      </w:r>
      <w:r w:rsidRPr="00EC6FF1">
        <w:rPr>
          <w:rFonts w:ascii="Times New Roman" w:hAnsi="Times New Roman" w:cs="Times New Roman"/>
          <w:i/>
          <w:lang w:val="en-US"/>
        </w:rPr>
        <w:t>Journal of Financial Economics</w:t>
      </w:r>
      <w:r w:rsidRPr="00EC6FF1">
        <w:rPr>
          <w:rFonts w:ascii="Times New Roman" w:hAnsi="Times New Roman" w:cs="Times New Roman"/>
          <w:lang w:val="en-US"/>
        </w:rPr>
        <w:t>, 142(2):487–498.</w:t>
      </w:r>
    </w:p>
    <w:p w14:paraId="1BBD6D9F" w14:textId="77777777" w:rsidR="00070885" w:rsidRDefault="00070885" w:rsidP="00A4614D">
      <w:pPr>
        <w:jc w:val="both"/>
        <w:rPr>
          <w:rFonts w:ascii="Times New Roman" w:hAnsi="Times New Roman" w:cs="Times New Roman"/>
          <w:lang w:val="en-US"/>
        </w:rPr>
      </w:pPr>
      <w:bookmarkStart w:id="20" w:name="_bookmark40"/>
      <w:bookmarkEnd w:id="20"/>
      <w:r w:rsidRPr="00EC6FF1">
        <w:rPr>
          <w:rFonts w:ascii="Times New Roman" w:hAnsi="Times New Roman" w:cs="Times New Roman"/>
          <w:lang w:val="en-US"/>
        </w:rPr>
        <w:t xml:space="preserve">Teixeira, J. C., Silva, F. J., Ferreira, M. B., and Vieira, J. A. (2018). Sovereign credit rating determinants under financial crises. </w:t>
      </w:r>
      <w:r w:rsidRPr="00EC6FF1">
        <w:rPr>
          <w:rFonts w:ascii="Times New Roman" w:hAnsi="Times New Roman" w:cs="Times New Roman"/>
          <w:i/>
          <w:lang w:val="en-US"/>
        </w:rPr>
        <w:t>Global Finance Journal</w:t>
      </w:r>
      <w:r w:rsidRPr="00EC6FF1">
        <w:rPr>
          <w:rFonts w:ascii="Times New Roman" w:hAnsi="Times New Roman" w:cs="Times New Roman"/>
          <w:lang w:val="en-US"/>
        </w:rPr>
        <w:t>, 36:1–13.</w:t>
      </w:r>
    </w:p>
    <w:p w14:paraId="71581D5C" w14:textId="7ADF4F45" w:rsidR="0042795B" w:rsidRPr="00EC6FF1" w:rsidRDefault="0042795B" w:rsidP="00A4614D">
      <w:pPr>
        <w:jc w:val="both"/>
        <w:rPr>
          <w:rFonts w:ascii="Times New Roman" w:hAnsi="Times New Roman" w:cs="Times New Roman"/>
          <w:lang w:val="en-US"/>
        </w:rPr>
      </w:pPr>
      <w:r w:rsidRPr="0042795B">
        <w:rPr>
          <w:rFonts w:ascii="Times New Roman" w:hAnsi="Times New Roman" w:cs="Times New Roman"/>
        </w:rPr>
        <w:t>Tol, R. S. (2023). The fiscal implications of stringent climate policy. </w:t>
      </w:r>
      <w:r w:rsidRPr="0042795B">
        <w:rPr>
          <w:rFonts w:ascii="Times New Roman" w:hAnsi="Times New Roman" w:cs="Times New Roman"/>
          <w:i/>
          <w:iCs/>
        </w:rPr>
        <w:t>Economic Analysis and Policy</w:t>
      </w:r>
      <w:r w:rsidRPr="0042795B">
        <w:rPr>
          <w:rFonts w:ascii="Times New Roman" w:hAnsi="Times New Roman" w:cs="Times New Roman"/>
        </w:rPr>
        <w:t>, </w:t>
      </w:r>
      <w:r w:rsidRPr="0042795B">
        <w:rPr>
          <w:rFonts w:ascii="Times New Roman" w:hAnsi="Times New Roman" w:cs="Times New Roman"/>
          <w:i/>
          <w:iCs/>
        </w:rPr>
        <w:t>80</w:t>
      </w:r>
      <w:r w:rsidRPr="0042795B">
        <w:rPr>
          <w:rFonts w:ascii="Times New Roman" w:hAnsi="Times New Roman" w:cs="Times New Roman"/>
        </w:rPr>
        <w:t>, 495-504.</w:t>
      </w:r>
    </w:p>
    <w:p w14:paraId="4D2323D5" w14:textId="77777777" w:rsidR="00070885" w:rsidRPr="0082722B" w:rsidRDefault="00070885" w:rsidP="000D3507">
      <w:pPr>
        <w:jc w:val="both"/>
        <w:rPr>
          <w:rFonts w:ascii="Times New Roman" w:hAnsi="Times New Roman" w:cs="Times New Roman"/>
          <w:lang w:val="en-US"/>
        </w:rPr>
      </w:pPr>
      <w:bookmarkStart w:id="21" w:name="_bookmark41"/>
      <w:bookmarkEnd w:id="21"/>
      <w:r w:rsidRPr="00EC6FF1">
        <w:rPr>
          <w:rFonts w:ascii="Times New Roman" w:hAnsi="Times New Roman" w:cs="Times New Roman"/>
        </w:rPr>
        <w:t>Tol, R. S. (2024). A meta-analysis of the total economic impact of climate change. </w:t>
      </w:r>
      <w:r w:rsidRPr="00EC6FF1">
        <w:rPr>
          <w:rFonts w:ascii="Times New Roman" w:hAnsi="Times New Roman" w:cs="Times New Roman"/>
          <w:i/>
          <w:iCs/>
        </w:rPr>
        <w:t>Energy Policy</w:t>
      </w:r>
      <w:r w:rsidRPr="00EC6FF1">
        <w:rPr>
          <w:rFonts w:ascii="Times New Roman" w:hAnsi="Times New Roman" w:cs="Times New Roman"/>
        </w:rPr>
        <w:t>, </w:t>
      </w:r>
      <w:r w:rsidRPr="00EC6FF1">
        <w:rPr>
          <w:rFonts w:ascii="Times New Roman" w:hAnsi="Times New Roman" w:cs="Times New Roman"/>
          <w:i/>
          <w:iCs/>
        </w:rPr>
        <w:t>185</w:t>
      </w:r>
      <w:r w:rsidRPr="00EC6FF1">
        <w:rPr>
          <w:rFonts w:ascii="Times New Roman" w:hAnsi="Times New Roman" w:cs="Times New Roman"/>
        </w:rPr>
        <w:t>, 113922.</w:t>
      </w:r>
    </w:p>
    <w:p w14:paraId="40ECC085" w14:textId="0F03845C" w:rsidR="00070885" w:rsidRPr="00EC6FF1" w:rsidRDefault="00070885" w:rsidP="00801A18">
      <w:pPr>
        <w:jc w:val="both"/>
        <w:rPr>
          <w:rFonts w:ascii="Times New Roman" w:hAnsi="Times New Roman" w:cs="Times New Roman"/>
          <w:lang w:val="en-US"/>
        </w:rPr>
      </w:pPr>
      <w:bookmarkStart w:id="22" w:name="_bookmark42"/>
      <w:bookmarkEnd w:id="22"/>
      <w:r w:rsidRPr="00EC6FF1">
        <w:rPr>
          <w:rFonts w:ascii="Times New Roman" w:hAnsi="Times New Roman" w:cs="Times New Roman"/>
          <w:lang w:val="en-US"/>
        </w:rPr>
        <w:t xml:space="preserve">Tran, Y., Vu, H., Klusak, P., Kraemer, M., and Hoang, T. (2021). Sovereign credit ratings during the Covid-19 pandemic. </w:t>
      </w:r>
      <w:r w:rsidRPr="00EC6FF1">
        <w:rPr>
          <w:rFonts w:ascii="Times New Roman" w:hAnsi="Times New Roman" w:cs="Times New Roman"/>
          <w:i/>
          <w:lang w:val="en-US"/>
        </w:rPr>
        <w:t>International Review of Financial Analysis</w:t>
      </w:r>
      <w:r w:rsidRPr="00EC6FF1">
        <w:rPr>
          <w:rFonts w:ascii="Times New Roman" w:hAnsi="Times New Roman" w:cs="Times New Roman"/>
          <w:lang w:val="en-US"/>
        </w:rPr>
        <w:t>, 78:101879.</w:t>
      </w:r>
    </w:p>
    <w:p w14:paraId="55A28E86" w14:textId="77777777" w:rsidR="00070885" w:rsidRPr="00EC6FF1" w:rsidRDefault="00070885" w:rsidP="00A4614D">
      <w:pPr>
        <w:jc w:val="both"/>
        <w:rPr>
          <w:rFonts w:ascii="Times New Roman" w:hAnsi="Times New Roman" w:cs="Times New Roman"/>
          <w:lang w:val="en-US"/>
        </w:rPr>
      </w:pPr>
      <w:bookmarkStart w:id="23" w:name="_bookmark43"/>
      <w:bookmarkEnd w:id="23"/>
      <w:r w:rsidRPr="00EC6FF1">
        <w:rPr>
          <w:rFonts w:ascii="Times New Roman" w:hAnsi="Times New Roman" w:cs="Times New Roman"/>
          <w:lang w:val="en-US"/>
        </w:rPr>
        <w:t xml:space="preserve">Zhou, F., </w:t>
      </w:r>
      <w:proofErr w:type="spellStart"/>
      <w:r w:rsidRPr="00EC6FF1">
        <w:rPr>
          <w:rFonts w:ascii="Times New Roman" w:hAnsi="Times New Roman" w:cs="Times New Roman"/>
          <w:lang w:val="en-US"/>
        </w:rPr>
        <w:t>Endendijk</w:t>
      </w:r>
      <w:proofErr w:type="spellEnd"/>
      <w:r w:rsidRPr="00EC6FF1">
        <w:rPr>
          <w:rFonts w:ascii="Times New Roman" w:hAnsi="Times New Roman" w:cs="Times New Roman"/>
          <w:lang w:val="en-US"/>
        </w:rPr>
        <w:t xml:space="preserve">, T., and </w:t>
      </w:r>
      <w:proofErr w:type="spellStart"/>
      <w:r w:rsidRPr="00EC6FF1">
        <w:rPr>
          <w:rFonts w:ascii="Times New Roman" w:hAnsi="Times New Roman" w:cs="Times New Roman"/>
          <w:lang w:val="en-US"/>
        </w:rPr>
        <w:t>Botzen</w:t>
      </w:r>
      <w:proofErr w:type="spellEnd"/>
      <w:r w:rsidRPr="00EC6FF1">
        <w:rPr>
          <w:rFonts w:ascii="Times New Roman" w:hAnsi="Times New Roman" w:cs="Times New Roman"/>
          <w:lang w:val="en-US"/>
        </w:rPr>
        <w:t xml:space="preserve">, W. W. (2023). A review of the financial sector impacts of risks associated with climate change. </w:t>
      </w:r>
      <w:r w:rsidRPr="00EC6FF1">
        <w:rPr>
          <w:rFonts w:ascii="Times New Roman" w:hAnsi="Times New Roman" w:cs="Times New Roman"/>
          <w:i/>
          <w:lang w:val="en-US"/>
        </w:rPr>
        <w:t>Annual Review of Resource Economics</w:t>
      </w:r>
      <w:r w:rsidRPr="00EC6FF1">
        <w:rPr>
          <w:rFonts w:ascii="Times New Roman" w:hAnsi="Times New Roman" w:cs="Times New Roman"/>
          <w:lang w:val="en-US"/>
        </w:rPr>
        <w:t>, 15:233–256.</w:t>
      </w:r>
    </w:p>
    <w:p w14:paraId="1CBD2EE8" w14:textId="6CD057B3" w:rsidR="00A4614D" w:rsidRPr="00EC6FF1" w:rsidRDefault="00A4614D" w:rsidP="000D3507">
      <w:pPr>
        <w:jc w:val="both"/>
        <w:rPr>
          <w:rFonts w:ascii="Times New Roman" w:hAnsi="Times New Roman" w:cs="Times New Roman"/>
          <w:lang w:val="en-US"/>
        </w:rPr>
        <w:sectPr w:rsidR="00A4614D" w:rsidRPr="00EC6FF1" w:rsidSect="000F64AA">
          <w:pgSz w:w="11910" w:h="16840"/>
          <w:pgMar w:top="1920" w:right="1160" w:bottom="960" w:left="1320" w:header="0" w:footer="761" w:gutter="0"/>
          <w:lnNumType w:countBy="1" w:restart="continuous"/>
          <w:cols w:space="720"/>
          <w:docGrid w:linePitch="326"/>
        </w:sectPr>
      </w:pPr>
    </w:p>
    <w:p w14:paraId="4067A0A5" w14:textId="40568888" w:rsidR="000D3507" w:rsidRDefault="00477D7F" w:rsidP="0032587E">
      <w:pPr>
        <w:jc w:val="both"/>
        <w:rPr>
          <w:rFonts w:ascii="Times New Roman" w:hAnsi="Times New Roman" w:cs="Times New Roman"/>
          <w:lang w:val="en-US"/>
        </w:rPr>
      </w:pPr>
      <w:r>
        <w:rPr>
          <w:rFonts w:ascii="Times New Roman" w:hAnsi="Times New Roman" w:cs="Times New Roman"/>
          <w:lang w:val="en-US"/>
        </w:rPr>
        <w:lastRenderedPageBreak/>
        <w:t>Table 1</w:t>
      </w:r>
      <w:r w:rsidR="004825AF">
        <w:rPr>
          <w:rFonts w:ascii="Times New Roman" w:hAnsi="Times New Roman" w:cs="Times New Roman"/>
          <w:lang w:val="en-US"/>
        </w:rPr>
        <w:t>: Summary Statistics</w:t>
      </w:r>
    </w:p>
    <w:tbl>
      <w:tblPr>
        <w:tblStyle w:val="TableGrid"/>
        <w:tblW w:w="0" w:type="auto"/>
        <w:tblLook w:val="04A0" w:firstRow="1" w:lastRow="0" w:firstColumn="1" w:lastColumn="0" w:noHBand="0" w:noVBand="1"/>
      </w:tblPr>
      <w:tblGrid>
        <w:gridCol w:w="4387"/>
        <w:gridCol w:w="991"/>
        <w:gridCol w:w="1133"/>
        <w:gridCol w:w="1289"/>
        <w:gridCol w:w="1216"/>
      </w:tblGrid>
      <w:tr w:rsidR="00603233" w14:paraId="4E84B3ED" w14:textId="77777777" w:rsidTr="00B96D8C">
        <w:tc>
          <w:tcPr>
            <w:tcW w:w="4395" w:type="dxa"/>
          </w:tcPr>
          <w:p w14:paraId="08F17428" w14:textId="54F8313D" w:rsidR="00603233" w:rsidRDefault="00603233" w:rsidP="0032587E">
            <w:pPr>
              <w:jc w:val="both"/>
              <w:rPr>
                <w:rFonts w:ascii="Times New Roman" w:hAnsi="Times New Roman" w:cs="Times New Roman"/>
                <w:lang w:val="en-US"/>
              </w:rPr>
            </w:pPr>
            <w:r>
              <w:rPr>
                <w:rFonts w:ascii="Times New Roman" w:hAnsi="Times New Roman" w:cs="Times New Roman"/>
                <w:lang w:val="en-US"/>
              </w:rPr>
              <w:t>Variable</w:t>
            </w:r>
          </w:p>
        </w:tc>
        <w:tc>
          <w:tcPr>
            <w:tcW w:w="992" w:type="dxa"/>
          </w:tcPr>
          <w:p w14:paraId="3201D7F5" w14:textId="33D129B3" w:rsidR="00603233" w:rsidRDefault="00603233" w:rsidP="0032587E">
            <w:pPr>
              <w:jc w:val="both"/>
              <w:rPr>
                <w:rFonts w:ascii="Times New Roman" w:hAnsi="Times New Roman" w:cs="Times New Roman"/>
                <w:lang w:val="en-US"/>
              </w:rPr>
            </w:pPr>
            <w:r>
              <w:rPr>
                <w:rFonts w:ascii="Times New Roman" w:hAnsi="Times New Roman" w:cs="Times New Roman"/>
                <w:lang w:val="en-US"/>
              </w:rPr>
              <w:t>Mean</w:t>
            </w:r>
          </w:p>
        </w:tc>
        <w:tc>
          <w:tcPr>
            <w:tcW w:w="1134" w:type="dxa"/>
          </w:tcPr>
          <w:p w14:paraId="0BC6990A" w14:textId="553AF7D1" w:rsidR="00603233" w:rsidRDefault="00603233" w:rsidP="0032587E">
            <w:pPr>
              <w:jc w:val="both"/>
              <w:rPr>
                <w:rFonts w:ascii="Times New Roman" w:hAnsi="Times New Roman" w:cs="Times New Roman"/>
                <w:lang w:val="en-US"/>
              </w:rPr>
            </w:pPr>
            <w:r>
              <w:rPr>
                <w:rFonts w:ascii="Times New Roman" w:hAnsi="Times New Roman" w:cs="Times New Roman"/>
                <w:lang w:val="en-US"/>
              </w:rPr>
              <w:t>Std dev</w:t>
            </w:r>
          </w:p>
        </w:tc>
        <w:tc>
          <w:tcPr>
            <w:tcW w:w="1289" w:type="dxa"/>
          </w:tcPr>
          <w:p w14:paraId="5CE9CF9A" w14:textId="3AAB061D" w:rsidR="00603233" w:rsidRDefault="00603233" w:rsidP="0032587E">
            <w:pPr>
              <w:jc w:val="both"/>
              <w:rPr>
                <w:rFonts w:ascii="Times New Roman" w:hAnsi="Times New Roman" w:cs="Times New Roman"/>
                <w:lang w:val="en-US"/>
              </w:rPr>
            </w:pPr>
            <w:r>
              <w:rPr>
                <w:rFonts w:ascii="Times New Roman" w:hAnsi="Times New Roman" w:cs="Times New Roman"/>
                <w:lang w:val="en-US"/>
              </w:rPr>
              <w:t>Minimum</w:t>
            </w:r>
          </w:p>
        </w:tc>
        <w:tc>
          <w:tcPr>
            <w:tcW w:w="1216" w:type="dxa"/>
          </w:tcPr>
          <w:p w14:paraId="10CE1EEA" w14:textId="5FCFAEFE" w:rsidR="00603233" w:rsidRDefault="00603233" w:rsidP="0032587E">
            <w:pPr>
              <w:jc w:val="both"/>
              <w:rPr>
                <w:rFonts w:ascii="Times New Roman" w:hAnsi="Times New Roman" w:cs="Times New Roman"/>
                <w:lang w:val="en-US"/>
              </w:rPr>
            </w:pPr>
            <w:r>
              <w:rPr>
                <w:rFonts w:ascii="Times New Roman" w:hAnsi="Times New Roman" w:cs="Times New Roman"/>
                <w:lang w:val="en-US"/>
              </w:rPr>
              <w:t>Maximum</w:t>
            </w:r>
          </w:p>
        </w:tc>
      </w:tr>
      <w:tr w:rsidR="00603233" w14:paraId="17F1E1B1" w14:textId="77777777" w:rsidTr="00B96D8C">
        <w:tc>
          <w:tcPr>
            <w:tcW w:w="4395" w:type="dxa"/>
          </w:tcPr>
          <w:p w14:paraId="53F7586C" w14:textId="311FCB51" w:rsidR="00603233" w:rsidRDefault="002B571E" w:rsidP="0032587E">
            <w:pPr>
              <w:jc w:val="both"/>
              <w:rPr>
                <w:rFonts w:ascii="Times New Roman" w:hAnsi="Times New Roman" w:cs="Times New Roman"/>
                <w:lang w:val="en-US"/>
              </w:rPr>
            </w:pPr>
            <w:r>
              <w:rPr>
                <w:rFonts w:ascii="Times New Roman" w:hAnsi="Times New Roman" w:cs="Times New Roman"/>
                <w:lang w:val="en-US"/>
              </w:rPr>
              <w:t>Sovereign credit rating</w:t>
            </w:r>
          </w:p>
        </w:tc>
        <w:tc>
          <w:tcPr>
            <w:tcW w:w="992" w:type="dxa"/>
          </w:tcPr>
          <w:p w14:paraId="53081275" w14:textId="0613A36D" w:rsidR="00603233" w:rsidRDefault="002B571E" w:rsidP="0032587E">
            <w:pPr>
              <w:jc w:val="both"/>
              <w:rPr>
                <w:rFonts w:ascii="Times New Roman" w:hAnsi="Times New Roman" w:cs="Times New Roman"/>
                <w:lang w:val="en-US"/>
              </w:rPr>
            </w:pPr>
            <w:r>
              <w:rPr>
                <w:rFonts w:ascii="Times New Roman" w:hAnsi="Times New Roman" w:cs="Times New Roman"/>
                <w:lang w:val="en-US"/>
              </w:rPr>
              <w:t>11</w:t>
            </w:r>
            <w:r w:rsidR="00183CFC">
              <w:rPr>
                <w:rFonts w:ascii="Times New Roman" w:hAnsi="Times New Roman" w:cs="Times New Roman"/>
                <w:lang w:val="en-US"/>
              </w:rPr>
              <w:t>.23</w:t>
            </w:r>
          </w:p>
        </w:tc>
        <w:tc>
          <w:tcPr>
            <w:tcW w:w="1134" w:type="dxa"/>
          </w:tcPr>
          <w:p w14:paraId="77B8E991" w14:textId="65599F58" w:rsidR="00603233" w:rsidRDefault="00183CFC" w:rsidP="0032587E">
            <w:pPr>
              <w:jc w:val="both"/>
              <w:rPr>
                <w:rFonts w:ascii="Times New Roman" w:hAnsi="Times New Roman" w:cs="Times New Roman"/>
                <w:lang w:val="en-US"/>
              </w:rPr>
            </w:pPr>
            <w:r>
              <w:rPr>
                <w:rFonts w:ascii="Times New Roman" w:hAnsi="Times New Roman" w:cs="Times New Roman"/>
                <w:lang w:val="en-US"/>
              </w:rPr>
              <w:t>5.10</w:t>
            </w:r>
          </w:p>
        </w:tc>
        <w:tc>
          <w:tcPr>
            <w:tcW w:w="1289" w:type="dxa"/>
          </w:tcPr>
          <w:p w14:paraId="0BE5626E" w14:textId="41C47C95" w:rsidR="00603233" w:rsidRDefault="00183CFC" w:rsidP="0032587E">
            <w:pPr>
              <w:jc w:val="both"/>
              <w:rPr>
                <w:rFonts w:ascii="Times New Roman" w:hAnsi="Times New Roman" w:cs="Times New Roman"/>
                <w:lang w:val="en-US"/>
              </w:rPr>
            </w:pPr>
            <w:r>
              <w:rPr>
                <w:rFonts w:ascii="Times New Roman" w:hAnsi="Times New Roman" w:cs="Times New Roman"/>
                <w:lang w:val="en-US"/>
              </w:rPr>
              <w:t>1.00</w:t>
            </w:r>
          </w:p>
        </w:tc>
        <w:tc>
          <w:tcPr>
            <w:tcW w:w="1216" w:type="dxa"/>
          </w:tcPr>
          <w:p w14:paraId="79FDC816" w14:textId="6875A3BD" w:rsidR="00603233" w:rsidRDefault="00183CFC" w:rsidP="0032587E">
            <w:pPr>
              <w:jc w:val="both"/>
              <w:rPr>
                <w:rFonts w:ascii="Times New Roman" w:hAnsi="Times New Roman" w:cs="Times New Roman"/>
                <w:lang w:val="en-US"/>
              </w:rPr>
            </w:pPr>
            <w:r>
              <w:rPr>
                <w:rFonts w:ascii="Times New Roman" w:hAnsi="Times New Roman" w:cs="Times New Roman"/>
                <w:lang w:val="en-US"/>
              </w:rPr>
              <w:t>20.00</w:t>
            </w:r>
          </w:p>
        </w:tc>
      </w:tr>
      <w:tr w:rsidR="00603233" w14:paraId="0DD11B0E" w14:textId="77777777" w:rsidTr="00B96D8C">
        <w:tc>
          <w:tcPr>
            <w:tcW w:w="4395" w:type="dxa"/>
          </w:tcPr>
          <w:p w14:paraId="356BF3C8" w14:textId="015CCBA1" w:rsidR="00603233" w:rsidRDefault="005E6066" w:rsidP="0032587E">
            <w:pPr>
              <w:jc w:val="both"/>
              <w:rPr>
                <w:rFonts w:ascii="Times New Roman" w:hAnsi="Times New Roman" w:cs="Times New Roman"/>
                <w:lang w:val="en-US"/>
              </w:rPr>
            </w:pPr>
            <w:r>
              <w:rPr>
                <w:rFonts w:ascii="Times New Roman" w:hAnsi="Times New Roman" w:cs="Times New Roman"/>
                <w:lang w:val="en-US"/>
              </w:rPr>
              <w:t>l</w:t>
            </w:r>
            <w:r w:rsidR="002B571E">
              <w:rPr>
                <w:rFonts w:ascii="Times New Roman" w:hAnsi="Times New Roman" w:cs="Times New Roman"/>
                <w:lang w:val="en-US"/>
              </w:rPr>
              <w:t>n GDP per capita</w:t>
            </w:r>
          </w:p>
        </w:tc>
        <w:tc>
          <w:tcPr>
            <w:tcW w:w="992" w:type="dxa"/>
          </w:tcPr>
          <w:p w14:paraId="09740724" w14:textId="1D7BBB43" w:rsidR="00603233" w:rsidRDefault="00183CFC" w:rsidP="0032587E">
            <w:pPr>
              <w:jc w:val="both"/>
              <w:rPr>
                <w:rFonts w:ascii="Times New Roman" w:hAnsi="Times New Roman" w:cs="Times New Roman"/>
                <w:lang w:val="en-US"/>
              </w:rPr>
            </w:pPr>
            <w:r>
              <w:rPr>
                <w:rFonts w:ascii="Times New Roman" w:hAnsi="Times New Roman" w:cs="Times New Roman"/>
                <w:lang w:val="en-US"/>
              </w:rPr>
              <w:t>9.21</w:t>
            </w:r>
          </w:p>
        </w:tc>
        <w:tc>
          <w:tcPr>
            <w:tcW w:w="1134" w:type="dxa"/>
          </w:tcPr>
          <w:p w14:paraId="4342AE7E" w14:textId="1364B857" w:rsidR="00603233" w:rsidRDefault="00183CFC" w:rsidP="0032587E">
            <w:pPr>
              <w:jc w:val="both"/>
              <w:rPr>
                <w:rFonts w:ascii="Times New Roman" w:hAnsi="Times New Roman" w:cs="Times New Roman"/>
                <w:lang w:val="en-US"/>
              </w:rPr>
            </w:pPr>
            <w:r>
              <w:rPr>
                <w:rFonts w:ascii="Times New Roman" w:hAnsi="Times New Roman" w:cs="Times New Roman"/>
                <w:lang w:val="en-US"/>
              </w:rPr>
              <w:t>1.28</w:t>
            </w:r>
          </w:p>
        </w:tc>
        <w:tc>
          <w:tcPr>
            <w:tcW w:w="1289" w:type="dxa"/>
          </w:tcPr>
          <w:p w14:paraId="702CFD60" w14:textId="1E72FB38" w:rsidR="00603233" w:rsidRDefault="00183CFC" w:rsidP="0032587E">
            <w:pPr>
              <w:jc w:val="both"/>
              <w:rPr>
                <w:rFonts w:ascii="Times New Roman" w:hAnsi="Times New Roman" w:cs="Times New Roman"/>
                <w:lang w:val="en-US"/>
              </w:rPr>
            </w:pPr>
            <w:r>
              <w:rPr>
                <w:rFonts w:ascii="Times New Roman" w:hAnsi="Times New Roman" w:cs="Times New Roman"/>
                <w:lang w:val="en-US"/>
              </w:rPr>
              <w:t>6.03</w:t>
            </w:r>
          </w:p>
        </w:tc>
        <w:tc>
          <w:tcPr>
            <w:tcW w:w="1216" w:type="dxa"/>
          </w:tcPr>
          <w:p w14:paraId="09013168" w14:textId="6D365296" w:rsidR="00603233" w:rsidRDefault="00183CFC" w:rsidP="0032587E">
            <w:pPr>
              <w:jc w:val="both"/>
              <w:rPr>
                <w:rFonts w:ascii="Times New Roman" w:hAnsi="Times New Roman" w:cs="Times New Roman"/>
                <w:lang w:val="en-US"/>
              </w:rPr>
            </w:pPr>
            <w:r>
              <w:rPr>
                <w:rFonts w:ascii="Times New Roman" w:hAnsi="Times New Roman" w:cs="Times New Roman"/>
                <w:lang w:val="en-US"/>
              </w:rPr>
              <w:t>11.70</w:t>
            </w:r>
          </w:p>
        </w:tc>
      </w:tr>
      <w:tr w:rsidR="00603233" w14:paraId="584056DF" w14:textId="77777777" w:rsidTr="00B96D8C">
        <w:tc>
          <w:tcPr>
            <w:tcW w:w="4395" w:type="dxa"/>
          </w:tcPr>
          <w:p w14:paraId="2A07AB60" w14:textId="345F8272" w:rsidR="00603233" w:rsidRDefault="002B571E" w:rsidP="0032587E">
            <w:pPr>
              <w:jc w:val="both"/>
              <w:rPr>
                <w:rFonts w:ascii="Times New Roman" w:hAnsi="Times New Roman" w:cs="Times New Roman"/>
                <w:lang w:val="en-US"/>
              </w:rPr>
            </w:pPr>
            <w:r>
              <w:rPr>
                <w:rFonts w:ascii="Times New Roman" w:hAnsi="Times New Roman" w:cs="Times New Roman"/>
                <w:lang w:val="en-US"/>
              </w:rPr>
              <w:t>GDP growth</w:t>
            </w:r>
            <w:r w:rsidR="005C2A86">
              <w:rPr>
                <w:rFonts w:ascii="Times New Roman" w:hAnsi="Times New Roman" w:cs="Times New Roman"/>
                <w:lang w:val="en-US"/>
              </w:rPr>
              <w:t xml:space="preserve"> (%)</w:t>
            </w:r>
          </w:p>
        </w:tc>
        <w:tc>
          <w:tcPr>
            <w:tcW w:w="992" w:type="dxa"/>
          </w:tcPr>
          <w:p w14:paraId="034639B3" w14:textId="78CE16B6" w:rsidR="00603233" w:rsidRDefault="00183CFC" w:rsidP="0032587E">
            <w:pPr>
              <w:jc w:val="both"/>
              <w:rPr>
                <w:rFonts w:ascii="Times New Roman" w:hAnsi="Times New Roman" w:cs="Times New Roman"/>
                <w:lang w:val="en-US"/>
              </w:rPr>
            </w:pPr>
            <w:r>
              <w:rPr>
                <w:rFonts w:ascii="Times New Roman" w:hAnsi="Times New Roman" w:cs="Times New Roman"/>
                <w:lang w:val="en-US"/>
              </w:rPr>
              <w:t>1</w:t>
            </w:r>
          </w:p>
        </w:tc>
        <w:tc>
          <w:tcPr>
            <w:tcW w:w="1134" w:type="dxa"/>
          </w:tcPr>
          <w:p w14:paraId="382047DE" w14:textId="154A4286" w:rsidR="00603233" w:rsidRDefault="00183CFC" w:rsidP="0032587E">
            <w:pPr>
              <w:jc w:val="both"/>
              <w:rPr>
                <w:rFonts w:ascii="Times New Roman" w:hAnsi="Times New Roman" w:cs="Times New Roman"/>
                <w:lang w:val="en-US"/>
              </w:rPr>
            </w:pPr>
            <w:r>
              <w:rPr>
                <w:rFonts w:ascii="Times New Roman" w:hAnsi="Times New Roman" w:cs="Times New Roman"/>
                <w:lang w:val="en-US"/>
              </w:rPr>
              <w:t>9</w:t>
            </w:r>
          </w:p>
        </w:tc>
        <w:tc>
          <w:tcPr>
            <w:tcW w:w="1289" w:type="dxa"/>
          </w:tcPr>
          <w:p w14:paraId="4971E033" w14:textId="0CB5863B" w:rsidR="00603233" w:rsidRDefault="00183CFC" w:rsidP="0032587E">
            <w:pPr>
              <w:jc w:val="both"/>
              <w:rPr>
                <w:rFonts w:ascii="Times New Roman" w:hAnsi="Times New Roman" w:cs="Times New Roman"/>
                <w:lang w:val="en-US"/>
              </w:rPr>
            </w:pPr>
            <w:r>
              <w:rPr>
                <w:rFonts w:ascii="Times New Roman" w:hAnsi="Times New Roman" w:cs="Times New Roman"/>
                <w:lang w:val="en-US"/>
              </w:rPr>
              <w:t>-41</w:t>
            </w:r>
          </w:p>
        </w:tc>
        <w:tc>
          <w:tcPr>
            <w:tcW w:w="1216" w:type="dxa"/>
          </w:tcPr>
          <w:p w14:paraId="30B2D91F" w14:textId="52CE1AB6" w:rsidR="00603233" w:rsidRDefault="00580846" w:rsidP="0032587E">
            <w:pPr>
              <w:jc w:val="both"/>
              <w:rPr>
                <w:rFonts w:ascii="Times New Roman" w:hAnsi="Times New Roman" w:cs="Times New Roman"/>
                <w:lang w:val="en-US"/>
              </w:rPr>
            </w:pPr>
            <w:r>
              <w:rPr>
                <w:rFonts w:ascii="Times New Roman" w:hAnsi="Times New Roman" w:cs="Times New Roman"/>
                <w:lang w:val="en-US"/>
              </w:rPr>
              <w:t>29</w:t>
            </w:r>
          </w:p>
        </w:tc>
      </w:tr>
      <w:tr w:rsidR="00603233" w14:paraId="41F22480" w14:textId="77777777" w:rsidTr="00B96D8C">
        <w:tc>
          <w:tcPr>
            <w:tcW w:w="4395" w:type="dxa"/>
          </w:tcPr>
          <w:p w14:paraId="37519655" w14:textId="4FD8A0CB" w:rsidR="00603233" w:rsidRDefault="002B571E" w:rsidP="0032587E">
            <w:pPr>
              <w:jc w:val="both"/>
              <w:rPr>
                <w:rFonts w:ascii="Times New Roman" w:hAnsi="Times New Roman" w:cs="Times New Roman"/>
                <w:lang w:val="en-US"/>
              </w:rPr>
            </w:pPr>
            <w:r>
              <w:rPr>
                <w:rFonts w:ascii="Times New Roman" w:hAnsi="Times New Roman" w:cs="Times New Roman"/>
                <w:lang w:val="en-US"/>
              </w:rPr>
              <w:t>Net General Government Debt / GDP</w:t>
            </w:r>
          </w:p>
        </w:tc>
        <w:tc>
          <w:tcPr>
            <w:tcW w:w="992" w:type="dxa"/>
          </w:tcPr>
          <w:p w14:paraId="5001153E" w14:textId="2C7B73B2" w:rsidR="00603233" w:rsidRDefault="00580846" w:rsidP="0032587E">
            <w:pPr>
              <w:jc w:val="both"/>
              <w:rPr>
                <w:rFonts w:ascii="Times New Roman" w:hAnsi="Times New Roman" w:cs="Times New Roman"/>
                <w:lang w:val="en-US"/>
              </w:rPr>
            </w:pPr>
            <w:r>
              <w:rPr>
                <w:rFonts w:ascii="Times New Roman" w:hAnsi="Times New Roman" w:cs="Times New Roman"/>
                <w:lang w:val="en-US"/>
              </w:rPr>
              <w:t>35.06</w:t>
            </w:r>
          </w:p>
        </w:tc>
        <w:tc>
          <w:tcPr>
            <w:tcW w:w="1134" w:type="dxa"/>
          </w:tcPr>
          <w:p w14:paraId="5498C79C" w14:textId="2D3DCD08" w:rsidR="00603233" w:rsidRDefault="00580846" w:rsidP="0032587E">
            <w:pPr>
              <w:jc w:val="both"/>
              <w:rPr>
                <w:rFonts w:ascii="Times New Roman" w:hAnsi="Times New Roman" w:cs="Times New Roman"/>
                <w:lang w:val="en-US"/>
              </w:rPr>
            </w:pPr>
            <w:r>
              <w:rPr>
                <w:rFonts w:ascii="Times New Roman" w:hAnsi="Times New Roman" w:cs="Times New Roman"/>
                <w:lang w:val="en-US"/>
              </w:rPr>
              <w:t>63.78</w:t>
            </w:r>
          </w:p>
        </w:tc>
        <w:tc>
          <w:tcPr>
            <w:tcW w:w="1289" w:type="dxa"/>
          </w:tcPr>
          <w:p w14:paraId="042E8E95" w14:textId="4178A45F" w:rsidR="00603233" w:rsidRDefault="00580846" w:rsidP="0032587E">
            <w:pPr>
              <w:jc w:val="both"/>
              <w:rPr>
                <w:rFonts w:ascii="Times New Roman" w:hAnsi="Times New Roman" w:cs="Times New Roman"/>
                <w:lang w:val="en-US"/>
              </w:rPr>
            </w:pPr>
            <w:r>
              <w:rPr>
                <w:rFonts w:ascii="Times New Roman" w:hAnsi="Times New Roman" w:cs="Times New Roman"/>
                <w:lang w:val="en-US"/>
              </w:rPr>
              <w:t>-489.79</w:t>
            </w:r>
          </w:p>
        </w:tc>
        <w:tc>
          <w:tcPr>
            <w:tcW w:w="1216" w:type="dxa"/>
          </w:tcPr>
          <w:p w14:paraId="0920949E" w14:textId="3AEF41D1" w:rsidR="00603233" w:rsidRDefault="00580846" w:rsidP="0032587E">
            <w:pPr>
              <w:jc w:val="both"/>
              <w:rPr>
                <w:rFonts w:ascii="Times New Roman" w:hAnsi="Times New Roman" w:cs="Times New Roman"/>
                <w:lang w:val="en-US"/>
              </w:rPr>
            </w:pPr>
            <w:r>
              <w:rPr>
                <w:rFonts w:ascii="Times New Roman" w:hAnsi="Times New Roman" w:cs="Times New Roman"/>
                <w:lang w:val="en-US"/>
              </w:rPr>
              <w:t>172.82</w:t>
            </w:r>
          </w:p>
        </w:tc>
      </w:tr>
      <w:tr w:rsidR="00603233" w14:paraId="3A9F5F9A" w14:textId="77777777" w:rsidTr="00B96D8C">
        <w:tc>
          <w:tcPr>
            <w:tcW w:w="4395" w:type="dxa"/>
          </w:tcPr>
          <w:p w14:paraId="016F17B3" w14:textId="23714922" w:rsidR="00603233" w:rsidRDefault="002B571E" w:rsidP="0032587E">
            <w:pPr>
              <w:jc w:val="both"/>
              <w:rPr>
                <w:rFonts w:ascii="Times New Roman" w:hAnsi="Times New Roman" w:cs="Times New Roman"/>
                <w:lang w:val="en-US"/>
              </w:rPr>
            </w:pPr>
            <w:r>
              <w:rPr>
                <w:rFonts w:ascii="Times New Roman" w:hAnsi="Times New Roman" w:cs="Times New Roman"/>
                <w:lang w:val="en-US"/>
              </w:rPr>
              <w:t>General Government Balance / GDP</w:t>
            </w:r>
          </w:p>
        </w:tc>
        <w:tc>
          <w:tcPr>
            <w:tcW w:w="992" w:type="dxa"/>
          </w:tcPr>
          <w:p w14:paraId="1DECCF4C" w14:textId="164DBB6D" w:rsidR="00603233" w:rsidRDefault="00E75EB8" w:rsidP="0032587E">
            <w:pPr>
              <w:jc w:val="both"/>
              <w:rPr>
                <w:rFonts w:ascii="Times New Roman" w:hAnsi="Times New Roman" w:cs="Times New Roman"/>
                <w:lang w:val="en-US"/>
              </w:rPr>
            </w:pPr>
            <w:r>
              <w:rPr>
                <w:rFonts w:ascii="Times New Roman" w:hAnsi="Times New Roman" w:cs="Times New Roman"/>
                <w:lang w:val="en-US"/>
              </w:rPr>
              <w:t>-2.44</w:t>
            </w:r>
          </w:p>
        </w:tc>
        <w:tc>
          <w:tcPr>
            <w:tcW w:w="1134" w:type="dxa"/>
          </w:tcPr>
          <w:p w14:paraId="20D962F7" w14:textId="4D6BA5C4" w:rsidR="00603233" w:rsidRDefault="00237C4E" w:rsidP="0032587E">
            <w:pPr>
              <w:jc w:val="both"/>
              <w:rPr>
                <w:rFonts w:ascii="Times New Roman" w:hAnsi="Times New Roman" w:cs="Times New Roman"/>
                <w:lang w:val="en-US"/>
              </w:rPr>
            </w:pPr>
            <w:r>
              <w:rPr>
                <w:rFonts w:ascii="Times New Roman" w:hAnsi="Times New Roman" w:cs="Times New Roman"/>
                <w:lang w:val="en-US"/>
              </w:rPr>
              <w:t>3.98</w:t>
            </w:r>
          </w:p>
        </w:tc>
        <w:tc>
          <w:tcPr>
            <w:tcW w:w="1289" w:type="dxa"/>
          </w:tcPr>
          <w:p w14:paraId="4EB6603B" w14:textId="07EE63A9" w:rsidR="00603233" w:rsidRDefault="00237C4E" w:rsidP="0032587E">
            <w:pPr>
              <w:jc w:val="both"/>
              <w:rPr>
                <w:rFonts w:ascii="Times New Roman" w:hAnsi="Times New Roman" w:cs="Times New Roman"/>
                <w:lang w:val="en-US"/>
              </w:rPr>
            </w:pPr>
            <w:r>
              <w:rPr>
                <w:rFonts w:ascii="Times New Roman" w:hAnsi="Times New Roman" w:cs="Times New Roman"/>
                <w:lang w:val="en-US"/>
              </w:rPr>
              <w:t>-21.05</w:t>
            </w:r>
          </w:p>
        </w:tc>
        <w:tc>
          <w:tcPr>
            <w:tcW w:w="1216" w:type="dxa"/>
          </w:tcPr>
          <w:p w14:paraId="459685FF" w14:textId="33ED0F40" w:rsidR="00603233" w:rsidRDefault="00580846" w:rsidP="0032587E">
            <w:pPr>
              <w:jc w:val="both"/>
              <w:rPr>
                <w:rFonts w:ascii="Times New Roman" w:hAnsi="Times New Roman" w:cs="Times New Roman"/>
                <w:lang w:val="en-US"/>
              </w:rPr>
            </w:pPr>
            <w:r>
              <w:rPr>
                <w:rFonts w:ascii="Times New Roman" w:hAnsi="Times New Roman" w:cs="Times New Roman"/>
                <w:lang w:val="en-US"/>
              </w:rPr>
              <w:t>21.57</w:t>
            </w:r>
          </w:p>
        </w:tc>
      </w:tr>
      <w:tr w:rsidR="00603233" w14:paraId="3BF1E94C" w14:textId="77777777" w:rsidTr="00B96D8C">
        <w:tc>
          <w:tcPr>
            <w:tcW w:w="4395" w:type="dxa"/>
          </w:tcPr>
          <w:p w14:paraId="0F237A3B" w14:textId="2FF63273" w:rsidR="00603233" w:rsidRDefault="002B571E" w:rsidP="0032587E">
            <w:pPr>
              <w:jc w:val="both"/>
              <w:rPr>
                <w:rFonts w:ascii="Times New Roman" w:hAnsi="Times New Roman" w:cs="Times New Roman"/>
                <w:lang w:val="en-US"/>
              </w:rPr>
            </w:pPr>
            <w:r>
              <w:rPr>
                <w:rFonts w:ascii="Times New Roman" w:hAnsi="Times New Roman" w:cs="Times New Roman"/>
                <w:lang w:val="en-US"/>
              </w:rPr>
              <w:t>Narrow Net External Debt / CARs</w:t>
            </w:r>
          </w:p>
        </w:tc>
        <w:tc>
          <w:tcPr>
            <w:tcW w:w="992" w:type="dxa"/>
          </w:tcPr>
          <w:p w14:paraId="5F14D065" w14:textId="6C084A93" w:rsidR="00603233" w:rsidRDefault="00E75EB8" w:rsidP="0032587E">
            <w:pPr>
              <w:jc w:val="both"/>
              <w:rPr>
                <w:rFonts w:ascii="Times New Roman" w:hAnsi="Times New Roman" w:cs="Times New Roman"/>
                <w:lang w:val="en-US"/>
              </w:rPr>
            </w:pPr>
            <w:r>
              <w:rPr>
                <w:rFonts w:ascii="Times New Roman" w:hAnsi="Times New Roman" w:cs="Times New Roman"/>
                <w:lang w:val="en-US"/>
              </w:rPr>
              <w:t>53.03</w:t>
            </w:r>
          </w:p>
        </w:tc>
        <w:tc>
          <w:tcPr>
            <w:tcW w:w="1134" w:type="dxa"/>
          </w:tcPr>
          <w:p w14:paraId="3C8B9DEA" w14:textId="2E8EE4E7" w:rsidR="00603233" w:rsidRDefault="00237C4E" w:rsidP="0032587E">
            <w:pPr>
              <w:jc w:val="both"/>
              <w:rPr>
                <w:rFonts w:ascii="Times New Roman" w:hAnsi="Times New Roman" w:cs="Times New Roman"/>
                <w:lang w:val="en-US"/>
              </w:rPr>
            </w:pPr>
            <w:r>
              <w:rPr>
                <w:rFonts w:ascii="Times New Roman" w:hAnsi="Times New Roman" w:cs="Times New Roman"/>
                <w:lang w:val="en-US"/>
              </w:rPr>
              <w:t>123.69</w:t>
            </w:r>
          </w:p>
        </w:tc>
        <w:tc>
          <w:tcPr>
            <w:tcW w:w="1289" w:type="dxa"/>
          </w:tcPr>
          <w:p w14:paraId="5335F113" w14:textId="7DED7307" w:rsidR="00603233" w:rsidRDefault="00237C4E" w:rsidP="0032587E">
            <w:pPr>
              <w:jc w:val="both"/>
              <w:rPr>
                <w:rFonts w:ascii="Times New Roman" w:hAnsi="Times New Roman" w:cs="Times New Roman"/>
                <w:lang w:val="en-US"/>
              </w:rPr>
            </w:pPr>
            <w:r>
              <w:rPr>
                <w:rFonts w:ascii="Times New Roman" w:hAnsi="Times New Roman" w:cs="Times New Roman"/>
                <w:lang w:val="en-US"/>
              </w:rPr>
              <w:t>-708.18</w:t>
            </w:r>
          </w:p>
        </w:tc>
        <w:tc>
          <w:tcPr>
            <w:tcW w:w="1216" w:type="dxa"/>
          </w:tcPr>
          <w:p w14:paraId="576E424A" w14:textId="77C1E43D" w:rsidR="00603233" w:rsidRDefault="00237C4E" w:rsidP="0032587E">
            <w:pPr>
              <w:jc w:val="both"/>
              <w:rPr>
                <w:rFonts w:ascii="Times New Roman" w:hAnsi="Times New Roman" w:cs="Times New Roman"/>
                <w:lang w:val="en-US"/>
              </w:rPr>
            </w:pPr>
            <w:r>
              <w:rPr>
                <w:rFonts w:ascii="Times New Roman" w:hAnsi="Times New Roman" w:cs="Times New Roman"/>
                <w:lang w:val="en-US"/>
              </w:rPr>
              <w:t>461.29</w:t>
            </w:r>
          </w:p>
        </w:tc>
      </w:tr>
      <w:tr w:rsidR="00603233" w14:paraId="50BC0174" w14:textId="77777777" w:rsidTr="00B96D8C">
        <w:tc>
          <w:tcPr>
            <w:tcW w:w="4395" w:type="dxa"/>
          </w:tcPr>
          <w:p w14:paraId="4A8FEF56" w14:textId="1CC84ED2" w:rsidR="00603233" w:rsidRDefault="002B571E" w:rsidP="0032587E">
            <w:pPr>
              <w:jc w:val="both"/>
              <w:rPr>
                <w:rFonts w:ascii="Times New Roman" w:hAnsi="Times New Roman" w:cs="Times New Roman"/>
                <w:lang w:val="en-US"/>
              </w:rPr>
            </w:pPr>
            <w:r>
              <w:rPr>
                <w:rFonts w:ascii="Times New Roman" w:hAnsi="Times New Roman" w:cs="Times New Roman"/>
                <w:lang w:val="en-US"/>
              </w:rPr>
              <w:t>Current Account Balance / GDP</w:t>
            </w:r>
          </w:p>
        </w:tc>
        <w:tc>
          <w:tcPr>
            <w:tcW w:w="992" w:type="dxa"/>
          </w:tcPr>
          <w:p w14:paraId="0EDD9135" w14:textId="1EA68DCA" w:rsidR="00603233" w:rsidRDefault="00237C4E" w:rsidP="0032587E">
            <w:pPr>
              <w:jc w:val="both"/>
              <w:rPr>
                <w:rFonts w:ascii="Times New Roman" w:hAnsi="Times New Roman" w:cs="Times New Roman"/>
                <w:lang w:val="en-US"/>
              </w:rPr>
            </w:pPr>
            <w:r>
              <w:rPr>
                <w:rFonts w:ascii="Times New Roman" w:hAnsi="Times New Roman" w:cs="Times New Roman"/>
                <w:lang w:val="en-US"/>
              </w:rPr>
              <w:t>-1.14</w:t>
            </w:r>
          </w:p>
        </w:tc>
        <w:tc>
          <w:tcPr>
            <w:tcW w:w="1134" w:type="dxa"/>
          </w:tcPr>
          <w:p w14:paraId="6518655C" w14:textId="2C152E06" w:rsidR="00603233" w:rsidRDefault="00237C4E" w:rsidP="0032587E">
            <w:pPr>
              <w:jc w:val="both"/>
              <w:rPr>
                <w:rFonts w:ascii="Times New Roman" w:hAnsi="Times New Roman" w:cs="Times New Roman"/>
                <w:lang w:val="en-US"/>
              </w:rPr>
            </w:pPr>
            <w:r>
              <w:rPr>
                <w:rFonts w:ascii="Times New Roman" w:hAnsi="Times New Roman" w:cs="Times New Roman"/>
                <w:lang w:val="en-US"/>
              </w:rPr>
              <w:t>8.33</w:t>
            </w:r>
          </w:p>
        </w:tc>
        <w:tc>
          <w:tcPr>
            <w:tcW w:w="1289" w:type="dxa"/>
          </w:tcPr>
          <w:p w14:paraId="73F562B8" w14:textId="01AFE9BC" w:rsidR="00603233" w:rsidRDefault="00237C4E" w:rsidP="0032587E">
            <w:pPr>
              <w:jc w:val="both"/>
              <w:rPr>
                <w:rFonts w:ascii="Times New Roman" w:hAnsi="Times New Roman" w:cs="Times New Roman"/>
                <w:lang w:val="en-US"/>
              </w:rPr>
            </w:pPr>
            <w:r>
              <w:rPr>
                <w:rFonts w:ascii="Times New Roman" w:hAnsi="Times New Roman" w:cs="Times New Roman"/>
                <w:lang w:val="en-US"/>
              </w:rPr>
              <w:t>-63.50</w:t>
            </w:r>
          </w:p>
        </w:tc>
        <w:tc>
          <w:tcPr>
            <w:tcW w:w="1216" w:type="dxa"/>
          </w:tcPr>
          <w:p w14:paraId="27D9270E" w14:textId="550B187D" w:rsidR="00603233" w:rsidRDefault="00237C4E" w:rsidP="0032587E">
            <w:pPr>
              <w:jc w:val="both"/>
              <w:rPr>
                <w:rFonts w:ascii="Times New Roman" w:hAnsi="Times New Roman" w:cs="Times New Roman"/>
                <w:lang w:val="en-US"/>
              </w:rPr>
            </w:pPr>
            <w:r>
              <w:rPr>
                <w:rFonts w:ascii="Times New Roman" w:hAnsi="Times New Roman" w:cs="Times New Roman"/>
                <w:lang w:val="en-US"/>
              </w:rPr>
              <w:t>36.31</w:t>
            </w:r>
          </w:p>
        </w:tc>
      </w:tr>
    </w:tbl>
    <w:p w14:paraId="63101197" w14:textId="6C3F42A2" w:rsidR="00E75EB8" w:rsidRPr="00E75EB8" w:rsidRDefault="00E75EB8" w:rsidP="00E75EB8">
      <w:pPr>
        <w:jc w:val="both"/>
        <w:rPr>
          <w:rFonts w:ascii="Times New Roman" w:hAnsi="Times New Roman" w:cs="Times New Roman"/>
        </w:rPr>
      </w:pPr>
      <w:r w:rsidRPr="00E75EB8">
        <w:rPr>
          <w:rFonts w:ascii="Times New Roman" w:hAnsi="Times New Roman" w:cs="Times New Roman"/>
        </w:rPr>
        <w:t xml:space="preserve">This table shows the descriptive statistics for our model training data. This ranges from 2015 to 2020, for 123 different countries and a total number of observations equalling 723. The sovereign credit rating variable is on the 20-notch scale, where AAA=20. </w:t>
      </w:r>
    </w:p>
    <w:p w14:paraId="6DA45A0A" w14:textId="77777777" w:rsidR="00477D7F" w:rsidRDefault="00477D7F" w:rsidP="0032587E">
      <w:pPr>
        <w:jc w:val="both"/>
        <w:rPr>
          <w:rFonts w:ascii="Times New Roman" w:hAnsi="Times New Roman" w:cs="Times New Roman"/>
          <w:lang w:val="en-US"/>
        </w:rPr>
      </w:pPr>
    </w:p>
    <w:p w14:paraId="0F430B24" w14:textId="77777777" w:rsidR="005559EB" w:rsidRDefault="005559EB" w:rsidP="0032587E">
      <w:pPr>
        <w:jc w:val="both"/>
        <w:rPr>
          <w:rFonts w:ascii="Times New Roman" w:hAnsi="Times New Roman" w:cs="Times New Roman"/>
          <w:lang w:val="en-US"/>
        </w:rPr>
      </w:pPr>
    </w:p>
    <w:p w14:paraId="523ADAE9" w14:textId="5C2082B8" w:rsidR="005559EB" w:rsidRDefault="007F4BD8" w:rsidP="0032587E">
      <w:pPr>
        <w:jc w:val="both"/>
        <w:rPr>
          <w:rFonts w:ascii="Times New Roman" w:hAnsi="Times New Roman" w:cs="Times New Roman"/>
          <w:lang w:val="en-US"/>
        </w:rPr>
      </w:pPr>
      <w:r>
        <w:rPr>
          <w:rFonts w:ascii="Times New Roman" w:hAnsi="Times New Roman" w:cs="Times New Roman"/>
          <w:lang w:val="en-US"/>
        </w:rPr>
        <w:t>Table 2</w:t>
      </w:r>
      <w:r w:rsidR="004825AF">
        <w:rPr>
          <w:rFonts w:ascii="Times New Roman" w:hAnsi="Times New Roman" w:cs="Times New Roman"/>
          <w:lang w:val="en-US"/>
        </w:rPr>
        <w:t>: NGFS Scenarios</w:t>
      </w:r>
    </w:p>
    <w:tbl>
      <w:tblPr>
        <w:tblStyle w:val="TableGrid"/>
        <w:tblW w:w="0" w:type="auto"/>
        <w:tblLook w:val="04A0" w:firstRow="1" w:lastRow="0" w:firstColumn="1" w:lastColumn="0" w:noHBand="0" w:noVBand="1"/>
      </w:tblPr>
      <w:tblGrid>
        <w:gridCol w:w="1270"/>
        <w:gridCol w:w="1558"/>
        <w:gridCol w:w="1920"/>
        <w:gridCol w:w="3185"/>
        <w:gridCol w:w="1083"/>
      </w:tblGrid>
      <w:tr w:rsidR="008B0C86" w14:paraId="18F64324" w14:textId="77777777" w:rsidTr="00DD10E1">
        <w:tc>
          <w:tcPr>
            <w:tcW w:w="1270" w:type="dxa"/>
          </w:tcPr>
          <w:p w14:paraId="6DFAED35" w14:textId="51905D8E"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Scenario Category</w:t>
            </w:r>
          </w:p>
        </w:tc>
        <w:tc>
          <w:tcPr>
            <w:tcW w:w="1558" w:type="dxa"/>
          </w:tcPr>
          <w:p w14:paraId="4E6B0895" w14:textId="729BE795"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Scenario Name</w:t>
            </w:r>
          </w:p>
        </w:tc>
        <w:tc>
          <w:tcPr>
            <w:tcW w:w="1920" w:type="dxa"/>
          </w:tcPr>
          <w:p w14:paraId="7B351F8E" w14:textId="54E4AB92"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Physical/Transition Risk</w:t>
            </w:r>
          </w:p>
        </w:tc>
        <w:tc>
          <w:tcPr>
            <w:tcW w:w="3185" w:type="dxa"/>
          </w:tcPr>
          <w:p w14:paraId="40088C36" w14:textId="7DA8DEAF"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Description</w:t>
            </w:r>
          </w:p>
        </w:tc>
        <w:tc>
          <w:tcPr>
            <w:tcW w:w="1083" w:type="dxa"/>
          </w:tcPr>
          <w:p w14:paraId="22F7D6C0" w14:textId="758055A6"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Average GDP Losses (%) by 2050</w:t>
            </w:r>
          </w:p>
        </w:tc>
      </w:tr>
      <w:tr w:rsidR="008B0C86" w14:paraId="03C8A537" w14:textId="77777777" w:rsidTr="00DD10E1">
        <w:tc>
          <w:tcPr>
            <w:tcW w:w="1270" w:type="dxa"/>
          </w:tcPr>
          <w:p w14:paraId="3A7A892E" w14:textId="2EDB46A0"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Orderly</w:t>
            </w:r>
          </w:p>
        </w:tc>
        <w:tc>
          <w:tcPr>
            <w:tcW w:w="1558" w:type="dxa"/>
          </w:tcPr>
          <w:p w14:paraId="09ED8008" w14:textId="3C4FB3F4"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Net Zero 2050</w:t>
            </w:r>
          </w:p>
        </w:tc>
        <w:tc>
          <w:tcPr>
            <w:tcW w:w="1920" w:type="dxa"/>
          </w:tcPr>
          <w:p w14:paraId="77556FF8" w14:textId="5FDEDCBB"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Low/Low</w:t>
            </w:r>
          </w:p>
        </w:tc>
        <w:tc>
          <w:tcPr>
            <w:tcW w:w="3185" w:type="dxa"/>
          </w:tcPr>
          <w:p w14:paraId="23B57EB9" w14:textId="5984999D" w:rsidR="008B0C86" w:rsidRPr="00DD10E1" w:rsidRDefault="008B2D0D"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Limits warming to 1.5C. Strict climate policy and innovation schedule</w:t>
            </w:r>
          </w:p>
        </w:tc>
        <w:tc>
          <w:tcPr>
            <w:tcW w:w="1083" w:type="dxa"/>
          </w:tcPr>
          <w:p w14:paraId="04CB3BFA" w14:textId="57FE54DB" w:rsidR="008B0C86" w:rsidRPr="00DD10E1" w:rsidRDefault="006D7948" w:rsidP="0032587E">
            <w:pPr>
              <w:jc w:val="both"/>
              <w:rPr>
                <w:rFonts w:ascii="Times New Roman" w:hAnsi="Times New Roman" w:cs="Times New Roman"/>
                <w:sz w:val="22"/>
                <w:szCs w:val="22"/>
                <w:lang w:val="en-US"/>
              </w:rPr>
            </w:pPr>
            <w:r>
              <w:rPr>
                <w:rFonts w:ascii="Times New Roman" w:hAnsi="Times New Roman" w:cs="Times New Roman"/>
                <w:sz w:val="22"/>
                <w:szCs w:val="22"/>
                <w:lang w:val="en-US"/>
              </w:rPr>
              <w:t>5.62</w:t>
            </w:r>
          </w:p>
        </w:tc>
      </w:tr>
      <w:tr w:rsidR="008B0C86" w14:paraId="2D57194D" w14:textId="77777777" w:rsidTr="00DD10E1">
        <w:tc>
          <w:tcPr>
            <w:tcW w:w="1270" w:type="dxa"/>
          </w:tcPr>
          <w:p w14:paraId="4376D5B8" w14:textId="0BE9FA6A"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Orderly</w:t>
            </w:r>
          </w:p>
        </w:tc>
        <w:tc>
          <w:tcPr>
            <w:tcW w:w="1558" w:type="dxa"/>
          </w:tcPr>
          <w:p w14:paraId="40F1CA29" w14:textId="31146AA5"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Below 2</w:t>
            </w:r>
            <w:r w:rsidR="008C1881" w:rsidRPr="00DD10E1">
              <w:rPr>
                <w:rFonts w:ascii="Times New Roman" w:hAnsi="Times New Roman" w:cs="Times New Roman"/>
                <w:sz w:val="22"/>
                <w:szCs w:val="22"/>
                <w:lang w:val="en-US"/>
              </w:rPr>
              <w:t xml:space="preserve"> C</w:t>
            </w:r>
          </w:p>
        </w:tc>
        <w:tc>
          <w:tcPr>
            <w:tcW w:w="1920" w:type="dxa"/>
          </w:tcPr>
          <w:p w14:paraId="16E56A54" w14:textId="24D87999"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Low/Low</w:t>
            </w:r>
          </w:p>
        </w:tc>
        <w:tc>
          <w:tcPr>
            <w:tcW w:w="3185" w:type="dxa"/>
          </w:tcPr>
          <w:p w14:paraId="7A2CCD69" w14:textId="32738531" w:rsidR="008B0C86" w:rsidRPr="00DD10E1" w:rsidRDefault="008B2D0D"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67% chance of limiting global warming to below 2C</w:t>
            </w:r>
          </w:p>
        </w:tc>
        <w:tc>
          <w:tcPr>
            <w:tcW w:w="1083" w:type="dxa"/>
          </w:tcPr>
          <w:p w14:paraId="23D13E7D" w14:textId="530A35B1" w:rsidR="008B0C86" w:rsidRPr="00DD10E1" w:rsidRDefault="006D7948" w:rsidP="0032587E">
            <w:pPr>
              <w:jc w:val="both"/>
              <w:rPr>
                <w:rFonts w:ascii="Times New Roman" w:hAnsi="Times New Roman" w:cs="Times New Roman"/>
                <w:sz w:val="22"/>
                <w:szCs w:val="22"/>
                <w:lang w:val="en-US"/>
              </w:rPr>
            </w:pPr>
            <w:r>
              <w:rPr>
                <w:rFonts w:ascii="Times New Roman" w:hAnsi="Times New Roman" w:cs="Times New Roman"/>
                <w:sz w:val="22"/>
                <w:szCs w:val="22"/>
                <w:lang w:val="en-US"/>
              </w:rPr>
              <w:t>6.99</w:t>
            </w:r>
          </w:p>
        </w:tc>
      </w:tr>
      <w:tr w:rsidR="008B0C86" w14:paraId="26D71BA2" w14:textId="77777777" w:rsidTr="00DD10E1">
        <w:tc>
          <w:tcPr>
            <w:tcW w:w="1270" w:type="dxa"/>
          </w:tcPr>
          <w:p w14:paraId="01727B4A" w14:textId="25AA12C2"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Disorderly</w:t>
            </w:r>
          </w:p>
        </w:tc>
        <w:tc>
          <w:tcPr>
            <w:tcW w:w="1558" w:type="dxa"/>
          </w:tcPr>
          <w:p w14:paraId="1FF070F8" w14:textId="3CA9C856"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Delayed Transition</w:t>
            </w:r>
          </w:p>
        </w:tc>
        <w:tc>
          <w:tcPr>
            <w:tcW w:w="1920" w:type="dxa"/>
          </w:tcPr>
          <w:p w14:paraId="662A9E94" w14:textId="75A089B0"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Low/High</w:t>
            </w:r>
          </w:p>
        </w:tc>
        <w:tc>
          <w:tcPr>
            <w:tcW w:w="3185" w:type="dxa"/>
          </w:tcPr>
          <w:p w14:paraId="0C1279DC" w14:textId="7C33AAF2" w:rsidR="008B0C86" w:rsidRPr="00DD10E1" w:rsidRDefault="008B2D0D"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Global emissions do not decrease until 2030. Strong policies are then needed to limit warming below 2C</w:t>
            </w:r>
          </w:p>
        </w:tc>
        <w:tc>
          <w:tcPr>
            <w:tcW w:w="1083" w:type="dxa"/>
          </w:tcPr>
          <w:p w14:paraId="3BD99FE0" w14:textId="49BAA2DD" w:rsidR="008B0C86" w:rsidRPr="00DD10E1" w:rsidRDefault="006D7948" w:rsidP="0032587E">
            <w:pPr>
              <w:jc w:val="both"/>
              <w:rPr>
                <w:rFonts w:ascii="Times New Roman" w:hAnsi="Times New Roman" w:cs="Times New Roman"/>
                <w:sz w:val="22"/>
                <w:szCs w:val="22"/>
                <w:lang w:val="en-US"/>
              </w:rPr>
            </w:pPr>
            <w:r>
              <w:rPr>
                <w:rFonts w:ascii="Times New Roman" w:hAnsi="Times New Roman" w:cs="Times New Roman"/>
                <w:sz w:val="22"/>
                <w:szCs w:val="22"/>
                <w:lang w:val="en-US"/>
              </w:rPr>
              <w:t>8.46</w:t>
            </w:r>
          </w:p>
        </w:tc>
      </w:tr>
      <w:tr w:rsidR="008B0C86" w14:paraId="66DC154F" w14:textId="77777777" w:rsidTr="00DD10E1">
        <w:tc>
          <w:tcPr>
            <w:tcW w:w="1270" w:type="dxa"/>
          </w:tcPr>
          <w:p w14:paraId="254BE5BA" w14:textId="29171FB3"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Hot house world</w:t>
            </w:r>
          </w:p>
        </w:tc>
        <w:tc>
          <w:tcPr>
            <w:tcW w:w="1558" w:type="dxa"/>
          </w:tcPr>
          <w:p w14:paraId="6BB8DC2C" w14:textId="07564BBC"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NDCs</w:t>
            </w:r>
          </w:p>
        </w:tc>
        <w:tc>
          <w:tcPr>
            <w:tcW w:w="1920" w:type="dxa"/>
          </w:tcPr>
          <w:p w14:paraId="2DE36864" w14:textId="733D047A"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High/Low</w:t>
            </w:r>
          </w:p>
        </w:tc>
        <w:tc>
          <w:tcPr>
            <w:tcW w:w="3185" w:type="dxa"/>
          </w:tcPr>
          <w:p w14:paraId="08288718" w14:textId="704F54DC" w:rsidR="008B0C86" w:rsidRPr="00DD10E1" w:rsidRDefault="008B2D0D"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All pledged policies</w:t>
            </w:r>
          </w:p>
        </w:tc>
        <w:tc>
          <w:tcPr>
            <w:tcW w:w="1083" w:type="dxa"/>
          </w:tcPr>
          <w:p w14:paraId="15D35121" w14:textId="1806D0C7" w:rsidR="008B0C86" w:rsidRPr="00DD10E1" w:rsidRDefault="006D7948" w:rsidP="0032587E">
            <w:pPr>
              <w:jc w:val="both"/>
              <w:rPr>
                <w:rFonts w:ascii="Times New Roman" w:hAnsi="Times New Roman" w:cs="Times New Roman"/>
                <w:sz w:val="22"/>
                <w:szCs w:val="22"/>
                <w:lang w:val="en-US"/>
              </w:rPr>
            </w:pPr>
            <w:r>
              <w:rPr>
                <w:rFonts w:ascii="Times New Roman" w:hAnsi="Times New Roman" w:cs="Times New Roman"/>
                <w:sz w:val="22"/>
                <w:szCs w:val="22"/>
                <w:lang w:val="en-US"/>
              </w:rPr>
              <w:t>8.82</w:t>
            </w:r>
          </w:p>
        </w:tc>
      </w:tr>
      <w:tr w:rsidR="008B0C86" w14:paraId="37390BBD" w14:textId="77777777" w:rsidTr="00DD10E1">
        <w:tc>
          <w:tcPr>
            <w:tcW w:w="1270" w:type="dxa"/>
          </w:tcPr>
          <w:p w14:paraId="242A6BFD" w14:textId="2722423B"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Too little, too late</w:t>
            </w:r>
          </w:p>
        </w:tc>
        <w:tc>
          <w:tcPr>
            <w:tcW w:w="1558" w:type="dxa"/>
          </w:tcPr>
          <w:p w14:paraId="0A7D9F28" w14:textId="314C1A26" w:rsidR="008B0C86" w:rsidRPr="00DD10E1" w:rsidRDefault="008B0C86"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Fragmented World</w:t>
            </w:r>
          </w:p>
        </w:tc>
        <w:tc>
          <w:tcPr>
            <w:tcW w:w="1920" w:type="dxa"/>
          </w:tcPr>
          <w:p w14:paraId="104F77A2" w14:textId="60368BD8" w:rsidR="008B0C86" w:rsidRPr="00DD10E1" w:rsidRDefault="008C1881"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High/High</w:t>
            </w:r>
          </w:p>
        </w:tc>
        <w:tc>
          <w:tcPr>
            <w:tcW w:w="3185" w:type="dxa"/>
          </w:tcPr>
          <w:p w14:paraId="53AD3ADF" w14:textId="285336A8" w:rsidR="008B0C86" w:rsidRPr="00DD10E1" w:rsidRDefault="008B2D0D" w:rsidP="0032587E">
            <w:pPr>
              <w:jc w:val="both"/>
              <w:rPr>
                <w:rFonts w:ascii="Times New Roman" w:hAnsi="Times New Roman" w:cs="Times New Roman"/>
                <w:sz w:val="22"/>
                <w:szCs w:val="22"/>
                <w:lang w:val="en-US"/>
              </w:rPr>
            </w:pPr>
            <w:r w:rsidRPr="00DD10E1">
              <w:rPr>
                <w:rFonts w:ascii="Times New Roman" w:hAnsi="Times New Roman" w:cs="Times New Roman"/>
                <w:sz w:val="22"/>
                <w:szCs w:val="22"/>
                <w:lang w:val="en-US"/>
              </w:rPr>
              <w:t>Delayed and divergent climate policy ambition globally. High physical risk everywhere</w:t>
            </w:r>
          </w:p>
        </w:tc>
        <w:tc>
          <w:tcPr>
            <w:tcW w:w="1083" w:type="dxa"/>
          </w:tcPr>
          <w:p w14:paraId="37B85F9E" w14:textId="588429A0" w:rsidR="008B0C86" w:rsidRPr="00DD10E1" w:rsidRDefault="006D7948" w:rsidP="0032587E">
            <w:pPr>
              <w:jc w:val="both"/>
              <w:rPr>
                <w:rFonts w:ascii="Times New Roman" w:hAnsi="Times New Roman" w:cs="Times New Roman"/>
                <w:sz w:val="22"/>
                <w:szCs w:val="22"/>
                <w:lang w:val="en-US"/>
              </w:rPr>
            </w:pPr>
            <w:r>
              <w:rPr>
                <w:rFonts w:ascii="Times New Roman" w:hAnsi="Times New Roman" w:cs="Times New Roman"/>
                <w:sz w:val="22"/>
                <w:szCs w:val="22"/>
                <w:lang w:val="en-US"/>
              </w:rPr>
              <w:t>9.24</w:t>
            </w:r>
          </w:p>
        </w:tc>
      </w:tr>
    </w:tbl>
    <w:p w14:paraId="567C47FE" w14:textId="77777777" w:rsidR="007F4BD8" w:rsidRDefault="007F4BD8" w:rsidP="0032587E">
      <w:pPr>
        <w:jc w:val="both"/>
        <w:rPr>
          <w:rFonts w:ascii="Times New Roman" w:hAnsi="Times New Roman" w:cs="Times New Roman"/>
          <w:lang w:val="en-US"/>
        </w:rPr>
      </w:pPr>
    </w:p>
    <w:p w14:paraId="3B57091E" w14:textId="08393929" w:rsidR="005559EB" w:rsidRDefault="00F23BE5" w:rsidP="0032587E">
      <w:pPr>
        <w:jc w:val="both"/>
        <w:rPr>
          <w:rFonts w:ascii="Times New Roman" w:hAnsi="Times New Roman" w:cs="Times New Roman"/>
          <w:lang w:val="en-US"/>
        </w:rPr>
      </w:pPr>
      <w:r>
        <w:rPr>
          <w:rFonts w:ascii="Times New Roman" w:hAnsi="Times New Roman" w:cs="Times New Roman"/>
          <w:lang w:val="en-US"/>
        </w:rPr>
        <w:t>Table 3</w:t>
      </w:r>
      <w:r w:rsidR="004825AF">
        <w:rPr>
          <w:rFonts w:ascii="Times New Roman" w:hAnsi="Times New Roman" w:cs="Times New Roman"/>
          <w:lang w:val="en-US"/>
        </w:rPr>
        <w:t>: Rating outcomes (2050)</w:t>
      </w:r>
    </w:p>
    <w:tbl>
      <w:tblPr>
        <w:tblStyle w:val="TableGrid"/>
        <w:tblW w:w="0" w:type="auto"/>
        <w:tblLook w:val="04A0" w:firstRow="1" w:lastRow="0" w:firstColumn="1" w:lastColumn="0" w:noHBand="0" w:noVBand="1"/>
      </w:tblPr>
      <w:tblGrid>
        <w:gridCol w:w="2689"/>
        <w:gridCol w:w="1819"/>
        <w:gridCol w:w="1583"/>
        <w:gridCol w:w="2925"/>
      </w:tblGrid>
      <w:tr w:rsidR="00F23BE5" w14:paraId="7B65DE6E" w14:textId="77777777" w:rsidTr="0037304C">
        <w:tc>
          <w:tcPr>
            <w:tcW w:w="2689" w:type="dxa"/>
          </w:tcPr>
          <w:p w14:paraId="395CB948" w14:textId="0D54601A" w:rsidR="00F23BE5" w:rsidRDefault="00F23BE5" w:rsidP="0032587E">
            <w:pPr>
              <w:jc w:val="both"/>
              <w:rPr>
                <w:rFonts w:ascii="Times New Roman" w:hAnsi="Times New Roman" w:cs="Times New Roman"/>
                <w:lang w:val="en-US"/>
              </w:rPr>
            </w:pPr>
            <w:r>
              <w:rPr>
                <w:rFonts w:ascii="Times New Roman" w:hAnsi="Times New Roman" w:cs="Times New Roman"/>
                <w:lang w:val="en-US"/>
              </w:rPr>
              <w:t>Scenario</w:t>
            </w:r>
          </w:p>
        </w:tc>
        <w:tc>
          <w:tcPr>
            <w:tcW w:w="1819" w:type="dxa"/>
          </w:tcPr>
          <w:p w14:paraId="353CC1D9" w14:textId="6996C681" w:rsidR="00F23BE5" w:rsidRDefault="00F23BE5" w:rsidP="0032587E">
            <w:pPr>
              <w:jc w:val="both"/>
              <w:rPr>
                <w:rFonts w:ascii="Times New Roman" w:hAnsi="Times New Roman" w:cs="Times New Roman"/>
                <w:lang w:val="en-US"/>
              </w:rPr>
            </w:pPr>
            <w:r>
              <w:rPr>
                <w:rFonts w:ascii="Times New Roman" w:hAnsi="Times New Roman" w:cs="Times New Roman"/>
                <w:lang w:val="en-US"/>
              </w:rPr>
              <w:t>Rating change (notches)</w:t>
            </w:r>
          </w:p>
        </w:tc>
        <w:tc>
          <w:tcPr>
            <w:tcW w:w="1583" w:type="dxa"/>
          </w:tcPr>
          <w:p w14:paraId="76E55F45" w14:textId="2B377FD5" w:rsidR="00F23BE5" w:rsidRDefault="00F23BE5" w:rsidP="0032587E">
            <w:pPr>
              <w:jc w:val="both"/>
              <w:rPr>
                <w:rFonts w:ascii="Times New Roman" w:hAnsi="Times New Roman" w:cs="Times New Roman"/>
                <w:lang w:val="en-US"/>
              </w:rPr>
            </w:pPr>
            <w:r>
              <w:rPr>
                <w:rFonts w:ascii="Times New Roman" w:hAnsi="Times New Roman" w:cs="Times New Roman"/>
                <w:lang w:val="en-US"/>
              </w:rPr>
              <w:t>Cost of debt premium (%)</w:t>
            </w:r>
          </w:p>
        </w:tc>
        <w:tc>
          <w:tcPr>
            <w:tcW w:w="2925" w:type="dxa"/>
          </w:tcPr>
          <w:p w14:paraId="5884D82B" w14:textId="00CAF4E2" w:rsidR="00F23BE5" w:rsidRDefault="00F23BE5" w:rsidP="0032587E">
            <w:pPr>
              <w:jc w:val="both"/>
              <w:rPr>
                <w:rFonts w:ascii="Times New Roman" w:hAnsi="Times New Roman" w:cs="Times New Roman"/>
                <w:lang w:val="en-US"/>
              </w:rPr>
            </w:pPr>
            <w:r>
              <w:rPr>
                <w:rFonts w:ascii="Times New Roman" w:hAnsi="Times New Roman" w:cs="Times New Roman"/>
                <w:lang w:val="en-US"/>
              </w:rPr>
              <w:t>Change to probability of default (%)</w:t>
            </w:r>
          </w:p>
        </w:tc>
      </w:tr>
      <w:tr w:rsidR="00F23BE5" w14:paraId="7CB747F8" w14:textId="77777777" w:rsidTr="0037304C">
        <w:tc>
          <w:tcPr>
            <w:tcW w:w="2689" w:type="dxa"/>
          </w:tcPr>
          <w:p w14:paraId="22EB1044" w14:textId="0695C403" w:rsidR="00F23BE5" w:rsidRDefault="00F23BE5" w:rsidP="0032587E">
            <w:pPr>
              <w:jc w:val="both"/>
              <w:rPr>
                <w:rFonts w:ascii="Times New Roman" w:hAnsi="Times New Roman" w:cs="Times New Roman"/>
                <w:lang w:val="en-US"/>
              </w:rPr>
            </w:pPr>
            <w:r>
              <w:rPr>
                <w:rFonts w:ascii="Times New Roman" w:hAnsi="Times New Roman" w:cs="Times New Roman"/>
                <w:lang w:val="en-US"/>
              </w:rPr>
              <w:t>Net Zero 2050</w:t>
            </w:r>
          </w:p>
          <w:p w14:paraId="0E1328FC" w14:textId="55155FC3" w:rsidR="00F23BE5" w:rsidRDefault="00F23BE5" w:rsidP="0032587E">
            <w:pPr>
              <w:jc w:val="both"/>
              <w:rPr>
                <w:rFonts w:ascii="Times New Roman" w:hAnsi="Times New Roman" w:cs="Times New Roman"/>
                <w:lang w:val="en-US"/>
              </w:rPr>
            </w:pPr>
          </w:p>
        </w:tc>
        <w:tc>
          <w:tcPr>
            <w:tcW w:w="1819" w:type="dxa"/>
          </w:tcPr>
          <w:p w14:paraId="10180B50" w14:textId="613DB5F7" w:rsidR="00F23BE5" w:rsidRDefault="000D4CD0" w:rsidP="0032587E">
            <w:pPr>
              <w:jc w:val="both"/>
              <w:rPr>
                <w:rFonts w:ascii="Times New Roman" w:hAnsi="Times New Roman" w:cs="Times New Roman"/>
                <w:lang w:val="en-US"/>
              </w:rPr>
            </w:pPr>
            <w:r>
              <w:rPr>
                <w:rFonts w:ascii="Times New Roman" w:hAnsi="Times New Roman" w:cs="Times New Roman"/>
                <w:lang w:val="en-US"/>
              </w:rPr>
              <w:t>-</w:t>
            </w:r>
            <w:r w:rsidR="003136C1">
              <w:rPr>
                <w:rFonts w:ascii="Times New Roman" w:hAnsi="Times New Roman" w:cs="Times New Roman"/>
                <w:lang w:val="en-US"/>
              </w:rPr>
              <w:t>2.</w:t>
            </w:r>
            <w:r w:rsidR="00C40499">
              <w:rPr>
                <w:rFonts w:ascii="Times New Roman" w:hAnsi="Times New Roman" w:cs="Times New Roman"/>
                <w:lang w:val="en-US"/>
              </w:rPr>
              <w:t>69</w:t>
            </w:r>
          </w:p>
        </w:tc>
        <w:tc>
          <w:tcPr>
            <w:tcW w:w="1583" w:type="dxa"/>
          </w:tcPr>
          <w:p w14:paraId="0576C5A5" w14:textId="177AB294" w:rsidR="00F23BE5" w:rsidRDefault="0037304C" w:rsidP="0032587E">
            <w:pPr>
              <w:jc w:val="both"/>
              <w:rPr>
                <w:rFonts w:ascii="Times New Roman" w:hAnsi="Times New Roman" w:cs="Times New Roman"/>
                <w:lang w:val="en-US"/>
              </w:rPr>
            </w:pPr>
            <w:r>
              <w:rPr>
                <w:rFonts w:ascii="Times New Roman" w:hAnsi="Times New Roman" w:cs="Times New Roman"/>
                <w:lang w:val="en-US"/>
              </w:rPr>
              <w:t>0.</w:t>
            </w:r>
            <w:r w:rsidR="00981A8A">
              <w:rPr>
                <w:rFonts w:ascii="Times New Roman" w:hAnsi="Times New Roman" w:cs="Times New Roman"/>
                <w:lang w:val="en-US"/>
              </w:rPr>
              <w:t>76</w:t>
            </w:r>
          </w:p>
        </w:tc>
        <w:tc>
          <w:tcPr>
            <w:tcW w:w="2925" w:type="dxa"/>
          </w:tcPr>
          <w:p w14:paraId="38890CA8" w14:textId="5921962E" w:rsidR="00F23BE5" w:rsidRDefault="002A491B" w:rsidP="0032587E">
            <w:pPr>
              <w:jc w:val="both"/>
              <w:rPr>
                <w:rFonts w:ascii="Times New Roman" w:hAnsi="Times New Roman" w:cs="Times New Roman"/>
                <w:lang w:val="en-US"/>
              </w:rPr>
            </w:pPr>
            <w:r>
              <w:rPr>
                <w:rFonts w:ascii="Times New Roman" w:hAnsi="Times New Roman" w:cs="Times New Roman"/>
                <w:lang w:val="en-US"/>
              </w:rPr>
              <w:t>6.15</w:t>
            </w:r>
          </w:p>
        </w:tc>
      </w:tr>
      <w:tr w:rsidR="002E59D2" w14:paraId="4E34BE3E" w14:textId="77777777" w:rsidTr="0037304C">
        <w:tc>
          <w:tcPr>
            <w:tcW w:w="2689" w:type="dxa"/>
          </w:tcPr>
          <w:p w14:paraId="1E50E51D" w14:textId="21FED401" w:rsidR="002E59D2" w:rsidRDefault="002E59D2" w:rsidP="0032587E">
            <w:pPr>
              <w:jc w:val="both"/>
              <w:rPr>
                <w:rFonts w:ascii="Times New Roman" w:hAnsi="Times New Roman" w:cs="Times New Roman"/>
                <w:lang w:val="en-US"/>
              </w:rPr>
            </w:pPr>
            <w:r>
              <w:rPr>
                <w:rFonts w:ascii="Times New Roman" w:hAnsi="Times New Roman" w:cs="Times New Roman"/>
                <w:lang w:val="en-US"/>
              </w:rPr>
              <w:t>Below 2 C</w:t>
            </w:r>
          </w:p>
        </w:tc>
        <w:tc>
          <w:tcPr>
            <w:tcW w:w="1819" w:type="dxa"/>
          </w:tcPr>
          <w:p w14:paraId="2072524B" w14:textId="788B4850" w:rsidR="002E59D2" w:rsidRDefault="000D4CD0" w:rsidP="0032587E">
            <w:pPr>
              <w:jc w:val="both"/>
              <w:rPr>
                <w:rFonts w:ascii="Times New Roman" w:hAnsi="Times New Roman" w:cs="Times New Roman"/>
                <w:lang w:val="en-US"/>
              </w:rPr>
            </w:pPr>
            <w:r>
              <w:rPr>
                <w:rFonts w:ascii="Times New Roman" w:hAnsi="Times New Roman" w:cs="Times New Roman"/>
                <w:lang w:val="en-US"/>
              </w:rPr>
              <w:t>-</w:t>
            </w:r>
            <w:r w:rsidR="00B735E9">
              <w:rPr>
                <w:rFonts w:ascii="Times New Roman" w:hAnsi="Times New Roman" w:cs="Times New Roman"/>
                <w:lang w:val="en-US"/>
              </w:rPr>
              <w:t>3.13</w:t>
            </w:r>
          </w:p>
        </w:tc>
        <w:tc>
          <w:tcPr>
            <w:tcW w:w="1583" w:type="dxa"/>
          </w:tcPr>
          <w:p w14:paraId="5CCBC908" w14:textId="12620A98" w:rsidR="002E59D2" w:rsidRDefault="00C5063B" w:rsidP="0032587E">
            <w:pPr>
              <w:jc w:val="both"/>
              <w:rPr>
                <w:rFonts w:ascii="Times New Roman" w:hAnsi="Times New Roman" w:cs="Times New Roman"/>
                <w:lang w:val="en-US"/>
              </w:rPr>
            </w:pPr>
            <w:r>
              <w:rPr>
                <w:rFonts w:ascii="Times New Roman" w:hAnsi="Times New Roman" w:cs="Times New Roman"/>
                <w:lang w:val="en-US"/>
              </w:rPr>
              <w:t>0.</w:t>
            </w:r>
            <w:r w:rsidR="00981A8A">
              <w:rPr>
                <w:rFonts w:ascii="Times New Roman" w:hAnsi="Times New Roman" w:cs="Times New Roman"/>
                <w:lang w:val="en-US"/>
              </w:rPr>
              <w:t>89</w:t>
            </w:r>
          </w:p>
        </w:tc>
        <w:tc>
          <w:tcPr>
            <w:tcW w:w="2925" w:type="dxa"/>
          </w:tcPr>
          <w:p w14:paraId="10EC242E" w14:textId="563D217D" w:rsidR="002E59D2" w:rsidRDefault="002A491B" w:rsidP="0032587E">
            <w:pPr>
              <w:jc w:val="both"/>
              <w:rPr>
                <w:rFonts w:ascii="Times New Roman" w:hAnsi="Times New Roman" w:cs="Times New Roman"/>
                <w:lang w:val="en-US"/>
              </w:rPr>
            </w:pPr>
            <w:r>
              <w:rPr>
                <w:rFonts w:ascii="Times New Roman" w:hAnsi="Times New Roman" w:cs="Times New Roman"/>
                <w:lang w:val="en-US"/>
              </w:rPr>
              <w:t>7.11</w:t>
            </w:r>
          </w:p>
        </w:tc>
      </w:tr>
      <w:tr w:rsidR="002E59D2" w14:paraId="537799E5" w14:textId="77777777" w:rsidTr="0037304C">
        <w:tc>
          <w:tcPr>
            <w:tcW w:w="2689" w:type="dxa"/>
          </w:tcPr>
          <w:p w14:paraId="58733FF1" w14:textId="585E1EFD" w:rsidR="002E59D2" w:rsidRDefault="002E59D2" w:rsidP="0032587E">
            <w:pPr>
              <w:jc w:val="both"/>
              <w:rPr>
                <w:rFonts w:ascii="Times New Roman" w:hAnsi="Times New Roman" w:cs="Times New Roman"/>
                <w:lang w:val="en-US"/>
              </w:rPr>
            </w:pPr>
            <w:r>
              <w:rPr>
                <w:rFonts w:ascii="Times New Roman" w:hAnsi="Times New Roman" w:cs="Times New Roman"/>
                <w:lang w:val="en-US"/>
              </w:rPr>
              <w:t>Delayed Transition</w:t>
            </w:r>
          </w:p>
        </w:tc>
        <w:tc>
          <w:tcPr>
            <w:tcW w:w="1819" w:type="dxa"/>
          </w:tcPr>
          <w:p w14:paraId="5868DE36" w14:textId="023AA210" w:rsidR="002E59D2" w:rsidRDefault="000D4CD0" w:rsidP="0032587E">
            <w:pPr>
              <w:jc w:val="both"/>
              <w:rPr>
                <w:rFonts w:ascii="Times New Roman" w:hAnsi="Times New Roman" w:cs="Times New Roman"/>
                <w:lang w:val="en-US"/>
              </w:rPr>
            </w:pPr>
            <w:r>
              <w:rPr>
                <w:rFonts w:ascii="Times New Roman" w:hAnsi="Times New Roman" w:cs="Times New Roman"/>
                <w:lang w:val="en-US"/>
              </w:rPr>
              <w:t>-</w:t>
            </w:r>
            <w:r w:rsidR="00B735E9">
              <w:rPr>
                <w:rFonts w:ascii="Times New Roman" w:hAnsi="Times New Roman" w:cs="Times New Roman"/>
                <w:lang w:val="en-US"/>
              </w:rPr>
              <w:t>3.61</w:t>
            </w:r>
          </w:p>
        </w:tc>
        <w:tc>
          <w:tcPr>
            <w:tcW w:w="1583" w:type="dxa"/>
          </w:tcPr>
          <w:p w14:paraId="4A219967" w14:textId="1593E80F" w:rsidR="002E59D2" w:rsidRDefault="00981A8A" w:rsidP="0032587E">
            <w:pPr>
              <w:jc w:val="both"/>
              <w:rPr>
                <w:rFonts w:ascii="Times New Roman" w:hAnsi="Times New Roman" w:cs="Times New Roman"/>
                <w:lang w:val="en-US"/>
              </w:rPr>
            </w:pPr>
            <w:r>
              <w:rPr>
                <w:rFonts w:ascii="Times New Roman" w:hAnsi="Times New Roman" w:cs="Times New Roman"/>
                <w:lang w:val="en-US"/>
              </w:rPr>
              <w:t>1.10</w:t>
            </w:r>
          </w:p>
        </w:tc>
        <w:tc>
          <w:tcPr>
            <w:tcW w:w="2925" w:type="dxa"/>
          </w:tcPr>
          <w:p w14:paraId="0606F1D1" w14:textId="663A48A3" w:rsidR="002E59D2" w:rsidRDefault="002A491B" w:rsidP="0032587E">
            <w:pPr>
              <w:jc w:val="both"/>
              <w:rPr>
                <w:rFonts w:ascii="Times New Roman" w:hAnsi="Times New Roman" w:cs="Times New Roman"/>
                <w:lang w:val="en-US"/>
              </w:rPr>
            </w:pPr>
            <w:r>
              <w:rPr>
                <w:rFonts w:ascii="Times New Roman" w:hAnsi="Times New Roman" w:cs="Times New Roman"/>
                <w:lang w:val="en-US"/>
              </w:rPr>
              <w:t>9.13</w:t>
            </w:r>
          </w:p>
        </w:tc>
      </w:tr>
      <w:tr w:rsidR="002E59D2" w14:paraId="63864501" w14:textId="77777777" w:rsidTr="0037304C">
        <w:tc>
          <w:tcPr>
            <w:tcW w:w="2689" w:type="dxa"/>
          </w:tcPr>
          <w:p w14:paraId="2E57BE29" w14:textId="48C577D3" w:rsidR="002E59D2" w:rsidRDefault="002E59D2" w:rsidP="0032587E">
            <w:pPr>
              <w:jc w:val="both"/>
              <w:rPr>
                <w:rFonts w:ascii="Times New Roman" w:hAnsi="Times New Roman" w:cs="Times New Roman"/>
                <w:lang w:val="en-US"/>
              </w:rPr>
            </w:pPr>
            <w:r>
              <w:rPr>
                <w:rFonts w:ascii="Times New Roman" w:hAnsi="Times New Roman" w:cs="Times New Roman"/>
                <w:lang w:val="en-US"/>
              </w:rPr>
              <w:t>NDCs</w:t>
            </w:r>
          </w:p>
        </w:tc>
        <w:tc>
          <w:tcPr>
            <w:tcW w:w="1819" w:type="dxa"/>
          </w:tcPr>
          <w:p w14:paraId="7726E7CF" w14:textId="6501701A" w:rsidR="002E59D2" w:rsidRDefault="000D4CD0" w:rsidP="0032587E">
            <w:pPr>
              <w:jc w:val="both"/>
              <w:rPr>
                <w:rFonts w:ascii="Times New Roman" w:hAnsi="Times New Roman" w:cs="Times New Roman"/>
                <w:lang w:val="en-US"/>
              </w:rPr>
            </w:pPr>
            <w:r>
              <w:rPr>
                <w:rFonts w:ascii="Times New Roman" w:hAnsi="Times New Roman" w:cs="Times New Roman"/>
                <w:lang w:val="en-US"/>
              </w:rPr>
              <w:t>-</w:t>
            </w:r>
            <w:r w:rsidR="00B735E9">
              <w:rPr>
                <w:rFonts w:ascii="Times New Roman" w:hAnsi="Times New Roman" w:cs="Times New Roman"/>
                <w:lang w:val="en-US"/>
              </w:rPr>
              <w:t>3.67</w:t>
            </w:r>
          </w:p>
        </w:tc>
        <w:tc>
          <w:tcPr>
            <w:tcW w:w="1583" w:type="dxa"/>
          </w:tcPr>
          <w:p w14:paraId="2A97E3E4" w14:textId="5C3DDF55" w:rsidR="002E59D2" w:rsidRDefault="00981A8A" w:rsidP="0032587E">
            <w:pPr>
              <w:jc w:val="both"/>
              <w:rPr>
                <w:rFonts w:ascii="Times New Roman" w:hAnsi="Times New Roman" w:cs="Times New Roman"/>
                <w:lang w:val="en-US"/>
              </w:rPr>
            </w:pPr>
            <w:r>
              <w:rPr>
                <w:rFonts w:ascii="Times New Roman" w:hAnsi="Times New Roman" w:cs="Times New Roman"/>
                <w:lang w:val="en-US"/>
              </w:rPr>
              <w:t>1.12</w:t>
            </w:r>
          </w:p>
        </w:tc>
        <w:tc>
          <w:tcPr>
            <w:tcW w:w="2925" w:type="dxa"/>
          </w:tcPr>
          <w:p w14:paraId="200E66B1" w14:textId="4CADB9B7" w:rsidR="002E59D2" w:rsidRDefault="00560BA3" w:rsidP="0032587E">
            <w:pPr>
              <w:jc w:val="both"/>
              <w:rPr>
                <w:rFonts w:ascii="Times New Roman" w:hAnsi="Times New Roman" w:cs="Times New Roman"/>
                <w:lang w:val="en-US"/>
              </w:rPr>
            </w:pPr>
            <w:r>
              <w:rPr>
                <w:rFonts w:ascii="Times New Roman" w:hAnsi="Times New Roman" w:cs="Times New Roman"/>
                <w:lang w:val="en-US"/>
              </w:rPr>
              <w:t>9.33</w:t>
            </w:r>
          </w:p>
        </w:tc>
      </w:tr>
      <w:tr w:rsidR="002E59D2" w14:paraId="76DCE0B2" w14:textId="77777777" w:rsidTr="0037304C">
        <w:tc>
          <w:tcPr>
            <w:tcW w:w="2689" w:type="dxa"/>
          </w:tcPr>
          <w:p w14:paraId="311213C0" w14:textId="469E35BC" w:rsidR="002E59D2" w:rsidRDefault="002E59D2" w:rsidP="0032587E">
            <w:pPr>
              <w:jc w:val="both"/>
              <w:rPr>
                <w:rFonts w:ascii="Times New Roman" w:hAnsi="Times New Roman" w:cs="Times New Roman"/>
                <w:lang w:val="en-US"/>
              </w:rPr>
            </w:pPr>
            <w:r>
              <w:rPr>
                <w:rFonts w:ascii="Times New Roman" w:hAnsi="Times New Roman" w:cs="Times New Roman"/>
                <w:lang w:val="en-US"/>
              </w:rPr>
              <w:t>Fragmented World</w:t>
            </w:r>
          </w:p>
        </w:tc>
        <w:tc>
          <w:tcPr>
            <w:tcW w:w="1819" w:type="dxa"/>
          </w:tcPr>
          <w:p w14:paraId="1D8C852B" w14:textId="3FBA794C" w:rsidR="002E59D2" w:rsidRDefault="000D4CD0" w:rsidP="0032587E">
            <w:pPr>
              <w:jc w:val="both"/>
              <w:rPr>
                <w:rFonts w:ascii="Times New Roman" w:hAnsi="Times New Roman" w:cs="Times New Roman"/>
                <w:lang w:val="en-US"/>
              </w:rPr>
            </w:pPr>
            <w:r>
              <w:rPr>
                <w:rFonts w:ascii="Times New Roman" w:hAnsi="Times New Roman" w:cs="Times New Roman"/>
                <w:lang w:val="en-US"/>
              </w:rPr>
              <w:t>-</w:t>
            </w:r>
            <w:r w:rsidR="00B735E9">
              <w:rPr>
                <w:rFonts w:ascii="Times New Roman" w:hAnsi="Times New Roman" w:cs="Times New Roman"/>
                <w:lang w:val="en-US"/>
              </w:rPr>
              <w:t>3.87</w:t>
            </w:r>
          </w:p>
        </w:tc>
        <w:tc>
          <w:tcPr>
            <w:tcW w:w="1583" w:type="dxa"/>
          </w:tcPr>
          <w:p w14:paraId="32DD82FC" w14:textId="070BBF36" w:rsidR="002E59D2" w:rsidRDefault="002A491B" w:rsidP="0032587E">
            <w:pPr>
              <w:jc w:val="both"/>
              <w:rPr>
                <w:rFonts w:ascii="Times New Roman" w:hAnsi="Times New Roman" w:cs="Times New Roman"/>
                <w:lang w:val="en-US"/>
              </w:rPr>
            </w:pPr>
            <w:r>
              <w:rPr>
                <w:rFonts w:ascii="Times New Roman" w:hAnsi="Times New Roman" w:cs="Times New Roman"/>
                <w:lang w:val="en-US"/>
              </w:rPr>
              <w:t>1.23</w:t>
            </w:r>
          </w:p>
        </w:tc>
        <w:tc>
          <w:tcPr>
            <w:tcW w:w="2925" w:type="dxa"/>
          </w:tcPr>
          <w:p w14:paraId="76F6D882" w14:textId="68B33EE0" w:rsidR="002E59D2" w:rsidRDefault="00560BA3" w:rsidP="0032587E">
            <w:pPr>
              <w:jc w:val="both"/>
              <w:rPr>
                <w:rFonts w:ascii="Times New Roman" w:hAnsi="Times New Roman" w:cs="Times New Roman"/>
                <w:lang w:val="en-US"/>
              </w:rPr>
            </w:pPr>
            <w:r>
              <w:rPr>
                <w:rFonts w:ascii="Times New Roman" w:hAnsi="Times New Roman" w:cs="Times New Roman"/>
                <w:lang w:val="en-US"/>
              </w:rPr>
              <w:t>10.40</w:t>
            </w:r>
          </w:p>
        </w:tc>
      </w:tr>
    </w:tbl>
    <w:p w14:paraId="358175FF" w14:textId="24D24D11" w:rsidR="00F23BE5" w:rsidRDefault="0037304C" w:rsidP="0032587E">
      <w:pPr>
        <w:jc w:val="both"/>
        <w:rPr>
          <w:rFonts w:ascii="Times New Roman" w:hAnsi="Times New Roman" w:cs="Times New Roman"/>
          <w:lang w:val="en-US"/>
        </w:rPr>
      </w:pPr>
      <w:r>
        <w:rPr>
          <w:rFonts w:ascii="Times New Roman" w:hAnsi="Times New Roman" w:cs="Times New Roman"/>
          <w:lang w:val="en-US"/>
        </w:rPr>
        <w:lastRenderedPageBreak/>
        <w:t>This table shows the results of our baseline simulations. Column 1 shows the scenario being estimated. Column 2 shows the average change to the credit rating. Column 3 shows the average change to the cost of debt and Column 4 shows the average change in the probability of default.</w:t>
      </w:r>
      <w:r w:rsidR="006717DC">
        <w:rPr>
          <w:rFonts w:ascii="Times New Roman" w:hAnsi="Times New Roman" w:cs="Times New Roman"/>
          <w:lang w:val="en-US"/>
        </w:rPr>
        <w:t xml:space="preserve"> Each of these results are significant at the 1% level in a t-test.</w:t>
      </w:r>
    </w:p>
    <w:p w14:paraId="11704522" w14:textId="77777777" w:rsidR="005559EB" w:rsidRDefault="005559EB" w:rsidP="0032587E">
      <w:pPr>
        <w:jc w:val="both"/>
        <w:rPr>
          <w:rFonts w:ascii="Times New Roman" w:hAnsi="Times New Roman" w:cs="Times New Roman"/>
          <w:lang w:val="en-US"/>
        </w:rPr>
      </w:pPr>
    </w:p>
    <w:p w14:paraId="41C7CF86" w14:textId="42D16E6A" w:rsidR="00FF14EA" w:rsidRDefault="00EF5BB2" w:rsidP="0032587E">
      <w:pPr>
        <w:jc w:val="both"/>
        <w:rPr>
          <w:rFonts w:ascii="Times New Roman" w:hAnsi="Times New Roman" w:cs="Times New Roman"/>
          <w:lang w:val="en-US"/>
        </w:rPr>
      </w:pPr>
      <w:r>
        <w:rPr>
          <w:rFonts w:ascii="Times New Roman" w:hAnsi="Times New Roman" w:cs="Times New Roman"/>
          <w:lang w:val="en-US"/>
        </w:rPr>
        <w:t>Table 4</w:t>
      </w:r>
      <w:r w:rsidR="004825AF">
        <w:rPr>
          <w:rFonts w:ascii="Times New Roman" w:hAnsi="Times New Roman" w:cs="Times New Roman"/>
          <w:lang w:val="en-US"/>
        </w:rPr>
        <w:t>: Robustness</w:t>
      </w:r>
    </w:p>
    <w:tbl>
      <w:tblPr>
        <w:tblStyle w:val="TableGrid"/>
        <w:tblW w:w="0" w:type="auto"/>
        <w:tblLook w:val="04A0" w:firstRow="1" w:lastRow="0" w:firstColumn="1" w:lastColumn="0" w:noHBand="0" w:noVBand="1"/>
      </w:tblPr>
      <w:tblGrid>
        <w:gridCol w:w="1803"/>
        <w:gridCol w:w="1803"/>
        <w:gridCol w:w="1803"/>
        <w:gridCol w:w="1803"/>
        <w:gridCol w:w="1804"/>
      </w:tblGrid>
      <w:tr w:rsidR="0072223E" w14:paraId="5F0EAE80" w14:textId="77777777" w:rsidTr="0072223E">
        <w:tc>
          <w:tcPr>
            <w:tcW w:w="1803" w:type="dxa"/>
          </w:tcPr>
          <w:p w14:paraId="125C0C18" w14:textId="02B31C78" w:rsidR="0072223E" w:rsidRDefault="0072223E" w:rsidP="0032587E">
            <w:pPr>
              <w:jc w:val="both"/>
              <w:rPr>
                <w:rFonts w:ascii="Times New Roman" w:hAnsi="Times New Roman" w:cs="Times New Roman"/>
                <w:lang w:val="en-US"/>
              </w:rPr>
            </w:pPr>
            <w:r>
              <w:rPr>
                <w:rFonts w:ascii="Times New Roman" w:hAnsi="Times New Roman" w:cs="Times New Roman"/>
                <w:lang w:val="en-US"/>
              </w:rPr>
              <w:t>Scenario</w:t>
            </w:r>
          </w:p>
        </w:tc>
        <w:tc>
          <w:tcPr>
            <w:tcW w:w="1803" w:type="dxa"/>
          </w:tcPr>
          <w:p w14:paraId="7048BB4C" w14:textId="04F4428B" w:rsidR="0072223E" w:rsidRDefault="00DE5E29" w:rsidP="0032587E">
            <w:pPr>
              <w:jc w:val="both"/>
              <w:rPr>
                <w:rFonts w:ascii="Times New Roman" w:hAnsi="Times New Roman" w:cs="Times New Roman"/>
                <w:lang w:val="en-US"/>
              </w:rPr>
            </w:pPr>
            <w:r>
              <w:rPr>
                <w:rFonts w:ascii="Times New Roman" w:hAnsi="Times New Roman" w:cs="Times New Roman"/>
                <w:lang w:val="en-US"/>
              </w:rPr>
              <w:t>β</w:t>
            </w:r>
            <w:r w:rsidR="004A6D8E">
              <w:rPr>
                <w:rFonts w:ascii="Times New Roman" w:hAnsi="Times New Roman" w:cs="Times New Roman"/>
                <w:lang w:val="en-US"/>
              </w:rPr>
              <w:t xml:space="preserve"> estimate</w:t>
            </w:r>
          </w:p>
        </w:tc>
        <w:tc>
          <w:tcPr>
            <w:tcW w:w="1803" w:type="dxa"/>
          </w:tcPr>
          <w:p w14:paraId="314656DC" w14:textId="51BC0CD5" w:rsidR="0072223E" w:rsidRDefault="00292343" w:rsidP="0032587E">
            <w:pPr>
              <w:jc w:val="both"/>
              <w:rPr>
                <w:rFonts w:ascii="Times New Roman" w:hAnsi="Times New Roman" w:cs="Times New Roman"/>
                <w:lang w:val="en-US"/>
              </w:rPr>
            </w:pPr>
            <w:r>
              <w:rPr>
                <w:rFonts w:ascii="Times New Roman" w:hAnsi="Times New Roman" w:cs="Times New Roman"/>
                <w:lang w:val="en-US"/>
              </w:rPr>
              <w:t>t-value</w:t>
            </w:r>
          </w:p>
        </w:tc>
        <w:tc>
          <w:tcPr>
            <w:tcW w:w="1803" w:type="dxa"/>
          </w:tcPr>
          <w:p w14:paraId="727F0053" w14:textId="4883F952" w:rsidR="0072223E" w:rsidRDefault="00292343" w:rsidP="0032587E">
            <w:pPr>
              <w:jc w:val="both"/>
              <w:rPr>
                <w:rFonts w:ascii="Times New Roman" w:hAnsi="Times New Roman" w:cs="Times New Roman"/>
                <w:lang w:val="en-US"/>
              </w:rPr>
            </w:pPr>
            <w:r>
              <w:rPr>
                <w:rFonts w:ascii="Times New Roman" w:hAnsi="Times New Roman" w:cs="Times New Roman"/>
                <w:lang w:val="en-US"/>
              </w:rPr>
              <w:t>t-value (robust)</w:t>
            </w:r>
          </w:p>
        </w:tc>
        <w:tc>
          <w:tcPr>
            <w:tcW w:w="1804" w:type="dxa"/>
          </w:tcPr>
          <w:p w14:paraId="0D3C5828" w14:textId="5B3EC9B1" w:rsidR="0072223E" w:rsidRDefault="00292343" w:rsidP="0032587E">
            <w:pPr>
              <w:jc w:val="both"/>
              <w:rPr>
                <w:rFonts w:ascii="Times New Roman" w:hAnsi="Times New Roman" w:cs="Times New Roman"/>
                <w:lang w:val="en-US"/>
              </w:rPr>
            </w:pPr>
            <w:r>
              <w:rPr>
                <w:rFonts w:ascii="Times New Roman" w:hAnsi="Times New Roman" w:cs="Times New Roman"/>
                <w:lang w:val="en-US"/>
              </w:rPr>
              <w:t>R</w:t>
            </w:r>
            <w:r w:rsidR="00DE5E29">
              <w:rPr>
                <w:rFonts w:ascii="Times New Roman" w:hAnsi="Times New Roman" w:cs="Times New Roman"/>
                <w:lang w:val="en-US"/>
              </w:rPr>
              <w:t>²</w:t>
            </w:r>
          </w:p>
        </w:tc>
      </w:tr>
      <w:tr w:rsidR="0072223E" w14:paraId="224A4BB6" w14:textId="77777777" w:rsidTr="0072223E">
        <w:tc>
          <w:tcPr>
            <w:tcW w:w="1803" w:type="dxa"/>
          </w:tcPr>
          <w:p w14:paraId="514958A3" w14:textId="1484BA1B" w:rsidR="0072223E" w:rsidRDefault="0072223E" w:rsidP="0032587E">
            <w:pPr>
              <w:jc w:val="both"/>
              <w:rPr>
                <w:rFonts w:ascii="Times New Roman" w:hAnsi="Times New Roman" w:cs="Times New Roman"/>
                <w:lang w:val="en-US"/>
              </w:rPr>
            </w:pPr>
            <w:r>
              <w:rPr>
                <w:rFonts w:ascii="Times New Roman" w:hAnsi="Times New Roman" w:cs="Times New Roman"/>
                <w:lang w:val="en-US"/>
              </w:rPr>
              <w:t>Net Zero 2050</w:t>
            </w:r>
          </w:p>
        </w:tc>
        <w:tc>
          <w:tcPr>
            <w:tcW w:w="1803" w:type="dxa"/>
          </w:tcPr>
          <w:p w14:paraId="05DA53E3" w14:textId="3F80036C" w:rsidR="0072223E" w:rsidRDefault="005201BE" w:rsidP="0032587E">
            <w:pPr>
              <w:jc w:val="both"/>
              <w:rPr>
                <w:rFonts w:ascii="Times New Roman" w:hAnsi="Times New Roman" w:cs="Times New Roman"/>
                <w:lang w:val="en-US"/>
              </w:rPr>
            </w:pPr>
            <w:r>
              <w:rPr>
                <w:rFonts w:ascii="Times New Roman" w:hAnsi="Times New Roman" w:cs="Times New Roman"/>
                <w:lang w:val="en-US"/>
              </w:rPr>
              <w:t>-0.</w:t>
            </w:r>
            <w:r w:rsidR="00250AF1">
              <w:rPr>
                <w:rFonts w:ascii="Times New Roman" w:hAnsi="Times New Roman" w:cs="Times New Roman"/>
                <w:lang w:val="en-US"/>
              </w:rPr>
              <w:t>9</w:t>
            </w:r>
            <w:r w:rsidR="00FB475D">
              <w:rPr>
                <w:rFonts w:ascii="Times New Roman" w:hAnsi="Times New Roman" w:cs="Times New Roman"/>
                <w:lang w:val="en-US"/>
              </w:rPr>
              <w:t>5</w:t>
            </w:r>
          </w:p>
        </w:tc>
        <w:tc>
          <w:tcPr>
            <w:tcW w:w="1803" w:type="dxa"/>
          </w:tcPr>
          <w:p w14:paraId="23D0E9CF" w14:textId="5E3E0F7D" w:rsidR="0072223E" w:rsidRDefault="00F008AD" w:rsidP="0032587E">
            <w:pPr>
              <w:jc w:val="both"/>
              <w:rPr>
                <w:rFonts w:ascii="Times New Roman" w:hAnsi="Times New Roman" w:cs="Times New Roman"/>
                <w:lang w:val="en-US"/>
              </w:rPr>
            </w:pPr>
            <w:r>
              <w:rPr>
                <w:rFonts w:ascii="Times New Roman" w:hAnsi="Times New Roman" w:cs="Times New Roman"/>
                <w:lang w:val="en-US"/>
              </w:rPr>
              <w:t>-</w:t>
            </w:r>
            <w:r w:rsidR="00457E34">
              <w:rPr>
                <w:rFonts w:ascii="Times New Roman" w:hAnsi="Times New Roman" w:cs="Times New Roman"/>
                <w:lang w:val="en-US"/>
              </w:rPr>
              <w:t>3.4</w:t>
            </w:r>
            <w:r w:rsidR="00FB475D">
              <w:rPr>
                <w:rFonts w:ascii="Times New Roman" w:hAnsi="Times New Roman" w:cs="Times New Roman"/>
                <w:lang w:val="en-US"/>
              </w:rPr>
              <w:t>9</w:t>
            </w:r>
          </w:p>
        </w:tc>
        <w:tc>
          <w:tcPr>
            <w:tcW w:w="1803" w:type="dxa"/>
          </w:tcPr>
          <w:p w14:paraId="20A66279" w14:textId="0DE50AF3" w:rsidR="0072223E" w:rsidRDefault="00F008AD" w:rsidP="0032587E">
            <w:pPr>
              <w:jc w:val="both"/>
              <w:rPr>
                <w:rFonts w:ascii="Times New Roman" w:hAnsi="Times New Roman" w:cs="Times New Roman"/>
                <w:lang w:val="en-US"/>
              </w:rPr>
            </w:pPr>
            <w:r>
              <w:rPr>
                <w:rFonts w:ascii="Times New Roman" w:hAnsi="Times New Roman" w:cs="Times New Roman"/>
                <w:lang w:val="en-US"/>
              </w:rPr>
              <w:t>-3.</w:t>
            </w:r>
            <w:r w:rsidR="00FB475D">
              <w:rPr>
                <w:rFonts w:ascii="Times New Roman" w:hAnsi="Times New Roman" w:cs="Times New Roman"/>
                <w:lang w:val="en-US"/>
              </w:rPr>
              <w:t>70</w:t>
            </w:r>
          </w:p>
        </w:tc>
        <w:tc>
          <w:tcPr>
            <w:tcW w:w="1804" w:type="dxa"/>
          </w:tcPr>
          <w:p w14:paraId="2A1C7F3F" w14:textId="26E1CC45" w:rsidR="0072223E" w:rsidRDefault="00F008AD" w:rsidP="0032587E">
            <w:pPr>
              <w:jc w:val="both"/>
              <w:rPr>
                <w:rFonts w:ascii="Times New Roman" w:hAnsi="Times New Roman" w:cs="Times New Roman"/>
                <w:lang w:val="en-US"/>
              </w:rPr>
            </w:pPr>
            <w:r>
              <w:rPr>
                <w:rFonts w:ascii="Times New Roman" w:hAnsi="Times New Roman" w:cs="Times New Roman"/>
                <w:lang w:val="en-US"/>
              </w:rPr>
              <w:t>0.2</w:t>
            </w:r>
            <w:r w:rsidR="00457E34">
              <w:rPr>
                <w:rFonts w:ascii="Times New Roman" w:hAnsi="Times New Roman" w:cs="Times New Roman"/>
                <w:lang w:val="en-US"/>
              </w:rPr>
              <w:t>0</w:t>
            </w:r>
          </w:p>
        </w:tc>
      </w:tr>
      <w:tr w:rsidR="0072223E" w14:paraId="7116F927" w14:textId="77777777" w:rsidTr="0072223E">
        <w:tc>
          <w:tcPr>
            <w:tcW w:w="1803" w:type="dxa"/>
          </w:tcPr>
          <w:p w14:paraId="174744F5" w14:textId="4F3F6AF9" w:rsidR="0072223E" w:rsidRDefault="0072223E" w:rsidP="0032587E">
            <w:pPr>
              <w:jc w:val="both"/>
              <w:rPr>
                <w:rFonts w:ascii="Times New Roman" w:hAnsi="Times New Roman" w:cs="Times New Roman"/>
                <w:lang w:val="en-US"/>
              </w:rPr>
            </w:pPr>
            <w:r>
              <w:rPr>
                <w:rFonts w:ascii="Times New Roman" w:hAnsi="Times New Roman" w:cs="Times New Roman"/>
                <w:lang w:val="en-US"/>
              </w:rPr>
              <w:t>Below 2</w:t>
            </w:r>
          </w:p>
        </w:tc>
        <w:tc>
          <w:tcPr>
            <w:tcW w:w="1803" w:type="dxa"/>
          </w:tcPr>
          <w:p w14:paraId="242D3B8E" w14:textId="4D93AC26" w:rsidR="0072223E" w:rsidRDefault="005201BE" w:rsidP="0032587E">
            <w:pPr>
              <w:jc w:val="both"/>
              <w:rPr>
                <w:rFonts w:ascii="Times New Roman" w:hAnsi="Times New Roman" w:cs="Times New Roman"/>
                <w:lang w:val="en-US"/>
              </w:rPr>
            </w:pPr>
            <w:r>
              <w:rPr>
                <w:rFonts w:ascii="Times New Roman" w:hAnsi="Times New Roman" w:cs="Times New Roman"/>
                <w:lang w:val="en-US"/>
              </w:rPr>
              <w:t>-0.</w:t>
            </w:r>
            <w:r w:rsidR="00C5223B">
              <w:rPr>
                <w:rFonts w:ascii="Times New Roman" w:hAnsi="Times New Roman" w:cs="Times New Roman"/>
                <w:lang w:val="en-US"/>
              </w:rPr>
              <w:t>80</w:t>
            </w:r>
          </w:p>
        </w:tc>
        <w:tc>
          <w:tcPr>
            <w:tcW w:w="1803" w:type="dxa"/>
          </w:tcPr>
          <w:p w14:paraId="7652742D" w14:textId="765500E2" w:rsidR="0072223E" w:rsidRDefault="005201BE" w:rsidP="0032587E">
            <w:pPr>
              <w:jc w:val="both"/>
              <w:rPr>
                <w:rFonts w:ascii="Times New Roman" w:hAnsi="Times New Roman" w:cs="Times New Roman"/>
                <w:lang w:val="en-US"/>
              </w:rPr>
            </w:pPr>
            <w:r>
              <w:rPr>
                <w:rFonts w:ascii="Times New Roman" w:hAnsi="Times New Roman" w:cs="Times New Roman"/>
                <w:lang w:val="en-US"/>
              </w:rPr>
              <w:t>-</w:t>
            </w:r>
            <w:r w:rsidR="00457E34">
              <w:rPr>
                <w:rFonts w:ascii="Times New Roman" w:hAnsi="Times New Roman" w:cs="Times New Roman"/>
                <w:lang w:val="en-US"/>
              </w:rPr>
              <w:t>2.</w:t>
            </w:r>
            <w:r w:rsidR="00C5223B">
              <w:rPr>
                <w:rFonts w:ascii="Times New Roman" w:hAnsi="Times New Roman" w:cs="Times New Roman"/>
                <w:lang w:val="en-US"/>
              </w:rPr>
              <w:t>57</w:t>
            </w:r>
          </w:p>
        </w:tc>
        <w:tc>
          <w:tcPr>
            <w:tcW w:w="1803" w:type="dxa"/>
          </w:tcPr>
          <w:p w14:paraId="543FC806" w14:textId="1979EBF7" w:rsidR="0072223E" w:rsidRDefault="005201BE" w:rsidP="0032587E">
            <w:pPr>
              <w:jc w:val="both"/>
              <w:rPr>
                <w:rFonts w:ascii="Times New Roman" w:hAnsi="Times New Roman" w:cs="Times New Roman"/>
                <w:lang w:val="en-US"/>
              </w:rPr>
            </w:pPr>
            <w:r>
              <w:rPr>
                <w:rFonts w:ascii="Times New Roman" w:hAnsi="Times New Roman" w:cs="Times New Roman"/>
                <w:lang w:val="en-US"/>
              </w:rPr>
              <w:t>-</w:t>
            </w:r>
            <w:r w:rsidR="001B56B8">
              <w:rPr>
                <w:rFonts w:ascii="Times New Roman" w:hAnsi="Times New Roman" w:cs="Times New Roman"/>
                <w:lang w:val="en-US"/>
              </w:rPr>
              <w:t>2.</w:t>
            </w:r>
            <w:r w:rsidR="00C5223B">
              <w:rPr>
                <w:rFonts w:ascii="Times New Roman" w:hAnsi="Times New Roman" w:cs="Times New Roman"/>
                <w:lang w:val="en-US"/>
              </w:rPr>
              <w:t>66</w:t>
            </w:r>
          </w:p>
        </w:tc>
        <w:tc>
          <w:tcPr>
            <w:tcW w:w="1804" w:type="dxa"/>
          </w:tcPr>
          <w:p w14:paraId="2DE97AC1" w14:textId="37C886EF" w:rsidR="0072223E" w:rsidRDefault="005201BE" w:rsidP="0032587E">
            <w:pPr>
              <w:jc w:val="both"/>
              <w:rPr>
                <w:rFonts w:ascii="Times New Roman" w:hAnsi="Times New Roman" w:cs="Times New Roman"/>
                <w:lang w:val="en-US"/>
              </w:rPr>
            </w:pPr>
            <w:r>
              <w:rPr>
                <w:rFonts w:ascii="Times New Roman" w:hAnsi="Times New Roman" w:cs="Times New Roman"/>
                <w:lang w:val="en-US"/>
              </w:rPr>
              <w:t>0.</w:t>
            </w:r>
            <w:r w:rsidR="00C5223B">
              <w:rPr>
                <w:rFonts w:ascii="Times New Roman" w:hAnsi="Times New Roman" w:cs="Times New Roman"/>
                <w:lang w:val="en-US"/>
              </w:rPr>
              <w:t>11</w:t>
            </w:r>
          </w:p>
        </w:tc>
      </w:tr>
      <w:tr w:rsidR="0072223E" w14:paraId="48A1D6D5" w14:textId="77777777" w:rsidTr="0072223E">
        <w:tc>
          <w:tcPr>
            <w:tcW w:w="1803" w:type="dxa"/>
          </w:tcPr>
          <w:p w14:paraId="19615278" w14:textId="3B589088" w:rsidR="0072223E" w:rsidRDefault="0072223E" w:rsidP="0032587E">
            <w:pPr>
              <w:jc w:val="both"/>
              <w:rPr>
                <w:rFonts w:ascii="Times New Roman" w:hAnsi="Times New Roman" w:cs="Times New Roman"/>
                <w:lang w:val="en-US"/>
              </w:rPr>
            </w:pPr>
            <w:r>
              <w:rPr>
                <w:rFonts w:ascii="Times New Roman" w:hAnsi="Times New Roman" w:cs="Times New Roman"/>
                <w:lang w:val="en-US"/>
              </w:rPr>
              <w:t>Delayed Transition</w:t>
            </w:r>
          </w:p>
        </w:tc>
        <w:tc>
          <w:tcPr>
            <w:tcW w:w="1803" w:type="dxa"/>
          </w:tcPr>
          <w:p w14:paraId="45A57E77" w14:textId="02F9EB44" w:rsidR="0072223E" w:rsidRDefault="00F008AD" w:rsidP="0032587E">
            <w:pPr>
              <w:jc w:val="both"/>
              <w:rPr>
                <w:rFonts w:ascii="Times New Roman" w:hAnsi="Times New Roman" w:cs="Times New Roman"/>
                <w:lang w:val="en-US"/>
              </w:rPr>
            </w:pPr>
            <w:r>
              <w:rPr>
                <w:rFonts w:ascii="Times New Roman" w:hAnsi="Times New Roman" w:cs="Times New Roman"/>
                <w:lang w:val="en-US"/>
              </w:rPr>
              <w:t>-0.</w:t>
            </w:r>
            <w:r w:rsidR="001B56B8">
              <w:rPr>
                <w:rFonts w:ascii="Times New Roman" w:hAnsi="Times New Roman" w:cs="Times New Roman"/>
                <w:lang w:val="en-US"/>
              </w:rPr>
              <w:t>8</w:t>
            </w:r>
            <w:r w:rsidR="00C5223B">
              <w:rPr>
                <w:rFonts w:ascii="Times New Roman" w:hAnsi="Times New Roman" w:cs="Times New Roman"/>
                <w:lang w:val="en-US"/>
              </w:rPr>
              <w:t>6</w:t>
            </w:r>
          </w:p>
        </w:tc>
        <w:tc>
          <w:tcPr>
            <w:tcW w:w="1803" w:type="dxa"/>
          </w:tcPr>
          <w:p w14:paraId="78F16FE5" w14:textId="06624879" w:rsidR="0072223E" w:rsidRDefault="00F008AD" w:rsidP="0032587E">
            <w:pPr>
              <w:jc w:val="both"/>
              <w:rPr>
                <w:rFonts w:ascii="Times New Roman" w:hAnsi="Times New Roman" w:cs="Times New Roman"/>
                <w:lang w:val="en-US"/>
              </w:rPr>
            </w:pPr>
            <w:r>
              <w:rPr>
                <w:rFonts w:ascii="Times New Roman" w:hAnsi="Times New Roman" w:cs="Times New Roman"/>
                <w:lang w:val="en-US"/>
              </w:rPr>
              <w:t>-</w:t>
            </w:r>
            <w:r w:rsidR="001B56B8">
              <w:rPr>
                <w:rFonts w:ascii="Times New Roman" w:hAnsi="Times New Roman" w:cs="Times New Roman"/>
                <w:lang w:val="en-US"/>
              </w:rPr>
              <w:t>2.4</w:t>
            </w:r>
            <w:r w:rsidR="00C5223B">
              <w:rPr>
                <w:rFonts w:ascii="Times New Roman" w:hAnsi="Times New Roman" w:cs="Times New Roman"/>
                <w:lang w:val="en-US"/>
              </w:rPr>
              <w:t>2</w:t>
            </w:r>
          </w:p>
        </w:tc>
        <w:tc>
          <w:tcPr>
            <w:tcW w:w="1803" w:type="dxa"/>
          </w:tcPr>
          <w:p w14:paraId="615EAE22" w14:textId="5629DB80" w:rsidR="0072223E" w:rsidRDefault="00F008AD" w:rsidP="0032587E">
            <w:pPr>
              <w:jc w:val="both"/>
              <w:rPr>
                <w:rFonts w:ascii="Times New Roman" w:hAnsi="Times New Roman" w:cs="Times New Roman"/>
                <w:lang w:val="en-US"/>
              </w:rPr>
            </w:pPr>
            <w:r>
              <w:rPr>
                <w:rFonts w:ascii="Times New Roman" w:hAnsi="Times New Roman" w:cs="Times New Roman"/>
                <w:lang w:val="en-US"/>
              </w:rPr>
              <w:t>-</w:t>
            </w:r>
            <w:r w:rsidR="001B56B8">
              <w:rPr>
                <w:rFonts w:ascii="Times New Roman" w:hAnsi="Times New Roman" w:cs="Times New Roman"/>
                <w:lang w:val="en-US"/>
              </w:rPr>
              <w:t>2.</w:t>
            </w:r>
            <w:r w:rsidR="0010507A">
              <w:rPr>
                <w:rFonts w:ascii="Times New Roman" w:hAnsi="Times New Roman" w:cs="Times New Roman"/>
                <w:lang w:val="en-US"/>
              </w:rPr>
              <w:t>29</w:t>
            </w:r>
          </w:p>
        </w:tc>
        <w:tc>
          <w:tcPr>
            <w:tcW w:w="1804" w:type="dxa"/>
          </w:tcPr>
          <w:p w14:paraId="084B37A1" w14:textId="1ED69DB6" w:rsidR="0072223E" w:rsidRDefault="00F008AD" w:rsidP="0032587E">
            <w:pPr>
              <w:jc w:val="both"/>
              <w:rPr>
                <w:rFonts w:ascii="Times New Roman" w:hAnsi="Times New Roman" w:cs="Times New Roman"/>
                <w:lang w:val="en-US"/>
              </w:rPr>
            </w:pPr>
            <w:r>
              <w:rPr>
                <w:rFonts w:ascii="Times New Roman" w:hAnsi="Times New Roman" w:cs="Times New Roman"/>
                <w:lang w:val="en-US"/>
              </w:rPr>
              <w:t>0.</w:t>
            </w:r>
            <w:r w:rsidR="001B56B8">
              <w:rPr>
                <w:rFonts w:ascii="Times New Roman" w:hAnsi="Times New Roman" w:cs="Times New Roman"/>
                <w:lang w:val="en-US"/>
              </w:rPr>
              <w:t>10</w:t>
            </w:r>
          </w:p>
        </w:tc>
      </w:tr>
      <w:tr w:rsidR="0072223E" w14:paraId="119EBE96" w14:textId="77777777" w:rsidTr="0072223E">
        <w:tc>
          <w:tcPr>
            <w:tcW w:w="1803" w:type="dxa"/>
          </w:tcPr>
          <w:p w14:paraId="03BB7DD4" w14:textId="52CD4E9D" w:rsidR="0072223E" w:rsidRDefault="0072223E" w:rsidP="0032587E">
            <w:pPr>
              <w:jc w:val="both"/>
              <w:rPr>
                <w:rFonts w:ascii="Times New Roman" w:hAnsi="Times New Roman" w:cs="Times New Roman"/>
                <w:lang w:val="en-US"/>
              </w:rPr>
            </w:pPr>
            <w:r>
              <w:rPr>
                <w:rFonts w:ascii="Times New Roman" w:hAnsi="Times New Roman" w:cs="Times New Roman"/>
                <w:lang w:val="en-US"/>
              </w:rPr>
              <w:t>NDCs</w:t>
            </w:r>
          </w:p>
        </w:tc>
        <w:tc>
          <w:tcPr>
            <w:tcW w:w="1803" w:type="dxa"/>
          </w:tcPr>
          <w:p w14:paraId="4AD6D654" w14:textId="2A6D0B49" w:rsidR="0072223E" w:rsidRDefault="00292343" w:rsidP="0032587E">
            <w:pPr>
              <w:jc w:val="both"/>
              <w:rPr>
                <w:rFonts w:ascii="Times New Roman" w:hAnsi="Times New Roman" w:cs="Times New Roman"/>
                <w:lang w:val="en-US"/>
              </w:rPr>
            </w:pPr>
            <w:r>
              <w:rPr>
                <w:rFonts w:ascii="Times New Roman" w:hAnsi="Times New Roman" w:cs="Times New Roman"/>
                <w:lang w:val="en-US"/>
              </w:rPr>
              <w:t>-0.</w:t>
            </w:r>
            <w:r w:rsidR="0010507A">
              <w:rPr>
                <w:rFonts w:ascii="Times New Roman" w:hAnsi="Times New Roman" w:cs="Times New Roman"/>
                <w:lang w:val="en-US"/>
              </w:rPr>
              <w:t>87</w:t>
            </w:r>
          </w:p>
        </w:tc>
        <w:tc>
          <w:tcPr>
            <w:tcW w:w="1803" w:type="dxa"/>
          </w:tcPr>
          <w:p w14:paraId="2EE923B7" w14:textId="7FA5C988" w:rsidR="0072223E" w:rsidRDefault="00292343" w:rsidP="0032587E">
            <w:pPr>
              <w:jc w:val="both"/>
              <w:rPr>
                <w:rFonts w:ascii="Times New Roman" w:hAnsi="Times New Roman" w:cs="Times New Roman"/>
                <w:lang w:val="en-US"/>
              </w:rPr>
            </w:pPr>
            <w:r>
              <w:rPr>
                <w:rFonts w:ascii="Times New Roman" w:hAnsi="Times New Roman" w:cs="Times New Roman"/>
                <w:lang w:val="en-US"/>
              </w:rPr>
              <w:t>-</w:t>
            </w:r>
            <w:r w:rsidR="000C0D4D">
              <w:rPr>
                <w:rFonts w:ascii="Times New Roman" w:hAnsi="Times New Roman" w:cs="Times New Roman"/>
                <w:lang w:val="en-US"/>
              </w:rPr>
              <w:t>2.</w:t>
            </w:r>
            <w:r w:rsidR="0010507A">
              <w:rPr>
                <w:rFonts w:ascii="Times New Roman" w:hAnsi="Times New Roman" w:cs="Times New Roman"/>
                <w:lang w:val="en-US"/>
              </w:rPr>
              <w:t>37</w:t>
            </w:r>
          </w:p>
        </w:tc>
        <w:tc>
          <w:tcPr>
            <w:tcW w:w="1803" w:type="dxa"/>
          </w:tcPr>
          <w:p w14:paraId="410BFD18" w14:textId="7F402B97" w:rsidR="0072223E" w:rsidRDefault="00292343" w:rsidP="0032587E">
            <w:pPr>
              <w:jc w:val="both"/>
              <w:rPr>
                <w:rFonts w:ascii="Times New Roman" w:hAnsi="Times New Roman" w:cs="Times New Roman"/>
                <w:lang w:val="en-US"/>
              </w:rPr>
            </w:pPr>
            <w:r>
              <w:rPr>
                <w:rFonts w:ascii="Times New Roman" w:hAnsi="Times New Roman" w:cs="Times New Roman"/>
                <w:lang w:val="en-US"/>
              </w:rPr>
              <w:t>-</w:t>
            </w:r>
            <w:r w:rsidR="000C0D4D">
              <w:rPr>
                <w:rFonts w:ascii="Times New Roman" w:hAnsi="Times New Roman" w:cs="Times New Roman"/>
                <w:lang w:val="en-US"/>
              </w:rPr>
              <w:t>2.</w:t>
            </w:r>
            <w:r w:rsidR="0010507A">
              <w:rPr>
                <w:rFonts w:ascii="Times New Roman" w:hAnsi="Times New Roman" w:cs="Times New Roman"/>
                <w:lang w:val="en-US"/>
              </w:rPr>
              <w:t>42</w:t>
            </w:r>
          </w:p>
        </w:tc>
        <w:tc>
          <w:tcPr>
            <w:tcW w:w="1804" w:type="dxa"/>
          </w:tcPr>
          <w:p w14:paraId="03F964DA" w14:textId="20F2DB29" w:rsidR="0072223E" w:rsidRDefault="00292343" w:rsidP="0032587E">
            <w:pPr>
              <w:jc w:val="both"/>
              <w:rPr>
                <w:rFonts w:ascii="Times New Roman" w:hAnsi="Times New Roman" w:cs="Times New Roman"/>
                <w:lang w:val="en-US"/>
              </w:rPr>
            </w:pPr>
            <w:r>
              <w:rPr>
                <w:rFonts w:ascii="Times New Roman" w:hAnsi="Times New Roman" w:cs="Times New Roman"/>
                <w:lang w:val="en-US"/>
              </w:rPr>
              <w:t>0.</w:t>
            </w:r>
            <w:r w:rsidR="000C0D4D">
              <w:rPr>
                <w:rFonts w:ascii="Times New Roman" w:hAnsi="Times New Roman" w:cs="Times New Roman"/>
                <w:lang w:val="en-US"/>
              </w:rPr>
              <w:t>0</w:t>
            </w:r>
            <w:r w:rsidR="0010507A">
              <w:rPr>
                <w:rFonts w:ascii="Times New Roman" w:hAnsi="Times New Roman" w:cs="Times New Roman"/>
                <w:lang w:val="en-US"/>
              </w:rPr>
              <w:t>9</w:t>
            </w:r>
          </w:p>
        </w:tc>
      </w:tr>
      <w:tr w:rsidR="0072223E" w14:paraId="1903FD7F" w14:textId="77777777" w:rsidTr="0072223E">
        <w:tc>
          <w:tcPr>
            <w:tcW w:w="1803" w:type="dxa"/>
          </w:tcPr>
          <w:p w14:paraId="12024D99" w14:textId="64880BA0" w:rsidR="0072223E" w:rsidRDefault="0072223E" w:rsidP="0032587E">
            <w:pPr>
              <w:jc w:val="both"/>
              <w:rPr>
                <w:rFonts w:ascii="Times New Roman" w:hAnsi="Times New Roman" w:cs="Times New Roman"/>
                <w:lang w:val="en-US"/>
              </w:rPr>
            </w:pPr>
            <w:r>
              <w:rPr>
                <w:rFonts w:ascii="Times New Roman" w:hAnsi="Times New Roman" w:cs="Times New Roman"/>
                <w:lang w:val="en-US"/>
              </w:rPr>
              <w:t>Fragmented World</w:t>
            </w:r>
          </w:p>
        </w:tc>
        <w:tc>
          <w:tcPr>
            <w:tcW w:w="1803" w:type="dxa"/>
          </w:tcPr>
          <w:p w14:paraId="7D679688" w14:textId="4C469A59" w:rsidR="0072223E" w:rsidRDefault="0072223E" w:rsidP="0032587E">
            <w:pPr>
              <w:jc w:val="both"/>
              <w:rPr>
                <w:rFonts w:ascii="Times New Roman" w:hAnsi="Times New Roman" w:cs="Times New Roman"/>
                <w:lang w:val="en-US"/>
              </w:rPr>
            </w:pPr>
            <w:r>
              <w:rPr>
                <w:rFonts w:ascii="Times New Roman" w:hAnsi="Times New Roman" w:cs="Times New Roman"/>
                <w:lang w:val="en-US"/>
              </w:rPr>
              <w:t>-0.</w:t>
            </w:r>
            <w:r w:rsidR="000C0D4D">
              <w:rPr>
                <w:rFonts w:ascii="Times New Roman" w:hAnsi="Times New Roman" w:cs="Times New Roman"/>
                <w:lang w:val="en-US"/>
              </w:rPr>
              <w:t>8</w:t>
            </w:r>
            <w:r w:rsidR="0010507A">
              <w:rPr>
                <w:rFonts w:ascii="Times New Roman" w:hAnsi="Times New Roman" w:cs="Times New Roman"/>
                <w:lang w:val="en-US"/>
              </w:rPr>
              <w:t>6</w:t>
            </w:r>
          </w:p>
        </w:tc>
        <w:tc>
          <w:tcPr>
            <w:tcW w:w="1803" w:type="dxa"/>
          </w:tcPr>
          <w:p w14:paraId="0A06E934" w14:textId="4B9C2073" w:rsidR="0072223E" w:rsidRDefault="0072223E" w:rsidP="0032587E">
            <w:pPr>
              <w:jc w:val="both"/>
              <w:rPr>
                <w:rFonts w:ascii="Times New Roman" w:hAnsi="Times New Roman" w:cs="Times New Roman"/>
                <w:lang w:val="en-US"/>
              </w:rPr>
            </w:pPr>
            <w:r>
              <w:rPr>
                <w:rFonts w:ascii="Times New Roman" w:hAnsi="Times New Roman" w:cs="Times New Roman"/>
                <w:lang w:val="en-US"/>
              </w:rPr>
              <w:t>2.</w:t>
            </w:r>
            <w:r w:rsidR="0010507A">
              <w:rPr>
                <w:rFonts w:ascii="Times New Roman" w:hAnsi="Times New Roman" w:cs="Times New Roman"/>
                <w:lang w:val="en-US"/>
              </w:rPr>
              <w:t>22</w:t>
            </w:r>
          </w:p>
        </w:tc>
        <w:tc>
          <w:tcPr>
            <w:tcW w:w="1803" w:type="dxa"/>
          </w:tcPr>
          <w:p w14:paraId="462D24DD" w14:textId="6B2659EF" w:rsidR="0072223E" w:rsidRDefault="005201BE" w:rsidP="0032587E">
            <w:pPr>
              <w:jc w:val="both"/>
              <w:rPr>
                <w:rFonts w:ascii="Times New Roman" w:hAnsi="Times New Roman" w:cs="Times New Roman"/>
                <w:lang w:val="en-US"/>
              </w:rPr>
            </w:pPr>
            <w:r>
              <w:rPr>
                <w:rFonts w:ascii="Times New Roman" w:hAnsi="Times New Roman" w:cs="Times New Roman"/>
                <w:lang w:val="en-US"/>
              </w:rPr>
              <w:t>2.</w:t>
            </w:r>
            <w:r w:rsidR="0010507A">
              <w:rPr>
                <w:rFonts w:ascii="Times New Roman" w:hAnsi="Times New Roman" w:cs="Times New Roman"/>
                <w:lang w:val="en-US"/>
              </w:rPr>
              <w:t>20</w:t>
            </w:r>
          </w:p>
        </w:tc>
        <w:tc>
          <w:tcPr>
            <w:tcW w:w="1804" w:type="dxa"/>
          </w:tcPr>
          <w:p w14:paraId="4CEC1C3C" w14:textId="0F988F36" w:rsidR="0072223E" w:rsidRDefault="005201BE" w:rsidP="0032587E">
            <w:pPr>
              <w:jc w:val="both"/>
              <w:rPr>
                <w:rFonts w:ascii="Times New Roman" w:hAnsi="Times New Roman" w:cs="Times New Roman"/>
                <w:lang w:val="en-US"/>
              </w:rPr>
            </w:pPr>
            <w:r>
              <w:rPr>
                <w:rFonts w:ascii="Times New Roman" w:hAnsi="Times New Roman" w:cs="Times New Roman"/>
                <w:lang w:val="en-US"/>
              </w:rPr>
              <w:t>0.</w:t>
            </w:r>
            <w:r w:rsidR="0010507A">
              <w:rPr>
                <w:rFonts w:ascii="Times New Roman" w:hAnsi="Times New Roman" w:cs="Times New Roman"/>
                <w:lang w:val="en-US"/>
              </w:rPr>
              <w:t>08</w:t>
            </w:r>
          </w:p>
        </w:tc>
      </w:tr>
    </w:tbl>
    <w:p w14:paraId="01760817" w14:textId="73A27ACB" w:rsidR="00EF5BB2" w:rsidRDefault="00292343" w:rsidP="0032587E">
      <w:pPr>
        <w:jc w:val="both"/>
        <w:rPr>
          <w:rFonts w:ascii="Times New Roman" w:hAnsi="Times New Roman" w:cs="Times New Roman"/>
          <w:lang w:val="en-US"/>
        </w:rPr>
      </w:pPr>
      <w:r>
        <w:rPr>
          <w:rFonts w:ascii="Times New Roman" w:hAnsi="Times New Roman" w:cs="Times New Roman"/>
          <w:lang w:val="en-US"/>
        </w:rPr>
        <w:t xml:space="preserve">This table shows </w:t>
      </w:r>
      <w:r w:rsidR="00EE3DD3" w:rsidRPr="00EE3DD3">
        <w:rPr>
          <w:rFonts w:ascii="Times New Roman" w:hAnsi="Times New Roman" w:cs="Times New Roman"/>
          <w:lang w:val="en-US"/>
        </w:rPr>
        <w:t>the results of our regression of simulated downgrades on standardized log total emissions (∆</w:t>
      </w:r>
      <w:proofErr w:type="spellStart"/>
      <w:r w:rsidR="00EE3DD3" w:rsidRPr="00EE3DD3">
        <w:rPr>
          <w:rFonts w:ascii="Times New Roman" w:hAnsi="Times New Roman" w:cs="Times New Roman"/>
          <w:i/>
          <w:lang w:val="en-US"/>
        </w:rPr>
        <w:t>Ratingi</w:t>
      </w:r>
      <w:proofErr w:type="spellEnd"/>
      <w:r w:rsidR="00EE3DD3" w:rsidRPr="00EE3DD3">
        <w:rPr>
          <w:rFonts w:ascii="Times New Roman" w:hAnsi="Times New Roman" w:cs="Times New Roman"/>
          <w:i/>
          <w:lang w:val="en-US"/>
        </w:rPr>
        <w:t xml:space="preserve"> </w:t>
      </w:r>
      <w:r w:rsidR="00EE3DD3" w:rsidRPr="00EE3DD3">
        <w:rPr>
          <w:rFonts w:ascii="Times New Roman" w:hAnsi="Times New Roman" w:cs="Times New Roman"/>
          <w:lang w:val="en-US"/>
        </w:rPr>
        <w:t xml:space="preserve">= </w:t>
      </w:r>
      <w:r w:rsidR="00EE3DD3" w:rsidRPr="00EE3DD3">
        <w:rPr>
          <w:rFonts w:ascii="Times New Roman" w:hAnsi="Times New Roman" w:cs="Times New Roman"/>
          <w:i/>
          <w:lang w:val="en-US"/>
        </w:rPr>
        <w:t>β</w:t>
      </w:r>
      <w:proofErr w:type="spellStart"/>
      <w:r w:rsidR="00EE3DD3" w:rsidRPr="00EE3DD3">
        <w:rPr>
          <w:rFonts w:ascii="Times New Roman" w:hAnsi="Times New Roman" w:cs="Times New Roman"/>
          <w:i/>
          <w:lang w:val="en-US"/>
        </w:rPr>
        <w:t>lnEmissionsi</w:t>
      </w:r>
      <w:proofErr w:type="spellEnd"/>
      <w:r w:rsidR="00EE3DD3" w:rsidRPr="00EE3DD3">
        <w:rPr>
          <w:rFonts w:ascii="Times New Roman" w:hAnsi="Times New Roman" w:cs="Times New Roman"/>
          <w:i/>
          <w:lang w:val="en-US"/>
        </w:rPr>
        <w:t xml:space="preserve"> </w:t>
      </w:r>
      <w:r w:rsidR="00EE3DD3" w:rsidRPr="00EE3DD3">
        <w:rPr>
          <w:rFonts w:ascii="Times New Roman" w:hAnsi="Times New Roman" w:cs="Times New Roman"/>
          <w:lang w:val="en-US"/>
        </w:rPr>
        <w:t xml:space="preserve">+ </w:t>
      </w:r>
      <w:r w:rsidR="00EE3DD3" w:rsidRPr="00EE3DD3">
        <w:rPr>
          <w:rFonts w:ascii="Times New Roman" w:hAnsi="Times New Roman" w:cs="Times New Roman"/>
          <w:i/>
          <w:lang w:val="en-US"/>
        </w:rPr>
        <w:t>µ</w:t>
      </w:r>
      <w:proofErr w:type="spellStart"/>
      <w:r w:rsidR="00EE3DD3" w:rsidRPr="00EE3DD3">
        <w:rPr>
          <w:rFonts w:ascii="Times New Roman" w:hAnsi="Times New Roman" w:cs="Times New Roman"/>
          <w:i/>
          <w:lang w:val="en-US"/>
        </w:rPr>
        <w:t>i</w:t>
      </w:r>
      <w:proofErr w:type="spellEnd"/>
      <w:r w:rsidR="00EE3DD3" w:rsidRPr="00EE3DD3">
        <w:rPr>
          <w:rFonts w:ascii="Times New Roman" w:hAnsi="Times New Roman" w:cs="Times New Roman"/>
          <w:lang w:val="en-US"/>
        </w:rPr>
        <w:t xml:space="preserve">) for 2020. We do this for each of the five scenarios. Column 2 reveals the </w:t>
      </w:r>
      <w:r w:rsidR="00EE3DD3" w:rsidRPr="00EE3DD3">
        <w:rPr>
          <w:rFonts w:ascii="Times New Roman" w:hAnsi="Times New Roman" w:cs="Times New Roman"/>
          <w:i/>
          <w:lang w:val="en-US"/>
        </w:rPr>
        <w:t xml:space="preserve">β </w:t>
      </w:r>
      <w:r w:rsidR="00EE3DD3" w:rsidRPr="00EE3DD3">
        <w:rPr>
          <w:rFonts w:ascii="Times New Roman" w:hAnsi="Times New Roman" w:cs="Times New Roman"/>
          <w:lang w:val="en-US"/>
        </w:rPr>
        <w:t>estimate for the regression, Columns 3 and 4 show the t-value and robust t-value respectively, and Column 5 shows the model fit.</w:t>
      </w:r>
    </w:p>
    <w:p w14:paraId="73F9FFEA" w14:textId="77777777" w:rsidR="00FB616F" w:rsidRDefault="00FB616F" w:rsidP="0032587E">
      <w:pPr>
        <w:jc w:val="both"/>
        <w:rPr>
          <w:rFonts w:ascii="Times New Roman" w:hAnsi="Times New Roman" w:cs="Times New Roman"/>
          <w:lang w:val="en-US"/>
        </w:rPr>
      </w:pPr>
    </w:p>
    <w:p w14:paraId="7FBA0C11" w14:textId="77777777" w:rsidR="00FB616F" w:rsidRDefault="00FB616F" w:rsidP="0032587E">
      <w:pPr>
        <w:jc w:val="both"/>
        <w:rPr>
          <w:rFonts w:ascii="Times New Roman" w:hAnsi="Times New Roman" w:cs="Times New Roman"/>
          <w:lang w:val="en-US"/>
        </w:rPr>
      </w:pPr>
    </w:p>
    <w:p w14:paraId="57057C92" w14:textId="77777777" w:rsidR="00FB616F" w:rsidRDefault="00FB616F" w:rsidP="0032587E">
      <w:pPr>
        <w:jc w:val="both"/>
        <w:rPr>
          <w:rFonts w:ascii="Times New Roman" w:hAnsi="Times New Roman" w:cs="Times New Roman"/>
          <w:lang w:val="en-US"/>
        </w:rPr>
      </w:pPr>
    </w:p>
    <w:p w14:paraId="066CE76F" w14:textId="77777777" w:rsidR="00FB616F" w:rsidRDefault="00FB616F" w:rsidP="0032587E">
      <w:pPr>
        <w:jc w:val="both"/>
        <w:rPr>
          <w:rFonts w:ascii="Times New Roman" w:hAnsi="Times New Roman" w:cs="Times New Roman"/>
          <w:lang w:val="en-US"/>
        </w:rPr>
      </w:pPr>
    </w:p>
    <w:p w14:paraId="1B442139" w14:textId="77777777" w:rsidR="00FB616F" w:rsidRDefault="00FB616F" w:rsidP="0032587E">
      <w:pPr>
        <w:jc w:val="both"/>
        <w:rPr>
          <w:rFonts w:ascii="Times New Roman" w:hAnsi="Times New Roman" w:cs="Times New Roman"/>
          <w:lang w:val="en-US"/>
        </w:rPr>
      </w:pPr>
    </w:p>
    <w:p w14:paraId="702A4598" w14:textId="77777777" w:rsidR="00FB616F" w:rsidRDefault="00FB616F" w:rsidP="0032587E">
      <w:pPr>
        <w:jc w:val="both"/>
        <w:rPr>
          <w:rFonts w:ascii="Times New Roman" w:hAnsi="Times New Roman" w:cs="Times New Roman"/>
          <w:lang w:val="en-US"/>
        </w:rPr>
      </w:pPr>
    </w:p>
    <w:p w14:paraId="03BF8757" w14:textId="77777777" w:rsidR="00FB616F" w:rsidRDefault="00FB616F" w:rsidP="0032587E">
      <w:pPr>
        <w:jc w:val="both"/>
        <w:rPr>
          <w:rFonts w:ascii="Times New Roman" w:hAnsi="Times New Roman" w:cs="Times New Roman"/>
          <w:lang w:val="en-US"/>
        </w:rPr>
      </w:pPr>
    </w:p>
    <w:p w14:paraId="53F15CEA" w14:textId="77777777" w:rsidR="00FB616F" w:rsidRDefault="00FB616F" w:rsidP="0032587E">
      <w:pPr>
        <w:jc w:val="both"/>
        <w:rPr>
          <w:rFonts w:ascii="Times New Roman" w:hAnsi="Times New Roman" w:cs="Times New Roman"/>
          <w:lang w:val="en-US"/>
        </w:rPr>
      </w:pPr>
    </w:p>
    <w:p w14:paraId="591FCD93" w14:textId="77777777" w:rsidR="00FB616F" w:rsidRDefault="00FB616F" w:rsidP="0032587E">
      <w:pPr>
        <w:jc w:val="both"/>
        <w:rPr>
          <w:rFonts w:ascii="Times New Roman" w:hAnsi="Times New Roman" w:cs="Times New Roman"/>
          <w:lang w:val="en-US"/>
        </w:rPr>
      </w:pPr>
    </w:p>
    <w:p w14:paraId="0F3EA2BF" w14:textId="77777777" w:rsidR="00FB616F" w:rsidRDefault="00FB616F" w:rsidP="0032587E">
      <w:pPr>
        <w:jc w:val="both"/>
        <w:rPr>
          <w:rFonts w:ascii="Times New Roman" w:hAnsi="Times New Roman" w:cs="Times New Roman"/>
          <w:lang w:val="en-US"/>
        </w:rPr>
      </w:pPr>
    </w:p>
    <w:p w14:paraId="2E88B2F1" w14:textId="77777777" w:rsidR="00FB616F" w:rsidRDefault="00FB616F" w:rsidP="0032587E">
      <w:pPr>
        <w:jc w:val="both"/>
        <w:rPr>
          <w:rFonts w:ascii="Times New Roman" w:hAnsi="Times New Roman" w:cs="Times New Roman"/>
          <w:lang w:val="en-US"/>
        </w:rPr>
      </w:pPr>
    </w:p>
    <w:p w14:paraId="0216D8F9" w14:textId="77777777" w:rsidR="00FB616F" w:rsidRDefault="00FB616F" w:rsidP="0032587E">
      <w:pPr>
        <w:jc w:val="both"/>
        <w:rPr>
          <w:rFonts w:ascii="Times New Roman" w:hAnsi="Times New Roman" w:cs="Times New Roman"/>
          <w:lang w:val="en-US"/>
        </w:rPr>
      </w:pPr>
    </w:p>
    <w:p w14:paraId="0FD9ACA9" w14:textId="77777777" w:rsidR="00FB616F" w:rsidRDefault="00FB616F" w:rsidP="0032587E">
      <w:pPr>
        <w:jc w:val="both"/>
        <w:rPr>
          <w:rFonts w:ascii="Times New Roman" w:hAnsi="Times New Roman" w:cs="Times New Roman"/>
          <w:lang w:val="en-US"/>
        </w:rPr>
      </w:pPr>
    </w:p>
    <w:p w14:paraId="179E0CFD" w14:textId="77777777" w:rsidR="00FB616F" w:rsidRDefault="00FB616F" w:rsidP="0032587E">
      <w:pPr>
        <w:jc w:val="both"/>
        <w:rPr>
          <w:rFonts w:ascii="Times New Roman" w:hAnsi="Times New Roman" w:cs="Times New Roman"/>
          <w:lang w:val="en-US"/>
        </w:rPr>
      </w:pPr>
    </w:p>
    <w:p w14:paraId="2D5B812A" w14:textId="77777777" w:rsidR="00FB616F" w:rsidRDefault="00FB616F" w:rsidP="0032587E">
      <w:pPr>
        <w:jc w:val="both"/>
        <w:rPr>
          <w:rFonts w:ascii="Times New Roman" w:hAnsi="Times New Roman" w:cs="Times New Roman"/>
          <w:lang w:val="en-US"/>
        </w:rPr>
      </w:pPr>
    </w:p>
    <w:p w14:paraId="31257B70" w14:textId="77777777" w:rsidR="00FB616F" w:rsidRDefault="00FB616F" w:rsidP="0032587E">
      <w:pPr>
        <w:jc w:val="both"/>
        <w:rPr>
          <w:rFonts w:ascii="Times New Roman" w:hAnsi="Times New Roman" w:cs="Times New Roman"/>
          <w:lang w:val="en-US"/>
        </w:rPr>
      </w:pPr>
    </w:p>
    <w:p w14:paraId="229FE3E6" w14:textId="00702C0F" w:rsidR="00B04F61" w:rsidRDefault="00B04F61" w:rsidP="0032587E">
      <w:pPr>
        <w:jc w:val="both"/>
        <w:rPr>
          <w:rFonts w:ascii="Times New Roman" w:hAnsi="Times New Roman" w:cs="Times New Roman"/>
          <w:lang w:val="en-US"/>
        </w:rPr>
      </w:pPr>
      <w:r>
        <w:rPr>
          <w:rFonts w:ascii="Times New Roman" w:hAnsi="Times New Roman" w:cs="Times New Roman"/>
          <w:lang w:val="en-US"/>
        </w:rPr>
        <w:lastRenderedPageBreak/>
        <w:t>Table 6: S&amp;P Credit Rating Scale</w:t>
      </w:r>
    </w:p>
    <w:tbl>
      <w:tblPr>
        <w:tblStyle w:val="TableGrid"/>
        <w:tblW w:w="0" w:type="auto"/>
        <w:tblLook w:val="04A0" w:firstRow="1" w:lastRow="0" w:firstColumn="1" w:lastColumn="0" w:noHBand="0" w:noVBand="1"/>
      </w:tblPr>
      <w:tblGrid>
        <w:gridCol w:w="3005"/>
        <w:gridCol w:w="3005"/>
        <w:gridCol w:w="3006"/>
      </w:tblGrid>
      <w:tr w:rsidR="00B04F61" w14:paraId="4B8957DB" w14:textId="77777777" w:rsidTr="00B04F61">
        <w:tc>
          <w:tcPr>
            <w:tcW w:w="3005" w:type="dxa"/>
          </w:tcPr>
          <w:p w14:paraId="2A71072D" w14:textId="397A1B8E" w:rsidR="00B04F61" w:rsidRDefault="00B04F61" w:rsidP="0032587E">
            <w:pPr>
              <w:jc w:val="both"/>
              <w:rPr>
                <w:rFonts w:ascii="Times New Roman" w:hAnsi="Times New Roman" w:cs="Times New Roman"/>
                <w:lang w:val="en-US"/>
              </w:rPr>
            </w:pPr>
            <w:r>
              <w:rPr>
                <w:rFonts w:ascii="Times New Roman" w:hAnsi="Times New Roman" w:cs="Times New Roman"/>
                <w:lang w:val="en-US"/>
              </w:rPr>
              <w:t>Long-term Foreign Currency Issuer Rating Symbol</w:t>
            </w:r>
          </w:p>
        </w:tc>
        <w:tc>
          <w:tcPr>
            <w:tcW w:w="3005" w:type="dxa"/>
          </w:tcPr>
          <w:p w14:paraId="4D2D00B8" w14:textId="16AC0240" w:rsidR="00B04F61" w:rsidRDefault="00B04F61" w:rsidP="0032587E">
            <w:pPr>
              <w:jc w:val="both"/>
              <w:rPr>
                <w:rFonts w:ascii="Times New Roman" w:hAnsi="Times New Roman" w:cs="Times New Roman"/>
                <w:lang w:val="en-US"/>
              </w:rPr>
            </w:pPr>
            <w:r>
              <w:rPr>
                <w:rFonts w:ascii="Times New Roman" w:hAnsi="Times New Roman" w:cs="Times New Roman"/>
                <w:lang w:val="en-US"/>
              </w:rPr>
              <w:t>Numerical Rating</w:t>
            </w:r>
          </w:p>
        </w:tc>
        <w:tc>
          <w:tcPr>
            <w:tcW w:w="3006" w:type="dxa"/>
          </w:tcPr>
          <w:p w14:paraId="52817599" w14:textId="24F4939D" w:rsidR="00B04F61" w:rsidRDefault="00B04F61" w:rsidP="0032587E">
            <w:pPr>
              <w:jc w:val="both"/>
              <w:rPr>
                <w:rFonts w:ascii="Times New Roman" w:hAnsi="Times New Roman" w:cs="Times New Roman"/>
                <w:lang w:val="en-US"/>
              </w:rPr>
            </w:pPr>
            <w:r>
              <w:rPr>
                <w:rFonts w:ascii="Times New Roman" w:hAnsi="Times New Roman" w:cs="Times New Roman"/>
                <w:lang w:val="en-US"/>
              </w:rPr>
              <w:t>Grade</w:t>
            </w:r>
          </w:p>
        </w:tc>
      </w:tr>
      <w:tr w:rsidR="00B04F61" w14:paraId="407C10C1" w14:textId="77777777" w:rsidTr="00B04F61">
        <w:tc>
          <w:tcPr>
            <w:tcW w:w="3005" w:type="dxa"/>
          </w:tcPr>
          <w:p w14:paraId="6EFC4E43" w14:textId="3E16A390" w:rsidR="00B04F61" w:rsidRDefault="00B04F61" w:rsidP="0032587E">
            <w:pPr>
              <w:jc w:val="both"/>
              <w:rPr>
                <w:rFonts w:ascii="Times New Roman" w:hAnsi="Times New Roman" w:cs="Times New Roman"/>
                <w:lang w:val="en-US"/>
              </w:rPr>
            </w:pPr>
            <w:r>
              <w:rPr>
                <w:rFonts w:ascii="Times New Roman" w:hAnsi="Times New Roman" w:cs="Times New Roman"/>
                <w:lang w:val="en-US"/>
              </w:rPr>
              <w:t>AAA</w:t>
            </w:r>
          </w:p>
        </w:tc>
        <w:tc>
          <w:tcPr>
            <w:tcW w:w="3005" w:type="dxa"/>
          </w:tcPr>
          <w:p w14:paraId="60535B25" w14:textId="1B203CFF" w:rsidR="00B04F61" w:rsidRDefault="00B04F61" w:rsidP="0032587E">
            <w:pPr>
              <w:jc w:val="both"/>
              <w:rPr>
                <w:rFonts w:ascii="Times New Roman" w:hAnsi="Times New Roman" w:cs="Times New Roman"/>
                <w:lang w:val="en-US"/>
              </w:rPr>
            </w:pPr>
            <w:r>
              <w:rPr>
                <w:rFonts w:ascii="Times New Roman" w:hAnsi="Times New Roman" w:cs="Times New Roman"/>
                <w:lang w:val="en-US"/>
              </w:rPr>
              <w:t>20</w:t>
            </w:r>
          </w:p>
        </w:tc>
        <w:tc>
          <w:tcPr>
            <w:tcW w:w="3006" w:type="dxa"/>
          </w:tcPr>
          <w:p w14:paraId="78DC8F8D" w14:textId="2C75F819" w:rsidR="00B04F61" w:rsidRDefault="00B04F61" w:rsidP="0032587E">
            <w:pPr>
              <w:jc w:val="both"/>
              <w:rPr>
                <w:rFonts w:ascii="Times New Roman" w:hAnsi="Times New Roman" w:cs="Times New Roman"/>
                <w:lang w:val="en-US"/>
              </w:rPr>
            </w:pPr>
            <w:r>
              <w:rPr>
                <w:rFonts w:ascii="Times New Roman" w:hAnsi="Times New Roman" w:cs="Times New Roman"/>
                <w:lang w:val="en-US"/>
              </w:rPr>
              <w:t>Prime</w:t>
            </w:r>
          </w:p>
        </w:tc>
      </w:tr>
      <w:tr w:rsidR="00B04F61" w14:paraId="6FCDFDC0" w14:textId="77777777" w:rsidTr="00B04F61">
        <w:tc>
          <w:tcPr>
            <w:tcW w:w="3005" w:type="dxa"/>
          </w:tcPr>
          <w:p w14:paraId="729B91C1" w14:textId="7AD454E8" w:rsidR="00B04F61" w:rsidRDefault="00B04F61" w:rsidP="0032587E">
            <w:pPr>
              <w:jc w:val="both"/>
              <w:rPr>
                <w:rFonts w:ascii="Times New Roman" w:hAnsi="Times New Roman" w:cs="Times New Roman"/>
                <w:lang w:val="en-US"/>
              </w:rPr>
            </w:pPr>
            <w:r>
              <w:rPr>
                <w:rFonts w:ascii="Times New Roman" w:hAnsi="Times New Roman" w:cs="Times New Roman"/>
                <w:lang w:val="en-US"/>
              </w:rPr>
              <w:t>AA+</w:t>
            </w:r>
          </w:p>
        </w:tc>
        <w:tc>
          <w:tcPr>
            <w:tcW w:w="3005" w:type="dxa"/>
          </w:tcPr>
          <w:p w14:paraId="55338A8E" w14:textId="67CD695E" w:rsidR="00B04F61" w:rsidRDefault="00B04F61" w:rsidP="0032587E">
            <w:pPr>
              <w:jc w:val="both"/>
              <w:rPr>
                <w:rFonts w:ascii="Times New Roman" w:hAnsi="Times New Roman" w:cs="Times New Roman"/>
                <w:lang w:val="en-US"/>
              </w:rPr>
            </w:pPr>
            <w:r>
              <w:rPr>
                <w:rFonts w:ascii="Times New Roman" w:hAnsi="Times New Roman" w:cs="Times New Roman"/>
                <w:lang w:val="en-US"/>
              </w:rPr>
              <w:t>19</w:t>
            </w:r>
          </w:p>
        </w:tc>
        <w:tc>
          <w:tcPr>
            <w:tcW w:w="3006" w:type="dxa"/>
          </w:tcPr>
          <w:p w14:paraId="355743BA" w14:textId="79E284ED" w:rsidR="00B04F61" w:rsidRDefault="00B04F61" w:rsidP="0032587E">
            <w:pPr>
              <w:jc w:val="both"/>
              <w:rPr>
                <w:rFonts w:ascii="Times New Roman" w:hAnsi="Times New Roman" w:cs="Times New Roman"/>
                <w:lang w:val="en-US"/>
              </w:rPr>
            </w:pPr>
            <w:r>
              <w:rPr>
                <w:rFonts w:ascii="Times New Roman" w:hAnsi="Times New Roman" w:cs="Times New Roman"/>
                <w:lang w:val="en-US"/>
              </w:rPr>
              <w:t>High</w:t>
            </w:r>
          </w:p>
        </w:tc>
      </w:tr>
      <w:tr w:rsidR="00B04F61" w14:paraId="659EE26E" w14:textId="77777777" w:rsidTr="00B04F61">
        <w:tc>
          <w:tcPr>
            <w:tcW w:w="3005" w:type="dxa"/>
          </w:tcPr>
          <w:p w14:paraId="4C8C9E05" w14:textId="6D99D96A" w:rsidR="00B04F61" w:rsidRDefault="00B04F61" w:rsidP="0032587E">
            <w:pPr>
              <w:jc w:val="both"/>
              <w:rPr>
                <w:rFonts w:ascii="Times New Roman" w:hAnsi="Times New Roman" w:cs="Times New Roman"/>
                <w:lang w:val="en-US"/>
              </w:rPr>
            </w:pPr>
            <w:r>
              <w:rPr>
                <w:rFonts w:ascii="Times New Roman" w:hAnsi="Times New Roman" w:cs="Times New Roman"/>
                <w:lang w:val="en-US"/>
              </w:rPr>
              <w:t>AA</w:t>
            </w:r>
          </w:p>
        </w:tc>
        <w:tc>
          <w:tcPr>
            <w:tcW w:w="3005" w:type="dxa"/>
          </w:tcPr>
          <w:p w14:paraId="4996F59D" w14:textId="76BFA057" w:rsidR="00B04F61" w:rsidRDefault="00B04F61" w:rsidP="0032587E">
            <w:pPr>
              <w:jc w:val="both"/>
              <w:rPr>
                <w:rFonts w:ascii="Times New Roman" w:hAnsi="Times New Roman" w:cs="Times New Roman"/>
                <w:lang w:val="en-US"/>
              </w:rPr>
            </w:pPr>
            <w:r>
              <w:rPr>
                <w:rFonts w:ascii="Times New Roman" w:hAnsi="Times New Roman" w:cs="Times New Roman"/>
                <w:lang w:val="en-US"/>
              </w:rPr>
              <w:t>18</w:t>
            </w:r>
          </w:p>
        </w:tc>
        <w:tc>
          <w:tcPr>
            <w:tcW w:w="3006" w:type="dxa"/>
          </w:tcPr>
          <w:p w14:paraId="3F597308" w14:textId="77777777" w:rsidR="00B04F61" w:rsidRDefault="00B04F61" w:rsidP="0032587E">
            <w:pPr>
              <w:jc w:val="both"/>
              <w:rPr>
                <w:rFonts w:ascii="Times New Roman" w:hAnsi="Times New Roman" w:cs="Times New Roman"/>
                <w:lang w:val="en-US"/>
              </w:rPr>
            </w:pPr>
          </w:p>
        </w:tc>
      </w:tr>
      <w:tr w:rsidR="00B04F61" w14:paraId="50B5EAF4" w14:textId="77777777" w:rsidTr="00B04F61">
        <w:tc>
          <w:tcPr>
            <w:tcW w:w="3005" w:type="dxa"/>
          </w:tcPr>
          <w:p w14:paraId="1B617EB7" w14:textId="360CF7AE" w:rsidR="00B04F61" w:rsidRDefault="00B04F61" w:rsidP="0032587E">
            <w:pPr>
              <w:jc w:val="both"/>
              <w:rPr>
                <w:rFonts w:ascii="Times New Roman" w:hAnsi="Times New Roman" w:cs="Times New Roman"/>
                <w:lang w:val="en-US"/>
              </w:rPr>
            </w:pPr>
            <w:r>
              <w:rPr>
                <w:rFonts w:ascii="Times New Roman" w:hAnsi="Times New Roman" w:cs="Times New Roman"/>
                <w:lang w:val="en-US"/>
              </w:rPr>
              <w:t>AA-</w:t>
            </w:r>
          </w:p>
        </w:tc>
        <w:tc>
          <w:tcPr>
            <w:tcW w:w="3005" w:type="dxa"/>
          </w:tcPr>
          <w:p w14:paraId="0646E36A" w14:textId="636F7FD8" w:rsidR="00B04F61" w:rsidRDefault="00B04F61" w:rsidP="0032587E">
            <w:pPr>
              <w:jc w:val="both"/>
              <w:rPr>
                <w:rFonts w:ascii="Times New Roman" w:hAnsi="Times New Roman" w:cs="Times New Roman"/>
                <w:lang w:val="en-US"/>
              </w:rPr>
            </w:pPr>
            <w:r>
              <w:rPr>
                <w:rFonts w:ascii="Times New Roman" w:hAnsi="Times New Roman" w:cs="Times New Roman"/>
                <w:lang w:val="en-US"/>
              </w:rPr>
              <w:t>17</w:t>
            </w:r>
          </w:p>
        </w:tc>
        <w:tc>
          <w:tcPr>
            <w:tcW w:w="3006" w:type="dxa"/>
          </w:tcPr>
          <w:p w14:paraId="688EFE12" w14:textId="77777777" w:rsidR="00B04F61" w:rsidRDefault="00B04F61" w:rsidP="0032587E">
            <w:pPr>
              <w:jc w:val="both"/>
              <w:rPr>
                <w:rFonts w:ascii="Times New Roman" w:hAnsi="Times New Roman" w:cs="Times New Roman"/>
                <w:lang w:val="en-US"/>
              </w:rPr>
            </w:pPr>
          </w:p>
        </w:tc>
      </w:tr>
      <w:tr w:rsidR="00B04F61" w14:paraId="3F20E7CA" w14:textId="77777777" w:rsidTr="00B04F61">
        <w:tc>
          <w:tcPr>
            <w:tcW w:w="3005" w:type="dxa"/>
          </w:tcPr>
          <w:p w14:paraId="6E037A7D" w14:textId="0A9F0FC3" w:rsidR="00B04F61" w:rsidRDefault="00B04F61" w:rsidP="0032587E">
            <w:pPr>
              <w:jc w:val="both"/>
              <w:rPr>
                <w:rFonts w:ascii="Times New Roman" w:hAnsi="Times New Roman" w:cs="Times New Roman"/>
                <w:lang w:val="en-US"/>
              </w:rPr>
            </w:pPr>
            <w:r>
              <w:rPr>
                <w:rFonts w:ascii="Times New Roman" w:hAnsi="Times New Roman" w:cs="Times New Roman"/>
                <w:lang w:val="en-US"/>
              </w:rPr>
              <w:t>A+</w:t>
            </w:r>
          </w:p>
        </w:tc>
        <w:tc>
          <w:tcPr>
            <w:tcW w:w="3005" w:type="dxa"/>
          </w:tcPr>
          <w:p w14:paraId="167F042D" w14:textId="55C1D042" w:rsidR="00B04F61" w:rsidRDefault="00B04F61" w:rsidP="0032587E">
            <w:pPr>
              <w:jc w:val="both"/>
              <w:rPr>
                <w:rFonts w:ascii="Times New Roman" w:hAnsi="Times New Roman" w:cs="Times New Roman"/>
                <w:lang w:val="en-US"/>
              </w:rPr>
            </w:pPr>
            <w:r>
              <w:rPr>
                <w:rFonts w:ascii="Times New Roman" w:hAnsi="Times New Roman" w:cs="Times New Roman"/>
                <w:lang w:val="en-US"/>
              </w:rPr>
              <w:t>16</w:t>
            </w:r>
          </w:p>
        </w:tc>
        <w:tc>
          <w:tcPr>
            <w:tcW w:w="3006" w:type="dxa"/>
          </w:tcPr>
          <w:p w14:paraId="21CFE214" w14:textId="3698A31E" w:rsidR="00B04F61" w:rsidRDefault="00B04F61" w:rsidP="0032587E">
            <w:pPr>
              <w:jc w:val="both"/>
              <w:rPr>
                <w:rFonts w:ascii="Times New Roman" w:hAnsi="Times New Roman" w:cs="Times New Roman"/>
                <w:lang w:val="en-US"/>
              </w:rPr>
            </w:pPr>
            <w:r>
              <w:rPr>
                <w:rFonts w:ascii="Times New Roman" w:hAnsi="Times New Roman" w:cs="Times New Roman"/>
                <w:lang w:val="en-US"/>
              </w:rPr>
              <w:t>Upper-medium</w:t>
            </w:r>
          </w:p>
        </w:tc>
      </w:tr>
      <w:tr w:rsidR="00B04F61" w14:paraId="7C115BC3" w14:textId="77777777" w:rsidTr="00B04F61">
        <w:tc>
          <w:tcPr>
            <w:tcW w:w="3005" w:type="dxa"/>
          </w:tcPr>
          <w:p w14:paraId="6C691802" w14:textId="19AADCB8" w:rsidR="00B04F61" w:rsidRDefault="00B04F61" w:rsidP="0032587E">
            <w:pPr>
              <w:jc w:val="both"/>
              <w:rPr>
                <w:rFonts w:ascii="Times New Roman" w:hAnsi="Times New Roman" w:cs="Times New Roman"/>
                <w:lang w:val="en-US"/>
              </w:rPr>
            </w:pPr>
            <w:r>
              <w:rPr>
                <w:rFonts w:ascii="Times New Roman" w:hAnsi="Times New Roman" w:cs="Times New Roman"/>
                <w:lang w:val="en-US"/>
              </w:rPr>
              <w:t>A</w:t>
            </w:r>
          </w:p>
        </w:tc>
        <w:tc>
          <w:tcPr>
            <w:tcW w:w="3005" w:type="dxa"/>
          </w:tcPr>
          <w:p w14:paraId="16CAE696" w14:textId="6EAEF74B" w:rsidR="00B04F61" w:rsidRDefault="00B04F61" w:rsidP="0032587E">
            <w:pPr>
              <w:jc w:val="both"/>
              <w:rPr>
                <w:rFonts w:ascii="Times New Roman" w:hAnsi="Times New Roman" w:cs="Times New Roman"/>
                <w:lang w:val="en-US"/>
              </w:rPr>
            </w:pPr>
            <w:r>
              <w:rPr>
                <w:rFonts w:ascii="Times New Roman" w:hAnsi="Times New Roman" w:cs="Times New Roman"/>
                <w:lang w:val="en-US"/>
              </w:rPr>
              <w:t>15</w:t>
            </w:r>
          </w:p>
        </w:tc>
        <w:tc>
          <w:tcPr>
            <w:tcW w:w="3006" w:type="dxa"/>
          </w:tcPr>
          <w:p w14:paraId="00FCC4AA" w14:textId="77777777" w:rsidR="00B04F61" w:rsidRDefault="00B04F61" w:rsidP="0032587E">
            <w:pPr>
              <w:jc w:val="both"/>
              <w:rPr>
                <w:rFonts w:ascii="Times New Roman" w:hAnsi="Times New Roman" w:cs="Times New Roman"/>
                <w:lang w:val="en-US"/>
              </w:rPr>
            </w:pPr>
          </w:p>
        </w:tc>
      </w:tr>
      <w:tr w:rsidR="00B04F61" w14:paraId="2EE887CD" w14:textId="77777777" w:rsidTr="00B04F61">
        <w:tc>
          <w:tcPr>
            <w:tcW w:w="3005" w:type="dxa"/>
          </w:tcPr>
          <w:p w14:paraId="40FA35E9" w14:textId="66297D7F" w:rsidR="00B04F61" w:rsidRDefault="00B04F61" w:rsidP="0032587E">
            <w:pPr>
              <w:jc w:val="both"/>
              <w:rPr>
                <w:rFonts w:ascii="Times New Roman" w:hAnsi="Times New Roman" w:cs="Times New Roman"/>
                <w:lang w:val="en-US"/>
              </w:rPr>
            </w:pPr>
            <w:r>
              <w:rPr>
                <w:rFonts w:ascii="Times New Roman" w:hAnsi="Times New Roman" w:cs="Times New Roman"/>
                <w:lang w:val="en-US"/>
              </w:rPr>
              <w:t>A-</w:t>
            </w:r>
          </w:p>
        </w:tc>
        <w:tc>
          <w:tcPr>
            <w:tcW w:w="3005" w:type="dxa"/>
          </w:tcPr>
          <w:p w14:paraId="59F30A94" w14:textId="7A0B7B35" w:rsidR="00B04F61" w:rsidRDefault="00B04F61" w:rsidP="0032587E">
            <w:pPr>
              <w:jc w:val="both"/>
              <w:rPr>
                <w:rFonts w:ascii="Times New Roman" w:hAnsi="Times New Roman" w:cs="Times New Roman"/>
                <w:lang w:val="en-US"/>
              </w:rPr>
            </w:pPr>
            <w:r>
              <w:rPr>
                <w:rFonts w:ascii="Times New Roman" w:hAnsi="Times New Roman" w:cs="Times New Roman"/>
                <w:lang w:val="en-US"/>
              </w:rPr>
              <w:t>14</w:t>
            </w:r>
          </w:p>
        </w:tc>
        <w:tc>
          <w:tcPr>
            <w:tcW w:w="3006" w:type="dxa"/>
          </w:tcPr>
          <w:p w14:paraId="5BE9AEEC" w14:textId="77777777" w:rsidR="00B04F61" w:rsidRDefault="00B04F61" w:rsidP="0032587E">
            <w:pPr>
              <w:jc w:val="both"/>
              <w:rPr>
                <w:rFonts w:ascii="Times New Roman" w:hAnsi="Times New Roman" w:cs="Times New Roman"/>
                <w:lang w:val="en-US"/>
              </w:rPr>
            </w:pPr>
          </w:p>
        </w:tc>
      </w:tr>
      <w:tr w:rsidR="00B04F61" w14:paraId="4EF96064" w14:textId="77777777" w:rsidTr="00B04F61">
        <w:tc>
          <w:tcPr>
            <w:tcW w:w="3005" w:type="dxa"/>
          </w:tcPr>
          <w:p w14:paraId="17B80671" w14:textId="36E38502" w:rsidR="00B04F61" w:rsidRDefault="00B04F61" w:rsidP="0032587E">
            <w:pPr>
              <w:jc w:val="both"/>
              <w:rPr>
                <w:rFonts w:ascii="Times New Roman" w:hAnsi="Times New Roman" w:cs="Times New Roman"/>
                <w:lang w:val="en-US"/>
              </w:rPr>
            </w:pPr>
            <w:r>
              <w:rPr>
                <w:rFonts w:ascii="Times New Roman" w:hAnsi="Times New Roman" w:cs="Times New Roman"/>
                <w:lang w:val="en-US"/>
              </w:rPr>
              <w:t>BBB+</w:t>
            </w:r>
          </w:p>
        </w:tc>
        <w:tc>
          <w:tcPr>
            <w:tcW w:w="3005" w:type="dxa"/>
          </w:tcPr>
          <w:p w14:paraId="09DBD866" w14:textId="1EB4614B" w:rsidR="00B04F61" w:rsidRDefault="00B04F61" w:rsidP="0032587E">
            <w:pPr>
              <w:jc w:val="both"/>
              <w:rPr>
                <w:rFonts w:ascii="Times New Roman" w:hAnsi="Times New Roman" w:cs="Times New Roman"/>
                <w:lang w:val="en-US"/>
              </w:rPr>
            </w:pPr>
            <w:r>
              <w:rPr>
                <w:rFonts w:ascii="Times New Roman" w:hAnsi="Times New Roman" w:cs="Times New Roman"/>
                <w:lang w:val="en-US"/>
              </w:rPr>
              <w:t>13</w:t>
            </w:r>
          </w:p>
        </w:tc>
        <w:tc>
          <w:tcPr>
            <w:tcW w:w="3006" w:type="dxa"/>
          </w:tcPr>
          <w:p w14:paraId="52096F23" w14:textId="59E409AD" w:rsidR="00B04F61" w:rsidRDefault="00B04F61" w:rsidP="0032587E">
            <w:pPr>
              <w:jc w:val="both"/>
              <w:rPr>
                <w:rFonts w:ascii="Times New Roman" w:hAnsi="Times New Roman" w:cs="Times New Roman"/>
                <w:lang w:val="en-US"/>
              </w:rPr>
            </w:pPr>
            <w:r>
              <w:rPr>
                <w:rFonts w:ascii="Times New Roman" w:hAnsi="Times New Roman" w:cs="Times New Roman"/>
                <w:lang w:val="en-US"/>
              </w:rPr>
              <w:t>Lower-medium</w:t>
            </w:r>
          </w:p>
        </w:tc>
      </w:tr>
      <w:tr w:rsidR="00B04F61" w14:paraId="215DE5A6" w14:textId="77777777" w:rsidTr="00B04F61">
        <w:tc>
          <w:tcPr>
            <w:tcW w:w="3005" w:type="dxa"/>
          </w:tcPr>
          <w:p w14:paraId="4FF3AB87" w14:textId="3564F986" w:rsidR="00B04F61" w:rsidRDefault="00B04F61" w:rsidP="0032587E">
            <w:pPr>
              <w:jc w:val="both"/>
              <w:rPr>
                <w:rFonts w:ascii="Times New Roman" w:hAnsi="Times New Roman" w:cs="Times New Roman"/>
                <w:lang w:val="en-US"/>
              </w:rPr>
            </w:pPr>
            <w:r>
              <w:rPr>
                <w:rFonts w:ascii="Times New Roman" w:hAnsi="Times New Roman" w:cs="Times New Roman"/>
                <w:lang w:val="en-US"/>
              </w:rPr>
              <w:t>BBB</w:t>
            </w:r>
          </w:p>
        </w:tc>
        <w:tc>
          <w:tcPr>
            <w:tcW w:w="3005" w:type="dxa"/>
          </w:tcPr>
          <w:p w14:paraId="520833A8" w14:textId="261F8ABC" w:rsidR="00B04F61" w:rsidRDefault="00B04F61" w:rsidP="0032587E">
            <w:pPr>
              <w:jc w:val="both"/>
              <w:rPr>
                <w:rFonts w:ascii="Times New Roman" w:hAnsi="Times New Roman" w:cs="Times New Roman"/>
                <w:lang w:val="en-US"/>
              </w:rPr>
            </w:pPr>
            <w:r>
              <w:rPr>
                <w:rFonts w:ascii="Times New Roman" w:hAnsi="Times New Roman" w:cs="Times New Roman"/>
                <w:lang w:val="en-US"/>
              </w:rPr>
              <w:t>12</w:t>
            </w:r>
          </w:p>
        </w:tc>
        <w:tc>
          <w:tcPr>
            <w:tcW w:w="3006" w:type="dxa"/>
          </w:tcPr>
          <w:p w14:paraId="1FB2972A" w14:textId="77777777" w:rsidR="00B04F61" w:rsidRDefault="00B04F61" w:rsidP="0032587E">
            <w:pPr>
              <w:jc w:val="both"/>
              <w:rPr>
                <w:rFonts w:ascii="Times New Roman" w:hAnsi="Times New Roman" w:cs="Times New Roman"/>
                <w:lang w:val="en-US"/>
              </w:rPr>
            </w:pPr>
          </w:p>
        </w:tc>
      </w:tr>
      <w:tr w:rsidR="00B04F61" w14:paraId="73F378ED" w14:textId="77777777" w:rsidTr="00B04F61">
        <w:tc>
          <w:tcPr>
            <w:tcW w:w="3005" w:type="dxa"/>
          </w:tcPr>
          <w:p w14:paraId="2A3FDE68" w14:textId="1D5CB4EC" w:rsidR="00B04F61" w:rsidRDefault="00B04F61" w:rsidP="0032587E">
            <w:pPr>
              <w:jc w:val="both"/>
              <w:rPr>
                <w:rFonts w:ascii="Times New Roman" w:hAnsi="Times New Roman" w:cs="Times New Roman"/>
                <w:lang w:val="en-US"/>
              </w:rPr>
            </w:pPr>
            <w:r>
              <w:rPr>
                <w:rFonts w:ascii="Times New Roman" w:hAnsi="Times New Roman" w:cs="Times New Roman"/>
                <w:lang w:val="en-US"/>
              </w:rPr>
              <w:t>BBB-</w:t>
            </w:r>
          </w:p>
        </w:tc>
        <w:tc>
          <w:tcPr>
            <w:tcW w:w="3005" w:type="dxa"/>
          </w:tcPr>
          <w:p w14:paraId="6F441219" w14:textId="3BAE0D78" w:rsidR="00B04F61" w:rsidRDefault="00B04F61" w:rsidP="0032587E">
            <w:pPr>
              <w:jc w:val="both"/>
              <w:rPr>
                <w:rFonts w:ascii="Times New Roman" w:hAnsi="Times New Roman" w:cs="Times New Roman"/>
                <w:lang w:val="en-US"/>
              </w:rPr>
            </w:pPr>
            <w:r>
              <w:rPr>
                <w:rFonts w:ascii="Times New Roman" w:hAnsi="Times New Roman" w:cs="Times New Roman"/>
                <w:lang w:val="en-US"/>
              </w:rPr>
              <w:t>11</w:t>
            </w:r>
          </w:p>
        </w:tc>
        <w:tc>
          <w:tcPr>
            <w:tcW w:w="3006" w:type="dxa"/>
          </w:tcPr>
          <w:p w14:paraId="21772C84" w14:textId="77777777" w:rsidR="00B04F61" w:rsidRDefault="00B04F61" w:rsidP="0032587E">
            <w:pPr>
              <w:jc w:val="both"/>
              <w:rPr>
                <w:rFonts w:ascii="Times New Roman" w:hAnsi="Times New Roman" w:cs="Times New Roman"/>
                <w:lang w:val="en-US"/>
              </w:rPr>
            </w:pPr>
          </w:p>
        </w:tc>
      </w:tr>
      <w:tr w:rsidR="00B04F61" w14:paraId="1503B8D1" w14:textId="77777777" w:rsidTr="00B04F61">
        <w:tc>
          <w:tcPr>
            <w:tcW w:w="3005" w:type="dxa"/>
          </w:tcPr>
          <w:p w14:paraId="5E73060B" w14:textId="67B635B7" w:rsidR="00B04F61" w:rsidRDefault="00B04F61" w:rsidP="0032587E">
            <w:pPr>
              <w:jc w:val="both"/>
              <w:rPr>
                <w:rFonts w:ascii="Times New Roman" w:hAnsi="Times New Roman" w:cs="Times New Roman"/>
                <w:lang w:val="en-US"/>
              </w:rPr>
            </w:pPr>
            <w:r>
              <w:rPr>
                <w:rFonts w:ascii="Times New Roman" w:hAnsi="Times New Roman" w:cs="Times New Roman"/>
                <w:lang w:val="en-US"/>
              </w:rPr>
              <w:t>BB+</w:t>
            </w:r>
          </w:p>
        </w:tc>
        <w:tc>
          <w:tcPr>
            <w:tcW w:w="3005" w:type="dxa"/>
          </w:tcPr>
          <w:p w14:paraId="7DBBCE33" w14:textId="144D4B3C" w:rsidR="00B04F61" w:rsidRDefault="00B04F61" w:rsidP="0032587E">
            <w:pPr>
              <w:jc w:val="both"/>
              <w:rPr>
                <w:rFonts w:ascii="Times New Roman" w:hAnsi="Times New Roman" w:cs="Times New Roman"/>
                <w:lang w:val="en-US"/>
              </w:rPr>
            </w:pPr>
            <w:r>
              <w:rPr>
                <w:rFonts w:ascii="Times New Roman" w:hAnsi="Times New Roman" w:cs="Times New Roman"/>
                <w:lang w:val="en-US"/>
              </w:rPr>
              <w:t>10</w:t>
            </w:r>
          </w:p>
        </w:tc>
        <w:tc>
          <w:tcPr>
            <w:tcW w:w="3006" w:type="dxa"/>
          </w:tcPr>
          <w:p w14:paraId="28E2848C" w14:textId="335474D3" w:rsidR="00B04F61" w:rsidRDefault="00B04F61" w:rsidP="0032587E">
            <w:pPr>
              <w:jc w:val="both"/>
              <w:rPr>
                <w:rFonts w:ascii="Times New Roman" w:hAnsi="Times New Roman" w:cs="Times New Roman"/>
                <w:lang w:val="en-US"/>
              </w:rPr>
            </w:pPr>
            <w:r>
              <w:rPr>
                <w:rFonts w:ascii="Times New Roman" w:hAnsi="Times New Roman" w:cs="Times New Roman"/>
                <w:lang w:val="en-US"/>
              </w:rPr>
              <w:t>Speculative</w:t>
            </w:r>
          </w:p>
        </w:tc>
      </w:tr>
      <w:tr w:rsidR="00B04F61" w14:paraId="08D8D39C" w14:textId="77777777" w:rsidTr="00B04F61">
        <w:tc>
          <w:tcPr>
            <w:tcW w:w="3005" w:type="dxa"/>
          </w:tcPr>
          <w:p w14:paraId="4AD5E81E" w14:textId="7462C306" w:rsidR="00B04F61" w:rsidRDefault="00B04F61" w:rsidP="0032587E">
            <w:pPr>
              <w:jc w:val="both"/>
              <w:rPr>
                <w:rFonts w:ascii="Times New Roman" w:hAnsi="Times New Roman" w:cs="Times New Roman"/>
                <w:lang w:val="en-US"/>
              </w:rPr>
            </w:pPr>
            <w:r>
              <w:rPr>
                <w:rFonts w:ascii="Times New Roman" w:hAnsi="Times New Roman" w:cs="Times New Roman"/>
                <w:lang w:val="en-US"/>
              </w:rPr>
              <w:t>BB</w:t>
            </w:r>
          </w:p>
        </w:tc>
        <w:tc>
          <w:tcPr>
            <w:tcW w:w="3005" w:type="dxa"/>
          </w:tcPr>
          <w:p w14:paraId="0B36979A" w14:textId="744C071F" w:rsidR="00B04F61" w:rsidRDefault="00B04F61" w:rsidP="0032587E">
            <w:pPr>
              <w:jc w:val="both"/>
              <w:rPr>
                <w:rFonts w:ascii="Times New Roman" w:hAnsi="Times New Roman" w:cs="Times New Roman"/>
                <w:lang w:val="en-US"/>
              </w:rPr>
            </w:pPr>
            <w:r>
              <w:rPr>
                <w:rFonts w:ascii="Times New Roman" w:hAnsi="Times New Roman" w:cs="Times New Roman"/>
                <w:lang w:val="en-US"/>
              </w:rPr>
              <w:t>9</w:t>
            </w:r>
          </w:p>
        </w:tc>
        <w:tc>
          <w:tcPr>
            <w:tcW w:w="3006" w:type="dxa"/>
          </w:tcPr>
          <w:p w14:paraId="4862941C" w14:textId="77777777" w:rsidR="00B04F61" w:rsidRDefault="00B04F61" w:rsidP="0032587E">
            <w:pPr>
              <w:jc w:val="both"/>
              <w:rPr>
                <w:rFonts w:ascii="Times New Roman" w:hAnsi="Times New Roman" w:cs="Times New Roman"/>
                <w:lang w:val="en-US"/>
              </w:rPr>
            </w:pPr>
          </w:p>
        </w:tc>
      </w:tr>
      <w:tr w:rsidR="00B04F61" w14:paraId="1D0FC353" w14:textId="77777777" w:rsidTr="00B04F61">
        <w:tc>
          <w:tcPr>
            <w:tcW w:w="3005" w:type="dxa"/>
          </w:tcPr>
          <w:p w14:paraId="013ACE8F" w14:textId="1485299F" w:rsidR="00B04F61" w:rsidRDefault="00B04F61" w:rsidP="0032587E">
            <w:pPr>
              <w:jc w:val="both"/>
              <w:rPr>
                <w:rFonts w:ascii="Times New Roman" w:hAnsi="Times New Roman" w:cs="Times New Roman"/>
                <w:lang w:val="en-US"/>
              </w:rPr>
            </w:pPr>
            <w:r>
              <w:rPr>
                <w:rFonts w:ascii="Times New Roman" w:hAnsi="Times New Roman" w:cs="Times New Roman"/>
                <w:lang w:val="en-US"/>
              </w:rPr>
              <w:t>BB-</w:t>
            </w:r>
          </w:p>
        </w:tc>
        <w:tc>
          <w:tcPr>
            <w:tcW w:w="3005" w:type="dxa"/>
          </w:tcPr>
          <w:p w14:paraId="4812F0FB" w14:textId="23BA37A9" w:rsidR="00B04F61" w:rsidRDefault="00B04F61" w:rsidP="0032587E">
            <w:pPr>
              <w:jc w:val="both"/>
              <w:rPr>
                <w:rFonts w:ascii="Times New Roman" w:hAnsi="Times New Roman" w:cs="Times New Roman"/>
                <w:lang w:val="en-US"/>
              </w:rPr>
            </w:pPr>
            <w:r>
              <w:rPr>
                <w:rFonts w:ascii="Times New Roman" w:hAnsi="Times New Roman" w:cs="Times New Roman"/>
                <w:lang w:val="en-US"/>
              </w:rPr>
              <w:t>8</w:t>
            </w:r>
          </w:p>
        </w:tc>
        <w:tc>
          <w:tcPr>
            <w:tcW w:w="3006" w:type="dxa"/>
          </w:tcPr>
          <w:p w14:paraId="19B3AD65" w14:textId="77777777" w:rsidR="00B04F61" w:rsidRDefault="00B04F61" w:rsidP="0032587E">
            <w:pPr>
              <w:jc w:val="both"/>
              <w:rPr>
                <w:rFonts w:ascii="Times New Roman" w:hAnsi="Times New Roman" w:cs="Times New Roman"/>
                <w:lang w:val="en-US"/>
              </w:rPr>
            </w:pPr>
          </w:p>
        </w:tc>
      </w:tr>
      <w:tr w:rsidR="00B04F61" w14:paraId="237EF791" w14:textId="77777777" w:rsidTr="00B04F61">
        <w:tc>
          <w:tcPr>
            <w:tcW w:w="3005" w:type="dxa"/>
          </w:tcPr>
          <w:p w14:paraId="00C51382" w14:textId="684DD9C6" w:rsidR="00B04F61" w:rsidRDefault="00B04F61" w:rsidP="0032587E">
            <w:pPr>
              <w:jc w:val="both"/>
              <w:rPr>
                <w:rFonts w:ascii="Times New Roman" w:hAnsi="Times New Roman" w:cs="Times New Roman"/>
                <w:lang w:val="en-US"/>
              </w:rPr>
            </w:pPr>
            <w:r>
              <w:rPr>
                <w:rFonts w:ascii="Times New Roman" w:hAnsi="Times New Roman" w:cs="Times New Roman"/>
                <w:lang w:val="en-US"/>
              </w:rPr>
              <w:t>B+</w:t>
            </w:r>
          </w:p>
        </w:tc>
        <w:tc>
          <w:tcPr>
            <w:tcW w:w="3005" w:type="dxa"/>
          </w:tcPr>
          <w:p w14:paraId="238A193A" w14:textId="39F60A90" w:rsidR="00B04F61" w:rsidRDefault="00B04F61" w:rsidP="0032587E">
            <w:pPr>
              <w:jc w:val="both"/>
              <w:rPr>
                <w:rFonts w:ascii="Times New Roman" w:hAnsi="Times New Roman" w:cs="Times New Roman"/>
                <w:lang w:val="en-US"/>
              </w:rPr>
            </w:pPr>
            <w:r>
              <w:rPr>
                <w:rFonts w:ascii="Times New Roman" w:hAnsi="Times New Roman" w:cs="Times New Roman"/>
                <w:lang w:val="en-US"/>
              </w:rPr>
              <w:t>7</w:t>
            </w:r>
          </w:p>
        </w:tc>
        <w:tc>
          <w:tcPr>
            <w:tcW w:w="3006" w:type="dxa"/>
          </w:tcPr>
          <w:p w14:paraId="03F685FD" w14:textId="72F0795A" w:rsidR="00B04F61" w:rsidRDefault="00B04F61" w:rsidP="0032587E">
            <w:pPr>
              <w:jc w:val="both"/>
              <w:rPr>
                <w:rFonts w:ascii="Times New Roman" w:hAnsi="Times New Roman" w:cs="Times New Roman"/>
                <w:lang w:val="en-US"/>
              </w:rPr>
            </w:pPr>
            <w:r>
              <w:rPr>
                <w:rFonts w:ascii="Times New Roman" w:hAnsi="Times New Roman" w:cs="Times New Roman"/>
                <w:lang w:val="en-US"/>
              </w:rPr>
              <w:t>Highly speculative</w:t>
            </w:r>
          </w:p>
        </w:tc>
      </w:tr>
      <w:tr w:rsidR="00B04F61" w14:paraId="73A345D6" w14:textId="77777777" w:rsidTr="00B04F61">
        <w:tc>
          <w:tcPr>
            <w:tcW w:w="3005" w:type="dxa"/>
          </w:tcPr>
          <w:p w14:paraId="26AD066F" w14:textId="0DA8816F" w:rsidR="00B04F61" w:rsidRDefault="00B04F61" w:rsidP="0032587E">
            <w:pPr>
              <w:jc w:val="both"/>
              <w:rPr>
                <w:rFonts w:ascii="Times New Roman" w:hAnsi="Times New Roman" w:cs="Times New Roman"/>
                <w:lang w:val="en-US"/>
              </w:rPr>
            </w:pPr>
            <w:r>
              <w:rPr>
                <w:rFonts w:ascii="Times New Roman" w:hAnsi="Times New Roman" w:cs="Times New Roman"/>
                <w:lang w:val="en-US"/>
              </w:rPr>
              <w:t>B</w:t>
            </w:r>
          </w:p>
        </w:tc>
        <w:tc>
          <w:tcPr>
            <w:tcW w:w="3005" w:type="dxa"/>
          </w:tcPr>
          <w:p w14:paraId="56DC96FB" w14:textId="5CA8C8EA" w:rsidR="00B04F61" w:rsidRDefault="00B04F61" w:rsidP="0032587E">
            <w:pPr>
              <w:jc w:val="both"/>
              <w:rPr>
                <w:rFonts w:ascii="Times New Roman" w:hAnsi="Times New Roman" w:cs="Times New Roman"/>
                <w:lang w:val="en-US"/>
              </w:rPr>
            </w:pPr>
            <w:r>
              <w:rPr>
                <w:rFonts w:ascii="Times New Roman" w:hAnsi="Times New Roman" w:cs="Times New Roman"/>
                <w:lang w:val="en-US"/>
              </w:rPr>
              <w:t>6</w:t>
            </w:r>
          </w:p>
        </w:tc>
        <w:tc>
          <w:tcPr>
            <w:tcW w:w="3006" w:type="dxa"/>
          </w:tcPr>
          <w:p w14:paraId="67990009" w14:textId="77777777" w:rsidR="00B04F61" w:rsidRDefault="00B04F61" w:rsidP="0032587E">
            <w:pPr>
              <w:jc w:val="both"/>
              <w:rPr>
                <w:rFonts w:ascii="Times New Roman" w:hAnsi="Times New Roman" w:cs="Times New Roman"/>
                <w:lang w:val="en-US"/>
              </w:rPr>
            </w:pPr>
          </w:p>
        </w:tc>
      </w:tr>
      <w:tr w:rsidR="00B04F61" w14:paraId="3CB39EF5" w14:textId="77777777" w:rsidTr="00B04F61">
        <w:tc>
          <w:tcPr>
            <w:tcW w:w="3005" w:type="dxa"/>
          </w:tcPr>
          <w:p w14:paraId="59BB2A83" w14:textId="31EFB222" w:rsidR="00B04F61" w:rsidRDefault="00B04F61" w:rsidP="0032587E">
            <w:pPr>
              <w:jc w:val="both"/>
              <w:rPr>
                <w:rFonts w:ascii="Times New Roman" w:hAnsi="Times New Roman" w:cs="Times New Roman"/>
                <w:lang w:val="en-US"/>
              </w:rPr>
            </w:pPr>
            <w:r>
              <w:rPr>
                <w:rFonts w:ascii="Times New Roman" w:hAnsi="Times New Roman" w:cs="Times New Roman"/>
                <w:lang w:val="en-US"/>
              </w:rPr>
              <w:t>B-</w:t>
            </w:r>
          </w:p>
        </w:tc>
        <w:tc>
          <w:tcPr>
            <w:tcW w:w="3005" w:type="dxa"/>
          </w:tcPr>
          <w:p w14:paraId="7C5AC285" w14:textId="5230A26E" w:rsidR="00B04F61" w:rsidRDefault="00B04F61" w:rsidP="0032587E">
            <w:pPr>
              <w:jc w:val="both"/>
              <w:rPr>
                <w:rFonts w:ascii="Times New Roman" w:hAnsi="Times New Roman" w:cs="Times New Roman"/>
                <w:lang w:val="en-US"/>
              </w:rPr>
            </w:pPr>
            <w:r>
              <w:rPr>
                <w:rFonts w:ascii="Times New Roman" w:hAnsi="Times New Roman" w:cs="Times New Roman"/>
                <w:lang w:val="en-US"/>
              </w:rPr>
              <w:t>5</w:t>
            </w:r>
          </w:p>
        </w:tc>
        <w:tc>
          <w:tcPr>
            <w:tcW w:w="3006" w:type="dxa"/>
          </w:tcPr>
          <w:p w14:paraId="40E56DD7" w14:textId="77777777" w:rsidR="00B04F61" w:rsidRDefault="00B04F61" w:rsidP="0032587E">
            <w:pPr>
              <w:jc w:val="both"/>
              <w:rPr>
                <w:rFonts w:ascii="Times New Roman" w:hAnsi="Times New Roman" w:cs="Times New Roman"/>
                <w:lang w:val="en-US"/>
              </w:rPr>
            </w:pPr>
          </w:p>
        </w:tc>
      </w:tr>
      <w:tr w:rsidR="00B04F61" w14:paraId="5B83A13A" w14:textId="77777777" w:rsidTr="00B04F61">
        <w:tc>
          <w:tcPr>
            <w:tcW w:w="3005" w:type="dxa"/>
          </w:tcPr>
          <w:p w14:paraId="51E5EC47" w14:textId="05E588AE" w:rsidR="00B04F61" w:rsidRDefault="00FB616F" w:rsidP="0032587E">
            <w:pPr>
              <w:jc w:val="both"/>
              <w:rPr>
                <w:rFonts w:ascii="Times New Roman" w:hAnsi="Times New Roman" w:cs="Times New Roman"/>
                <w:lang w:val="en-US"/>
              </w:rPr>
            </w:pPr>
            <w:r>
              <w:rPr>
                <w:rFonts w:ascii="Times New Roman" w:hAnsi="Times New Roman" w:cs="Times New Roman"/>
                <w:lang w:val="en-US"/>
              </w:rPr>
              <w:t>CCC+</w:t>
            </w:r>
          </w:p>
        </w:tc>
        <w:tc>
          <w:tcPr>
            <w:tcW w:w="3005" w:type="dxa"/>
          </w:tcPr>
          <w:p w14:paraId="7CA6405F" w14:textId="2ED4459B" w:rsidR="00B04F61" w:rsidRDefault="00B04F61" w:rsidP="0032587E">
            <w:pPr>
              <w:jc w:val="both"/>
              <w:rPr>
                <w:rFonts w:ascii="Times New Roman" w:hAnsi="Times New Roman" w:cs="Times New Roman"/>
                <w:lang w:val="en-US"/>
              </w:rPr>
            </w:pPr>
            <w:r>
              <w:rPr>
                <w:rFonts w:ascii="Times New Roman" w:hAnsi="Times New Roman" w:cs="Times New Roman"/>
                <w:lang w:val="en-US"/>
              </w:rPr>
              <w:t>4</w:t>
            </w:r>
          </w:p>
        </w:tc>
        <w:tc>
          <w:tcPr>
            <w:tcW w:w="3006" w:type="dxa"/>
          </w:tcPr>
          <w:p w14:paraId="110081E3" w14:textId="6497F3AB" w:rsidR="00B04F61" w:rsidRDefault="00B04F61" w:rsidP="0032587E">
            <w:pPr>
              <w:jc w:val="both"/>
              <w:rPr>
                <w:rFonts w:ascii="Times New Roman" w:hAnsi="Times New Roman" w:cs="Times New Roman"/>
                <w:lang w:val="en-US"/>
              </w:rPr>
            </w:pPr>
            <w:r>
              <w:rPr>
                <w:rFonts w:ascii="Times New Roman" w:hAnsi="Times New Roman" w:cs="Times New Roman"/>
                <w:lang w:val="en-US"/>
              </w:rPr>
              <w:t>Substantial risks</w:t>
            </w:r>
          </w:p>
        </w:tc>
      </w:tr>
      <w:tr w:rsidR="00B04F61" w14:paraId="3557D6F8" w14:textId="77777777" w:rsidTr="00B04F61">
        <w:tc>
          <w:tcPr>
            <w:tcW w:w="3005" w:type="dxa"/>
          </w:tcPr>
          <w:p w14:paraId="63CD1E03" w14:textId="598EF8D7" w:rsidR="00B04F61" w:rsidRDefault="00FB616F" w:rsidP="0032587E">
            <w:pPr>
              <w:jc w:val="both"/>
              <w:rPr>
                <w:rFonts w:ascii="Times New Roman" w:hAnsi="Times New Roman" w:cs="Times New Roman"/>
                <w:lang w:val="en-US"/>
              </w:rPr>
            </w:pPr>
            <w:r>
              <w:rPr>
                <w:rFonts w:ascii="Times New Roman" w:hAnsi="Times New Roman" w:cs="Times New Roman"/>
                <w:lang w:val="en-US"/>
              </w:rPr>
              <w:t>CCC</w:t>
            </w:r>
          </w:p>
        </w:tc>
        <w:tc>
          <w:tcPr>
            <w:tcW w:w="3005" w:type="dxa"/>
          </w:tcPr>
          <w:p w14:paraId="4F05412A" w14:textId="207F1783" w:rsidR="00B04F61" w:rsidRDefault="00B04F61" w:rsidP="0032587E">
            <w:pPr>
              <w:jc w:val="both"/>
              <w:rPr>
                <w:rFonts w:ascii="Times New Roman" w:hAnsi="Times New Roman" w:cs="Times New Roman"/>
                <w:lang w:val="en-US"/>
              </w:rPr>
            </w:pPr>
            <w:r>
              <w:rPr>
                <w:rFonts w:ascii="Times New Roman" w:hAnsi="Times New Roman" w:cs="Times New Roman"/>
                <w:lang w:val="en-US"/>
              </w:rPr>
              <w:t>3</w:t>
            </w:r>
          </w:p>
        </w:tc>
        <w:tc>
          <w:tcPr>
            <w:tcW w:w="3006" w:type="dxa"/>
          </w:tcPr>
          <w:p w14:paraId="17A1CD90" w14:textId="77777777" w:rsidR="00B04F61" w:rsidRDefault="00B04F61" w:rsidP="0032587E">
            <w:pPr>
              <w:jc w:val="both"/>
              <w:rPr>
                <w:rFonts w:ascii="Times New Roman" w:hAnsi="Times New Roman" w:cs="Times New Roman"/>
                <w:lang w:val="en-US"/>
              </w:rPr>
            </w:pPr>
          </w:p>
        </w:tc>
      </w:tr>
      <w:tr w:rsidR="00B04F61" w14:paraId="13C2FED6" w14:textId="77777777" w:rsidTr="00B04F61">
        <w:tc>
          <w:tcPr>
            <w:tcW w:w="3005" w:type="dxa"/>
          </w:tcPr>
          <w:p w14:paraId="05DEB0C7" w14:textId="147117BF" w:rsidR="00B04F61" w:rsidRDefault="00FB616F" w:rsidP="0032587E">
            <w:pPr>
              <w:jc w:val="both"/>
              <w:rPr>
                <w:rFonts w:ascii="Times New Roman" w:hAnsi="Times New Roman" w:cs="Times New Roman"/>
                <w:lang w:val="en-US"/>
              </w:rPr>
            </w:pPr>
            <w:r>
              <w:rPr>
                <w:rFonts w:ascii="Times New Roman" w:hAnsi="Times New Roman" w:cs="Times New Roman"/>
                <w:lang w:val="en-US"/>
              </w:rPr>
              <w:t>CCC-</w:t>
            </w:r>
          </w:p>
        </w:tc>
        <w:tc>
          <w:tcPr>
            <w:tcW w:w="3005" w:type="dxa"/>
          </w:tcPr>
          <w:p w14:paraId="4B307D1C" w14:textId="46B5CC04" w:rsidR="00B04F61" w:rsidRDefault="00B04F61" w:rsidP="0032587E">
            <w:pPr>
              <w:jc w:val="both"/>
              <w:rPr>
                <w:rFonts w:ascii="Times New Roman" w:hAnsi="Times New Roman" w:cs="Times New Roman"/>
                <w:lang w:val="en-US"/>
              </w:rPr>
            </w:pPr>
            <w:r>
              <w:rPr>
                <w:rFonts w:ascii="Times New Roman" w:hAnsi="Times New Roman" w:cs="Times New Roman"/>
                <w:lang w:val="en-US"/>
              </w:rPr>
              <w:t>2</w:t>
            </w:r>
          </w:p>
        </w:tc>
        <w:tc>
          <w:tcPr>
            <w:tcW w:w="3006" w:type="dxa"/>
          </w:tcPr>
          <w:p w14:paraId="1E3C8B91" w14:textId="77777777" w:rsidR="00B04F61" w:rsidRDefault="00B04F61" w:rsidP="0032587E">
            <w:pPr>
              <w:jc w:val="both"/>
              <w:rPr>
                <w:rFonts w:ascii="Times New Roman" w:hAnsi="Times New Roman" w:cs="Times New Roman"/>
                <w:lang w:val="en-US"/>
              </w:rPr>
            </w:pPr>
          </w:p>
        </w:tc>
      </w:tr>
      <w:tr w:rsidR="00B04F61" w14:paraId="2C89279F" w14:textId="77777777" w:rsidTr="00B04F61">
        <w:tc>
          <w:tcPr>
            <w:tcW w:w="3005" w:type="dxa"/>
          </w:tcPr>
          <w:p w14:paraId="3AB72452" w14:textId="4ECF7835" w:rsidR="00B04F61" w:rsidRDefault="00FB616F" w:rsidP="0032587E">
            <w:pPr>
              <w:jc w:val="both"/>
              <w:rPr>
                <w:rFonts w:ascii="Times New Roman" w:hAnsi="Times New Roman" w:cs="Times New Roman"/>
                <w:lang w:val="en-US"/>
              </w:rPr>
            </w:pPr>
            <w:r>
              <w:rPr>
                <w:rFonts w:ascii="Times New Roman" w:hAnsi="Times New Roman" w:cs="Times New Roman"/>
                <w:lang w:val="en-US"/>
              </w:rPr>
              <w:t>CC</w:t>
            </w:r>
          </w:p>
        </w:tc>
        <w:tc>
          <w:tcPr>
            <w:tcW w:w="3005" w:type="dxa"/>
          </w:tcPr>
          <w:p w14:paraId="1EF929B2" w14:textId="47607D9C" w:rsidR="00B04F61" w:rsidRDefault="00B04F61" w:rsidP="0032587E">
            <w:pPr>
              <w:jc w:val="both"/>
              <w:rPr>
                <w:rFonts w:ascii="Times New Roman" w:hAnsi="Times New Roman" w:cs="Times New Roman"/>
                <w:lang w:val="en-US"/>
              </w:rPr>
            </w:pPr>
            <w:r>
              <w:rPr>
                <w:rFonts w:ascii="Times New Roman" w:hAnsi="Times New Roman" w:cs="Times New Roman"/>
                <w:lang w:val="en-US"/>
              </w:rPr>
              <w:t>1</w:t>
            </w:r>
          </w:p>
        </w:tc>
        <w:tc>
          <w:tcPr>
            <w:tcW w:w="3006" w:type="dxa"/>
          </w:tcPr>
          <w:p w14:paraId="57C14537" w14:textId="4FF974E3" w:rsidR="00B04F61" w:rsidRDefault="00B04F61" w:rsidP="0032587E">
            <w:pPr>
              <w:jc w:val="both"/>
              <w:rPr>
                <w:rFonts w:ascii="Times New Roman" w:hAnsi="Times New Roman" w:cs="Times New Roman"/>
                <w:lang w:val="en-US"/>
              </w:rPr>
            </w:pPr>
            <w:r>
              <w:rPr>
                <w:rFonts w:ascii="Times New Roman" w:hAnsi="Times New Roman" w:cs="Times New Roman"/>
                <w:lang w:val="en-US"/>
              </w:rPr>
              <w:t>Extremely speculative / In default</w:t>
            </w:r>
          </w:p>
        </w:tc>
      </w:tr>
      <w:tr w:rsidR="00B04F61" w14:paraId="74EDAA3C" w14:textId="77777777" w:rsidTr="00B04F61">
        <w:tc>
          <w:tcPr>
            <w:tcW w:w="3005" w:type="dxa"/>
          </w:tcPr>
          <w:p w14:paraId="24C1D408" w14:textId="084375C1" w:rsidR="00B04F61" w:rsidRDefault="00FB616F" w:rsidP="0032587E">
            <w:pPr>
              <w:jc w:val="both"/>
              <w:rPr>
                <w:rFonts w:ascii="Times New Roman" w:hAnsi="Times New Roman" w:cs="Times New Roman"/>
                <w:lang w:val="en-US"/>
              </w:rPr>
            </w:pPr>
            <w:r>
              <w:rPr>
                <w:rFonts w:ascii="Times New Roman" w:hAnsi="Times New Roman" w:cs="Times New Roman"/>
                <w:lang w:val="en-US"/>
              </w:rPr>
              <w:t>C</w:t>
            </w:r>
          </w:p>
        </w:tc>
        <w:tc>
          <w:tcPr>
            <w:tcW w:w="3005" w:type="dxa"/>
          </w:tcPr>
          <w:p w14:paraId="3AF00582" w14:textId="3F79B036" w:rsidR="00B04F61" w:rsidRDefault="00B04F61" w:rsidP="0032587E">
            <w:pPr>
              <w:jc w:val="both"/>
              <w:rPr>
                <w:rFonts w:ascii="Times New Roman" w:hAnsi="Times New Roman" w:cs="Times New Roman"/>
                <w:lang w:val="en-US"/>
              </w:rPr>
            </w:pPr>
            <w:r>
              <w:rPr>
                <w:rFonts w:ascii="Times New Roman" w:hAnsi="Times New Roman" w:cs="Times New Roman"/>
                <w:lang w:val="en-US"/>
              </w:rPr>
              <w:t>1</w:t>
            </w:r>
          </w:p>
        </w:tc>
        <w:tc>
          <w:tcPr>
            <w:tcW w:w="3006" w:type="dxa"/>
          </w:tcPr>
          <w:p w14:paraId="25101476" w14:textId="77777777" w:rsidR="00B04F61" w:rsidRDefault="00B04F61" w:rsidP="0032587E">
            <w:pPr>
              <w:jc w:val="both"/>
              <w:rPr>
                <w:rFonts w:ascii="Times New Roman" w:hAnsi="Times New Roman" w:cs="Times New Roman"/>
                <w:lang w:val="en-US"/>
              </w:rPr>
            </w:pPr>
          </w:p>
        </w:tc>
      </w:tr>
      <w:tr w:rsidR="00B04F61" w14:paraId="59771405" w14:textId="77777777" w:rsidTr="00B04F61">
        <w:tc>
          <w:tcPr>
            <w:tcW w:w="3005" w:type="dxa"/>
          </w:tcPr>
          <w:p w14:paraId="7720A9B4" w14:textId="1DA8582D" w:rsidR="00B04F61" w:rsidRDefault="00FB616F" w:rsidP="0032587E">
            <w:pPr>
              <w:jc w:val="both"/>
              <w:rPr>
                <w:rFonts w:ascii="Times New Roman" w:hAnsi="Times New Roman" w:cs="Times New Roman"/>
                <w:lang w:val="en-US"/>
              </w:rPr>
            </w:pPr>
            <w:r>
              <w:rPr>
                <w:rFonts w:ascii="Times New Roman" w:hAnsi="Times New Roman" w:cs="Times New Roman"/>
                <w:lang w:val="en-US"/>
              </w:rPr>
              <w:t>D/SD</w:t>
            </w:r>
          </w:p>
        </w:tc>
        <w:tc>
          <w:tcPr>
            <w:tcW w:w="3005" w:type="dxa"/>
          </w:tcPr>
          <w:p w14:paraId="3B1B524E" w14:textId="69277284" w:rsidR="00B04F61" w:rsidRDefault="00B04F61" w:rsidP="0032587E">
            <w:pPr>
              <w:jc w:val="both"/>
              <w:rPr>
                <w:rFonts w:ascii="Times New Roman" w:hAnsi="Times New Roman" w:cs="Times New Roman"/>
                <w:lang w:val="en-US"/>
              </w:rPr>
            </w:pPr>
            <w:r>
              <w:rPr>
                <w:rFonts w:ascii="Times New Roman" w:hAnsi="Times New Roman" w:cs="Times New Roman"/>
                <w:lang w:val="en-US"/>
              </w:rPr>
              <w:t>1</w:t>
            </w:r>
          </w:p>
        </w:tc>
        <w:tc>
          <w:tcPr>
            <w:tcW w:w="3006" w:type="dxa"/>
          </w:tcPr>
          <w:p w14:paraId="2231542D" w14:textId="77777777" w:rsidR="00B04F61" w:rsidRDefault="00B04F61" w:rsidP="0032587E">
            <w:pPr>
              <w:jc w:val="both"/>
              <w:rPr>
                <w:rFonts w:ascii="Times New Roman" w:hAnsi="Times New Roman" w:cs="Times New Roman"/>
                <w:lang w:val="en-US"/>
              </w:rPr>
            </w:pPr>
          </w:p>
        </w:tc>
      </w:tr>
    </w:tbl>
    <w:p w14:paraId="22F958B5" w14:textId="67C782F0" w:rsidR="00B04F61" w:rsidRDefault="00FB616F" w:rsidP="0032587E">
      <w:pPr>
        <w:jc w:val="both"/>
        <w:rPr>
          <w:rFonts w:ascii="Times New Roman" w:hAnsi="Times New Roman" w:cs="Times New Roman"/>
          <w:lang w:val="en-US"/>
        </w:rPr>
      </w:pPr>
      <w:r>
        <w:rPr>
          <w:rFonts w:ascii="Times New Roman" w:hAnsi="Times New Roman" w:cs="Times New Roman"/>
          <w:lang w:val="en-US"/>
        </w:rPr>
        <w:t xml:space="preserve">This table shows the S&amp;P sovereign credit rating scale. In this study, when we </w:t>
      </w:r>
      <w:proofErr w:type="gramStart"/>
      <w:r>
        <w:rPr>
          <w:rFonts w:ascii="Times New Roman" w:hAnsi="Times New Roman" w:cs="Times New Roman"/>
          <w:lang w:val="en-US"/>
        </w:rPr>
        <w:t>make reference</w:t>
      </w:r>
      <w:proofErr w:type="gramEnd"/>
      <w:r>
        <w:rPr>
          <w:rFonts w:ascii="Times New Roman" w:hAnsi="Times New Roman" w:cs="Times New Roman"/>
          <w:lang w:val="en-US"/>
        </w:rPr>
        <w:t xml:space="preserve"> to notch changes in a rating, we refer to this scale.</w:t>
      </w:r>
    </w:p>
    <w:p w14:paraId="03DEBEBC" w14:textId="77777777" w:rsidR="00FF14EA" w:rsidRDefault="00FF14EA" w:rsidP="0032587E">
      <w:pPr>
        <w:jc w:val="both"/>
        <w:rPr>
          <w:rFonts w:ascii="Times New Roman" w:hAnsi="Times New Roman" w:cs="Times New Roman"/>
          <w:lang w:val="en-US"/>
        </w:rPr>
      </w:pPr>
    </w:p>
    <w:p w14:paraId="4607C877" w14:textId="77777777" w:rsidR="00FF14EA" w:rsidRDefault="00FF14EA" w:rsidP="0032587E">
      <w:pPr>
        <w:jc w:val="both"/>
        <w:rPr>
          <w:rFonts w:ascii="Times New Roman" w:hAnsi="Times New Roman" w:cs="Times New Roman"/>
          <w:lang w:val="en-US"/>
        </w:rPr>
      </w:pPr>
    </w:p>
    <w:p w14:paraId="78AABFE9" w14:textId="77777777" w:rsidR="00FF14EA" w:rsidRDefault="00FF14EA" w:rsidP="0032587E">
      <w:pPr>
        <w:jc w:val="both"/>
        <w:rPr>
          <w:rFonts w:ascii="Times New Roman" w:hAnsi="Times New Roman" w:cs="Times New Roman"/>
          <w:lang w:val="en-US"/>
        </w:rPr>
      </w:pPr>
    </w:p>
    <w:p w14:paraId="6658D018" w14:textId="77777777" w:rsidR="00FF14EA" w:rsidRDefault="00FF14EA" w:rsidP="0032587E">
      <w:pPr>
        <w:jc w:val="both"/>
        <w:rPr>
          <w:rFonts w:ascii="Times New Roman" w:hAnsi="Times New Roman" w:cs="Times New Roman"/>
          <w:lang w:val="en-US"/>
        </w:rPr>
      </w:pPr>
    </w:p>
    <w:p w14:paraId="01C571EC" w14:textId="77777777" w:rsidR="00FF14EA" w:rsidRDefault="00FF14EA" w:rsidP="0032587E">
      <w:pPr>
        <w:jc w:val="both"/>
        <w:rPr>
          <w:rFonts w:ascii="Times New Roman" w:hAnsi="Times New Roman" w:cs="Times New Roman"/>
          <w:lang w:val="en-US"/>
        </w:rPr>
      </w:pPr>
    </w:p>
    <w:p w14:paraId="15950E85" w14:textId="77777777" w:rsidR="00FF14EA" w:rsidRDefault="00FF14EA" w:rsidP="0032587E">
      <w:pPr>
        <w:jc w:val="both"/>
        <w:rPr>
          <w:rFonts w:ascii="Times New Roman" w:hAnsi="Times New Roman" w:cs="Times New Roman"/>
          <w:lang w:val="en-US"/>
        </w:rPr>
      </w:pPr>
    </w:p>
    <w:p w14:paraId="3CF65C2B" w14:textId="77777777" w:rsidR="00FF14EA" w:rsidRDefault="00FF14EA" w:rsidP="0032587E">
      <w:pPr>
        <w:jc w:val="both"/>
        <w:rPr>
          <w:rFonts w:ascii="Times New Roman" w:hAnsi="Times New Roman" w:cs="Times New Roman"/>
          <w:lang w:val="en-US"/>
        </w:rPr>
      </w:pPr>
    </w:p>
    <w:p w14:paraId="323554B0" w14:textId="77777777" w:rsidR="00FF14EA" w:rsidRDefault="00FF14EA" w:rsidP="0032587E">
      <w:pPr>
        <w:jc w:val="both"/>
        <w:rPr>
          <w:rFonts w:ascii="Times New Roman" w:hAnsi="Times New Roman" w:cs="Times New Roman"/>
          <w:lang w:val="en-US"/>
        </w:rPr>
      </w:pPr>
    </w:p>
    <w:p w14:paraId="3DB59BA7" w14:textId="77777777" w:rsidR="00FF14EA" w:rsidRDefault="00FF14EA" w:rsidP="0032587E">
      <w:pPr>
        <w:jc w:val="both"/>
        <w:rPr>
          <w:rFonts w:ascii="Times New Roman" w:hAnsi="Times New Roman" w:cs="Times New Roman"/>
          <w:lang w:val="en-US"/>
        </w:rPr>
      </w:pPr>
    </w:p>
    <w:p w14:paraId="41D24F4A" w14:textId="77777777" w:rsidR="00FF14EA" w:rsidRDefault="00FF14EA" w:rsidP="0032587E">
      <w:pPr>
        <w:jc w:val="both"/>
        <w:rPr>
          <w:rFonts w:ascii="Times New Roman" w:hAnsi="Times New Roman" w:cs="Times New Roman"/>
          <w:lang w:val="en-US"/>
        </w:rPr>
      </w:pPr>
    </w:p>
    <w:p w14:paraId="227252FC" w14:textId="77777777" w:rsidR="005559EB" w:rsidRDefault="005559EB" w:rsidP="0032587E">
      <w:pPr>
        <w:jc w:val="both"/>
        <w:rPr>
          <w:rFonts w:ascii="Times New Roman" w:hAnsi="Times New Roman" w:cs="Times New Roman"/>
          <w:lang w:val="en-US"/>
        </w:rPr>
      </w:pPr>
    </w:p>
    <w:p w14:paraId="1D5BB232" w14:textId="219608EC" w:rsidR="005559EB" w:rsidRDefault="005559EB" w:rsidP="0032587E">
      <w:pPr>
        <w:jc w:val="both"/>
        <w:rPr>
          <w:rFonts w:ascii="Times New Roman" w:hAnsi="Times New Roman" w:cs="Times New Roman"/>
          <w:lang w:val="en-US"/>
        </w:rPr>
      </w:pPr>
      <w:r>
        <w:rPr>
          <w:rFonts w:ascii="Times New Roman" w:hAnsi="Times New Roman" w:cs="Times New Roman"/>
          <w:lang w:val="en-US"/>
        </w:rPr>
        <w:lastRenderedPageBreak/>
        <w:t>Figure 1</w:t>
      </w:r>
      <w:r w:rsidR="00CE5916">
        <w:rPr>
          <w:rFonts w:ascii="Times New Roman" w:hAnsi="Times New Roman" w:cs="Times New Roman"/>
          <w:lang w:val="en-US"/>
        </w:rPr>
        <w:t>: Out of sample accuracy by country</w:t>
      </w:r>
    </w:p>
    <w:p w14:paraId="37F1956A" w14:textId="098AF5A5" w:rsidR="00FF14EA" w:rsidRPr="00FF14EA" w:rsidRDefault="00FF14EA" w:rsidP="00FF14EA">
      <w:pPr>
        <w:jc w:val="both"/>
        <w:rPr>
          <w:rFonts w:ascii="Times New Roman" w:hAnsi="Times New Roman" w:cs="Times New Roman"/>
        </w:rPr>
      </w:pPr>
      <w:r w:rsidRPr="00FF14EA">
        <w:rPr>
          <w:rFonts w:ascii="Times New Roman" w:hAnsi="Times New Roman" w:cs="Times New Roman"/>
          <w:noProof/>
        </w:rPr>
        <w:drawing>
          <wp:inline distT="0" distB="0" distL="0" distR="0" wp14:anchorId="74ECB53B" wp14:editId="430FD2C1">
            <wp:extent cx="5731510" cy="4776470"/>
            <wp:effectExtent l="0" t="0" r="2540" b="5080"/>
            <wp:docPr id="823403889" name="Picture 2" descr="A graph of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03889" name="Picture 2" descr="A graph of rating&#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4EBD0C45" w14:textId="4F592AE5" w:rsidR="005559EB" w:rsidRDefault="00FF14EA" w:rsidP="0032587E">
      <w:pPr>
        <w:jc w:val="both"/>
        <w:rPr>
          <w:rFonts w:ascii="Times New Roman" w:hAnsi="Times New Roman" w:cs="Times New Roman"/>
          <w:lang w:val="en-US"/>
        </w:rPr>
      </w:pPr>
      <w:r>
        <w:rPr>
          <w:rFonts w:ascii="Times New Roman" w:hAnsi="Times New Roman" w:cs="Times New Roman"/>
          <w:lang w:val="en-US"/>
        </w:rPr>
        <w:t>This figure shows the out-of-sample accuracy by country. The orange dot depicts the actual rating, and the blue dot depicts the simulated rating from our model. The black whiskers depict the error bound for our estimate.</w:t>
      </w:r>
    </w:p>
    <w:p w14:paraId="5008A542" w14:textId="77777777" w:rsidR="003C1E9A" w:rsidRDefault="003C1E9A" w:rsidP="0032587E">
      <w:pPr>
        <w:jc w:val="both"/>
        <w:rPr>
          <w:rFonts w:ascii="Times New Roman" w:hAnsi="Times New Roman" w:cs="Times New Roman"/>
          <w:lang w:val="en-US"/>
        </w:rPr>
      </w:pPr>
    </w:p>
    <w:p w14:paraId="28701E92" w14:textId="77777777" w:rsidR="003C1E9A" w:rsidRDefault="003C1E9A" w:rsidP="0032587E">
      <w:pPr>
        <w:jc w:val="both"/>
        <w:rPr>
          <w:rFonts w:ascii="Times New Roman" w:hAnsi="Times New Roman" w:cs="Times New Roman"/>
          <w:lang w:val="en-US"/>
        </w:rPr>
      </w:pPr>
    </w:p>
    <w:p w14:paraId="03EF47EF" w14:textId="77777777" w:rsidR="003C1E9A" w:rsidRDefault="003C1E9A" w:rsidP="0032587E">
      <w:pPr>
        <w:jc w:val="both"/>
        <w:rPr>
          <w:rFonts w:ascii="Times New Roman" w:hAnsi="Times New Roman" w:cs="Times New Roman"/>
          <w:lang w:val="en-US"/>
        </w:rPr>
      </w:pPr>
    </w:p>
    <w:p w14:paraId="6893F7E2" w14:textId="77777777" w:rsidR="003C1E9A" w:rsidRDefault="003C1E9A" w:rsidP="0032587E">
      <w:pPr>
        <w:jc w:val="both"/>
        <w:rPr>
          <w:rFonts w:ascii="Times New Roman" w:hAnsi="Times New Roman" w:cs="Times New Roman"/>
          <w:lang w:val="en-US"/>
        </w:rPr>
      </w:pPr>
    </w:p>
    <w:p w14:paraId="0D5413CB" w14:textId="77777777" w:rsidR="003C1E9A" w:rsidRDefault="003C1E9A" w:rsidP="0032587E">
      <w:pPr>
        <w:jc w:val="both"/>
        <w:rPr>
          <w:rFonts w:ascii="Times New Roman" w:hAnsi="Times New Roman" w:cs="Times New Roman"/>
          <w:lang w:val="en-US"/>
        </w:rPr>
      </w:pPr>
    </w:p>
    <w:p w14:paraId="1920EAD3" w14:textId="77777777" w:rsidR="003C1E9A" w:rsidRDefault="003C1E9A" w:rsidP="0032587E">
      <w:pPr>
        <w:jc w:val="both"/>
        <w:rPr>
          <w:rFonts w:ascii="Times New Roman" w:hAnsi="Times New Roman" w:cs="Times New Roman"/>
          <w:lang w:val="en-US"/>
        </w:rPr>
      </w:pPr>
    </w:p>
    <w:p w14:paraId="306F13EE" w14:textId="77777777" w:rsidR="003C1E9A" w:rsidRDefault="003C1E9A" w:rsidP="0032587E">
      <w:pPr>
        <w:jc w:val="both"/>
        <w:rPr>
          <w:rFonts w:ascii="Times New Roman" w:hAnsi="Times New Roman" w:cs="Times New Roman"/>
          <w:lang w:val="en-US"/>
        </w:rPr>
      </w:pPr>
    </w:p>
    <w:p w14:paraId="64A9F959" w14:textId="77777777" w:rsidR="003C1E9A" w:rsidRDefault="003C1E9A" w:rsidP="0032587E">
      <w:pPr>
        <w:jc w:val="both"/>
        <w:rPr>
          <w:rFonts w:ascii="Times New Roman" w:hAnsi="Times New Roman" w:cs="Times New Roman"/>
          <w:lang w:val="en-US"/>
        </w:rPr>
      </w:pPr>
    </w:p>
    <w:p w14:paraId="29419E22" w14:textId="77777777" w:rsidR="003C1E9A" w:rsidRDefault="003C1E9A" w:rsidP="0032587E">
      <w:pPr>
        <w:jc w:val="both"/>
        <w:rPr>
          <w:rFonts w:ascii="Times New Roman" w:hAnsi="Times New Roman" w:cs="Times New Roman"/>
          <w:lang w:val="en-US"/>
        </w:rPr>
      </w:pPr>
    </w:p>
    <w:p w14:paraId="65E7FB41" w14:textId="77777777" w:rsidR="0006308F" w:rsidRDefault="0006308F" w:rsidP="0032587E">
      <w:pPr>
        <w:jc w:val="both"/>
        <w:rPr>
          <w:rFonts w:ascii="Times New Roman" w:hAnsi="Times New Roman" w:cs="Times New Roman"/>
          <w:lang w:val="en-US"/>
        </w:rPr>
      </w:pPr>
    </w:p>
    <w:p w14:paraId="40BE7EF4" w14:textId="190664CA" w:rsidR="003C1E9A" w:rsidRDefault="003C1E9A" w:rsidP="0032587E">
      <w:pPr>
        <w:jc w:val="both"/>
        <w:rPr>
          <w:rFonts w:ascii="Times New Roman" w:hAnsi="Times New Roman" w:cs="Times New Roman"/>
          <w:lang w:val="en-US"/>
        </w:rPr>
      </w:pPr>
      <w:r>
        <w:rPr>
          <w:rFonts w:ascii="Times New Roman" w:hAnsi="Times New Roman" w:cs="Times New Roman"/>
          <w:lang w:val="en-US"/>
        </w:rPr>
        <w:lastRenderedPageBreak/>
        <w:t>Figure 2</w:t>
      </w:r>
      <w:r w:rsidR="00CE5916">
        <w:rPr>
          <w:rFonts w:ascii="Times New Roman" w:hAnsi="Times New Roman" w:cs="Times New Roman"/>
          <w:lang w:val="en-US"/>
        </w:rPr>
        <w:t>: Relationship between credit ratings and probability of default</w:t>
      </w:r>
    </w:p>
    <w:p w14:paraId="3C3451BB" w14:textId="08B95CBD" w:rsidR="00726613" w:rsidRPr="00726613" w:rsidRDefault="00726613" w:rsidP="00726613">
      <w:pPr>
        <w:jc w:val="both"/>
        <w:rPr>
          <w:rFonts w:ascii="Times New Roman" w:hAnsi="Times New Roman" w:cs="Times New Roman"/>
          <w:noProof/>
        </w:rPr>
      </w:pPr>
    </w:p>
    <w:p w14:paraId="56C82420" w14:textId="0BDF5DE5" w:rsidR="00053602" w:rsidRPr="00053602" w:rsidRDefault="00053602" w:rsidP="00053602">
      <w:pPr>
        <w:jc w:val="both"/>
        <w:rPr>
          <w:rFonts w:ascii="Times New Roman" w:hAnsi="Times New Roman" w:cs="Times New Roman"/>
          <w:noProof/>
        </w:rPr>
      </w:pPr>
      <w:r w:rsidRPr="00053602">
        <w:rPr>
          <w:rFonts w:ascii="Times New Roman" w:hAnsi="Times New Roman" w:cs="Times New Roman"/>
          <w:noProof/>
        </w:rPr>
        <w:drawing>
          <wp:inline distT="0" distB="0" distL="0" distR="0" wp14:anchorId="56D8D09E" wp14:editId="3FC90B49">
            <wp:extent cx="5731510" cy="5722620"/>
            <wp:effectExtent l="0" t="0" r="2540" b="0"/>
            <wp:docPr id="1508888599" name="Picture 4"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88599" name="Picture 4" descr="A graph of a number of poin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22620"/>
                    </a:xfrm>
                    <a:prstGeom prst="rect">
                      <a:avLst/>
                    </a:prstGeom>
                    <a:noFill/>
                    <a:ln>
                      <a:noFill/>
                    </a:ln>
                  </pic:spPr>
                </pic:pic>
              </a:graphicData>
            </a:graphic>
          </wp:inline>
        </w:drawing>
      </w:r>
    </w:p>
    <w:p w14:paraId="4320835F" w14:textId="4F8F8F2E" w:rsidR="003C1E9A" w:rsidRPr="003C1E9A" w:rsidRDefault="003C1E9A" w:rsidP="003C1E9A">
      <w:pPr>
        <w:jc w:val="both"/>
        <w:rPr>
          <w:rFonts w:ascii="Times New Roman" w:hAnsi="Times New Roman" w:cs="Times New Roman"/>
        </w:rPr>
      </w:pPr>
    </w:p>
    <w:p w14:paraId="5CA08804" w14:textId="3139AE84" w:rsidR="003C1E9A" w:rsidRDefault="003C1E9A" w:rsidP="0032587E">
      <w:pPr>
        <w:jc w:val="both"/>
        <w:rPr>
          <w:rFonts w:ascii="Times New Roman" w:hAnsi="Times New Roman" w:cs="Times New Roman"/>
          <w:lang w:val="en-US"/>
        </w:rPr>
      </w:pPr>
      <w:r>
        <w:rPr>
          <w:rFonts w:ascii="Times New Roman" w:hAnsi="Times New Roman" w:cs="Times New Roman"/>
          <w:lang w:val="en-US"/>
        </w:rPr>
        <w:t xml:space="preserve">This figure shows the empirical relationship between the sovereign credit rating </w:t>
      </w:r>
      <w:r w:rsidR="00F43795">
        <w:rPr>
          <w:rFonts w:ascii="Times New Roman" w:hAnsi="Times New Roman" w:cs="Times New Roman"/>
          <w:lang w:val="en-US"/>
        </w:rPr>
        <w:t xml:space="preserve">in the 20-notch scale and the annual probability of default. </w:t>
      </w:r>
    </w:p>
    <w:p w14:paraId="54766E09" w14:textId="77777777" w:rsidR="00A42012" w:rsidRPr="00A42012" w:rsidRDefault="00A42012" w:rsidP="00A42012">
      <w:pPr>
        <w:rPr>
          <w:rFonts w:ascii="Times New Roman" w:hAnsi="Times New Roman" w:cs="Times New Roman"/>
          <w:lang w:val="en-US"/>
        </w:rPr>
      </w:pPr>
    </w:p>
    <w:p w14:paraId="607900C0" w14:textId="77777777" w:rsidR="00A42012" w:rsidRPr="00A42012" w:rsidRDefault="00A42012" w:rsidP="00A42012">
      <w:pPr>
        <w:rPr>
          <w:rFonts w:ascii="Times New Roman" w:hAnsi="Times New Roman" w:cs="Times New Roman"/>
          <w:lang w:val="en-US"/>
        </w:rPr>
      </w:pPr>
    </w:p>
    <w:p w14:paraId="3ED10801" w14:textId="77777777" w:rsidR="00A42012" w:rsidRDefault="00A42012" w:rsidP="00A42012">
      <w:pPr>
        <w:rPr>
          <w:rFonts w:ascii="Times New Roman" w:hAnsi="Times New Roman" w:cs="Times New Roman"/>
          <w:lang w:val="en-US"/>
        </w:rPr>
      </w:pPr>
    </w:p>
    <w:p w14:paraId="29E75D2E" w14:textId="77777777" w:rsidR="00666738" w:rsidRDefault="00666738" w:rsidP="00A42012">
      <w:pPr>
        <w:rPr>
          <w:rFonts w:ascii="Times New Roman" w:hAnsi="Times New Roman" w:cs="Times New Roman"/>
          <w:lang w:val="en-US"/>
        </w:rPr>
      </w:pPr>
    </w:p>
    <w:p w14:paraId="5DF00B1B" w14:textId="77777777" w:rsidR="0006308F" w:rsidRDefault="0006308F" w:rsidP="00A42012">
      <w:pPr>
        <w:rPr>
          <w:rFonts w:ascii="Times New Roman" w:hAnsi="Times New Roman" w:cs="Times New Roman"/>
          <w:lang w:val="en-US"/>
        </w:rPr>
      </w:pPr>
    </w:p>
    <w:p w14:paraId="2A27C196" w14:textId="325DBE17" w:rsidR="00844FBF" w:rsidRDefault="00844FBF" w:rsidP="00844FBF">
      <w:pPr>
        <w:rPr>
          <w:rFonts w:ascii="Times New Roman" w:hAnsi="Times New Roman" w:cs="Times New Roman"/>
          <w:lang w:val="en-US"/>
        </w:rPr>
      </w:pPr>
      <w:r>
        <w:rPr>
          <w:rFonts w:ascii="Times New Roman" w:hAnsi="Times New Roman" w:cs="Times New Roman"/>
          <w:lang w:val="en-US"/>
        </w:rPr>
        <w:lastRenderedPageBreak/>
        <w:t xml:space="preserve">Figure </w:t>
      </w:r>
      <w:r w:rsidR="006172E0">
        <w:rPr>
          <w:rFonts w:ascii="Times New Roman" w:hAnsi="Times New Roman" w:cs="Times New Roman"/>
          <w:lang w:val="en-US"/>
        </w:rPr>
        <w:t>3</w:t>
      </w:r>
      <w:r w:rsidR="00551B7D">
        <w:rPr>
          <w:rFonts w:ascii="Times New Roman" w:hAnsi="Times New Roman" w:cs="Times New Roman"/>
          <w:lang w:val="en-US"/>
        </w:rPr>
        <w:t>: GDP losses by scenario (2050)</w:t>
      </w:r>
    </w:p>
    <w:p w14:paraId="4C00AAE1" w14:textId="6ABAC4C2" w:rsidR="00B138E7" w:rsidRPr="00B138E7" w:rsidRDefault="00B138E7" w:rsidP="00B138E7">
      <w:r w:rsidRPr="00B138E7">
        <w:rPr>
          <w:rFonts w:ascii="Times New Roman" w:eastAsia="Times New Roman" w:hAnsi="Times New Roman" w:cs="Times New Roman"/>
          <w:kern w:val="0"/>
          <w:lang w:eastAsia="en-GB"/>
          <w14:ligatures w14:val="none"/>
        </w:rPr>
        <w:t xml:space="preserve"> </w:t>
      </w:r>
      <w:r w:rsidRPr="00B138E7">
        <w:rPr>
          <w:noProof/>
        </w:rPr>
        <w:drawing>
          <wp:inline distT="0" distB="0" distL="0" distR="0" wp14:anchorId="0FD72705" wp14:editId="59420442">
            <wp:extent cx="5731510" cy="4776470"/>
            <wp:effectExtent l="0" t="0" r="2540" b="5080"/>
            <wp:docPr id="1811832518" name="Picture 4" descr="A graph of a graph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32518" name="Picture 4" descr="A graph of a graph with different colored do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2F2386F6" w14:textId="50A85F31" w:rsidR="00844FBF" w:rsidRPr="00844FBF" w:rsidRDefault="00844FBF" w:rsidP="00844FBF">
      <w:pPr>
        <w:rPr>
          <w:rFonts w:ascii="Times New Roman" w:hAnsi="Times New Roman" w:cs="Times New Roman"/>
        </w:rPr>
      </w:pPr>
    </w:p>
    <w:p w14:paraId="3C374075" w14:textId="3578DD73" w:rsidR="00844FBF" w:rsidRDefault="00844FBF" w:rsidP="00844FBF">
      <w:pPr>
        <w:rPr>
          <w:rFonts w:ascii="Times New Roman" w:hAnsi="Times New Roman" w:cs="Times New Roman"/>
          <w:lang w:val="en-US"/>
        </w:rPr>
      </w:pPr>
      <w:r>
        <w:rPr>
          <w:rFonts w:ascii="Times New Roman" w:hAnsi="Times New Roman" w:cs="Times New Roman"/>
          <w:lang w:val="en-US"/>
        </w:rPr>
        <w:t>This figure shows the downscaled GDP deviation from baseline figures by country. These results are averages from each of the three IAMs.</w:t>
      </w:r>
    </w:p>
    <w:p w14:paraId="5A28D570" w14:textId="77777777" w:rsidR="00844FBF" w:rsidRPr="00844FBF" w:rsidRDefault="00844FBF" w:rsidP="00844FBF">
      <w:pPr>
        <w:rPr>
          <w:rFonts w:ascii="Times New Roman" w:hAnsi="Times New Roman" w:cs="Times New Roman"/>
          <w:lang w:val="en-US"/>
        </w:rPr>
      </w:pPr>
    </w:p>
    <w:p w14:paraId="35975FD6" w14:textId="77777777" w:rsidR="00844FBF" w:rsidRDefault="00844FBF" w:rsidP="00844FBF">
      <w:pPr>
        <w:rPr>
          <w:rFonts w:ascii="Times New Roman" w:hAnsi="Times New Roman" w:cs="Times New Roman"/>
          <w:lang w:val="en-US"/>
        </w:rPr>
      </w:pPr>
    </w:p>
    <w:p w14:paraId="69E96398" w14:textId="77777777" w:rsidR="004179A7" w:rsidRDefault="004179A7" w:rsidP="00844FBF">
      <w:pPr>
        <w:rPr>
          <w:rFonts w:ascii="Times New Roman" w:hAnsi="Times New Roman" w:cs="Times New Roman"/>
          <w:lang w:val="en-US"/>
        </w:rPr>
      </w:pPr>
    </w:p>
    <w:p w14:paraId="1710A889" w14:textId="77777777" w:rsidR="004179A7" w:rsidRDefault="004179A7" w:rsidP="00844FBF">
      <w:pPr>
        <w:rPr>
          <w:rFonts w:ascii="Times New Roman" w:hAnsi="Times New Roman" w:cs="Times New Roman"/>
          <w:lang w:val="en-US"/>
        </w:rPr>
      </w:pPr>
    </w:p>
    <w:p w14:paraId="248DDEFE" w14:textId="77777777" w:rsidR="004179A7" w:rsidRDefault="004179A7" w:rsidP="00844FBF">
      <w:pPr>
        <w:rPr>
          <w:rFonts w:ascii="Times New Roman" w:hAnsi="Times New Roman" w:cs="Times New Roman"/>
          <w:lang w:val="en-US"/>
        </w:rPr>
      </w:pPr>
    </w:p>
    <w:p w14:paraId="1AB59B51" w14:textId="77777777" w:rsidR="004179A7" w:rsidRDefault="004179A7" w:rsidP="00844FBF">
      <w:pPr>
        <w:rPr>
          <w:rFonts w:ascii="Times New Roman" w:hAnsi="Times New Roman" w:cs="Times New Roman"/>
          <w:lang w:val="en-US"/>
        </w:rPr>
      </w:pPr>
    </w:p>
    <w:p w14:paraId="56D34000" w14:textId="77777777" w:rsidR="004179A7" w:rsidRDefault="004179A7" w:rsidP="00844FBF">
      <w:pPr>
        <w:rPr>
          <w:rFonts w:ascii="Times New Roman" w:hAnsi="Times New Roman" w:cs="Times New Roman"/>
          <w:lang w:val="en-US"/>
        </w:rPr>
      </w:pPr>
    </w:p>
    <w:p w14:paraId="38B26436" w14:textId="77777777" w:rsidR="004179A7" w:rsidRDefault="004179A7" w:rsidP="00844FBF">
      <w:pPr>
        <w:rPr>
          <w:rFonts w:ascii="Times New Roman" w:hAnsi="Times New Roman" w:cs="Times New Roman"/>
          <w:lang w:val="en-US"/>
        </w:rPr>
      </w:pPr>
    </w:p>
    <w:p w14:paraId="5E8497BF" w14:textId="77777777" w:rsidR="004179A7" w:rsidRDefault="004179A7" w:rsidP="00844FBF">
      <w:pPr>
        <w:rPr>
          <w:rFonts w:ascii="Times New Roman" w:hAnsi="Times New Roman" w:cs="Times New Roman"/>
          <w:lang w:val="en-US"/>
        </w:rPr>
      </w:pPr>
    </w:p>
    <w:p w14:paraId="78D5E10C" w14:textId="77777777" w:rsidR="004179A7" w:rsidRDefault="004179A7" w:rsidP="004179A7">
      <w:pPr>
        <w:rPr>
          <w:rFonts w:ascii="Times New Roman" w:hAnsi="Times New Roman" w:cs="Times New Roman"/>
          <w:lang w:val="en-US"/>
        </w:rPr>
      </w:pPr>
      <w:r>
        <w:rPr>
          <w:rFonts w:ascii="Times New Roman" w:hAnsi="Times New Roman" w:cs="Times New Roman"/>
          <w:lang w:val="en-US"/>
        </w:rPr>
        <w:lastRenderedPageBreak/>
        <w:t>Figure 4: Average credit rating impacts by scenario (2050)</w:t>
      </w:r>
    </w:p>
    <w:p w14:paraId="566701D0" w14:textId="463023B8" w:rsidR="005B6F71" w:rsidRPr="005B6F71" w:rsidRDefault="005B6F71" w:rsidP="005B6F71">
      <w:pPr>
        <w:rPr>
          <w:rFonts w:ascii="Times New Roman" w:hAnsi="Times New Roman" w:cs="Times New Roman"/>
          <w:noProof/>
        </w:rPr>
      </w:pPr>
      <w:r w:rsidRPr="005B6F71">
        <w:rPr>
          <w:rFonts w:ascii="Times New Roman" w:hAnsi="Times New Roman" w:cs="Times New Roman"/>
          <w:noProof/>
        </w:rPr>
        <w:drawing>
          <wp:inline distT="0" distB="0" distL="0" distR="0" wp14:anchorId="1680631D" wp14:editId="654D4F60">
            <wp:extent cx="5731510" cy="3820795"/>
            <wp:effectExtent l="0" t="0" r="2540" b="8255"/>
            <wp:docPr id="17176284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2848" name="Picture 2"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F0A1975" w14:textId="0B4962C9" w:rsidR="00A95852" w:rsidRPr="00A95852" w:rsidRDefault="00A95852" w:rsidP="00A95852">
      <w:r w:rsidRPr="00A95852">
        <w:rPr>
          <w:rFonts w:ascii="Times New Roman" w:eastAsia="Times New Roman" w:hAnsi="Times New Roman" w:cs="Times New Roman"/>
          <w:kern w:val="0"/>
          <w:lang w:eastAsia="en-GB"/>
          <w14:ligatures w14:val="none"/>
        </w:rPr>
        <w:t xml:space="preserve"> </w:t>
      </w:r>
    </w:p>
    <w:p w14:paraId="40278943" w14:textId="017F6C8F" w:rsidR="004179A7" w:rsidRPr="00133CA0" w:rsidRDefault="004179A7" w:rsidP="004179A7">
      <w:pPr>
        <w:rPr>
          <w:rFonts w:ascii="Times New Roman" w:hAnsi="Times New Roman" w:cs="Times New Roman"/>
        </w:rPr>
      </w:pPr>
    </w:p>
    <w:p w14:paraId="47C9AB94" w14:textId="77777777" w:rsidR="004179A7" w:rsidRDefault="004179A7" w:rsidP="004179A7">
      <w:pPr>
        <w:rPr>
          <w:rFonts w:ascii="Times New Roman" w:hAnsi="Times New Roman" w:cs="Times New Roman"/>
          <w:lang w:val="en-US"/>
        </w:rPr>
      </w:pPr>
      <w:r>
        <w:rPr>
          <w:rFonts w:ascii="Times New Roman" w:hAnsi="Times New Roman" w:cs="Times New Roman"/>
          <w:lang w:val="en-US"/>
        </w:rPr>
        <w:t xml:space="preserve">This figure shows the average impact of each scenario on the countries in our sample. </w:t>
      </w:r>
    </w:p>
    <w:p w14:paraId="19F1342E" w14:textId="77777777" w:rsidR="00844FBF" w:rsidRDefault="00844FBF" w:rsidP="00844FBF">
      <w:pPr>
        <w:rPr>
          <w:rFonts w:ascii="Times New Roman" w:hAnsi="Times New Roman" w:cs="Times New Roman"/>
          <w:lang w:val="en-US"/>
        </w:rPr>
      </w:pPr>
    </w:p>
    <w:p w14:paraId="3FE3DB10" w14:textId="77777777" w:rsidR="004179A7" w:rsidRDefault="004179A7" w:rsidP="00844FBF">
      <w:pPr>
        <w:rPr>
          <w:rFonts w:ascii="Times New Roman" w:hAnsi="Times New Roman" w:cs="Times New Roman"/>
          <w:lang w:val="en-US"/>
        </w:rPr>
      </w:pPr>
    </w:p>
    <w:p w14:paraId="7777F2AD" w14:textId="77777777" w:rsidR="004179A7" w:rsidRDefault="004179A7" w:rsidP="00844FBF">
      <w:pPr>
        <w:rPr>
          <w:rFonts w:ascii="Times New Roman" w:hAnsi="Times New Roman" w:cs="Times New Roman"/>
          <w:lang w:val="en-US"/>
        </w:rPr>
      </w:pPr>
    </w:p>
    <w:p w14:paraId="2937B3E3" w14:textId="77777777" w:rsidR="004179A7" w:rsidRDefault="004179A7" w:rsidP="00844FBF">
      <w:pPr>
        <w:rPr>
          <w:rFonts w:ascii="Times New Roman" w:hAnsi="Times New Roman" w:cs="Times New Roman"/>
          <w:lang w:val="en-US"/>
        </w:rPr>
      </w:pPr>
    </w:p>
    <w:p w14:paraId="75AB78E6" w14:textId="77777777" w:rsidR="004179A7" w:rsidRDefault="004179A7" w:rsidP="00844FBF">
      <w:pPr>
        <w:rPr>
          <w:rFonts w:ascii="Times New Roman" w:hAnsi="Times New Roman" w:cs="Times New Roman"/>
          <w:lang w:val="en-US"/>
        </w:rPr>
      </w:pPr>
    </w:p>
    <w:p w14:paraId="500ACD10" w14:textId="77777777" w:rsidR="00734F81" w:rsidRDefault="00734F81" w:rsidP="00844FBF">
      <w:pPr>
        <w:rPr>
          <w:rFonts w:ascii="Times New Roman" w:hAnsi="Times New Roman" w:cs="Times New Roman"/>
          <w:lang w:val="en-US"/>
        </w:rPr>
      </w:pPr>
    </w:p>
    <w:p w14:paraId="0734DAB8" w14:textId="77777777" w:rsidR="004179A7" w:rsidRDefault="004179A7" w:rsidP="00844FBF">
      <w:pPr>
        <w:rPr>
          <w:rFonts w:ascii="Times New Roman" w:hAnsi="Times New Roman" w:cs="Times New Roman"/>
          <w:lang w:val="en-US"/>
        </w:rPr>
      </w:pPr>
    </w:p>
    <w:p w14:paraId="43DAF2A1" w14:textId="77777777" w:rsidR="004179A7" w:rsidRDefault="004179A7" w:rsidP="00844FBF">
      <w:pPr>
        <w:rPr>
          <w:rFonts w:ascii="Times New Roman" w:hAnsi="Times New Roman" w:cs="Times New Roman"/>
          <w:lang w:val="en-US"/>
        </w:rPr>
      </w:pPr>
    </w:p>
    <w:p w14:paraId="6D812455" w14:textId="77777777" w:rsidR="004179A7" w:rsidRDefault="004179A7" w:rsidP="00844FBF">
      <w:pPr>
        <w:rPr>
          <w:rFonts w:ascii="Times New Roman" w:hAnsi="Times New Roman" w:cs="Times New Roman"/>
          <w:lang w:val="en-US"/>
        </w:rPr>
      </w:pPr>
    </w:p>
    <w:p w14:paraId="7209949D" w14:textId="77777777" w:rsidR="004179A7" w:rsidRPr="00844FBF" w:rsidRDefault="004179A7" w:rsidP="00844FBF">
      <w:pPr>
        <w:rPr>
          <w:rFonts w:ascii="Times New Roman" w:hAnsi="Times New Roman" w:cs="Times New Roman"/>
          <w:lang w:val="en-US"/>
        </w:rPr>
      </w:pPr>
    </w:p>
    <w:p w14:paraId="6073A5F3" w14:textId="77777777" w:rsidR="00844FBF" w:rsidRDefault="00844FBF" w:rsidP="00844FBF">
      <w:pPr>
        <w:rPr>
          <w:rFonts w:ascii="Times New Roman" w:hAnsi="Times New Roman" w:cs="Times New Roman"/>
          <w:lang w:val="en-US"/>
        </w:rPr>
      </w:pPr>
    </w:p>
    <w:p w14:paraId="535C2DBC" w14:textId="77777777" w:rsidR="00844FBF" w:rsidRDefault="00844FBF" w:rsidP="00844FBF">
      <w:pPr>
        <w:rPr>
          <w:rFonts w:ascii="Times New Roman" w:hAnsi="Times New Roman" w:cs="Times New Roman"/>
          <w:lang w:val="en-US"/>
        </w:rPr>
      </w:pPr>
    </w:p>
    <w:p w14:paraId="6138F99E" w14:textId="7F78250D" w:rsidR="00844FBF" w:rsidRDefault="00844FBF" w:rsidP="00844FBF">
      <w:pPr>
        <w:rPr>
          <w:rFonts w:ascii="Times New Roman" w:hAnsi="Times New Roman" w:cs="Times New Roman"/>
          <w:lang w:val="en-US"/>
        </w:rPr>
      </w:pPr>
      <w:r>
        <w:rPr>
          <w:rFonts w:ascii="Times New Roman" w:hAnsi="Times New Roman" w:cs="Times New Roman"/>
          <w:lang w:val="en-US"/>
        </w:rPr>
        <w:lastRenderedPageBreak/>
        <w:t>Figure 5</w:t>
      </w:r>
      <w:r w:rsidR="0006308F">
        <w:rPr>
          <w:rFonts w:ascii="Times New Roman" w:hAnsi="Times New Roman" w:cs="Times New Roman"/>
          <w:lang w:val="en-US"/>
        </w:rPr>
        <w:t xml:space="preserve">: </w:t>
      </w:r>
      <w:r w:rsidR="00551B7D">
        <w:rPr>
          <w:rFonts w:ascii="Times New Roman" w:hAnsi="Times New Roman" w:cs="Times New Roman"/>
          <w:lang w:val="en-US"/>
        </w:rPr>
        <w:t>Sovereign credit ratings by scenario (2050)</w:t>
      </w:r>
    </w:p>
    <w:p w14:paraId="1189A135" w14:textId="01064186" w:rsidR="00A246A3" w:rsidRPr="00A246A3" w:rsidRDefault="00657B21" w:rsidP="00A246A3">
      <w:pPr>
        <w:rPr>
          <w:rFonts w:eastAsia="Times New Roman"/>
          <w:kern w:val="0"/>
          <w:lang w:eastAsia="en-GB"/>
          <w14:ligatures w14:val="none"/>
        </w:rPr>
      </w:pPr>
      <w:r w:rsidRPr="00657B21">
        <w:rPr>
          <w:rFonts w:ascii="Times New Roman" w:eastAsia="Times New Roman" w:hAnsi="Times New Roman" w:cs="Times New Roman"/>
          <w:kern w:val="0"/>
          <w:lang w:eastAsia="en-GB"/>
          <w14:ligatures w14:val="none"/>
        </w:rPr>
        <w:t xml:space="preserve"> </w:t>
      </w:r>
      <w:r w:rsidR="00A246A3" w:rsidRPr="00A246A3">
        <w:rPr>
          <w:rFonts w:eastAsia="Times New Roman"/>
          <w:noProof/>
          <w:kern w:val="0"/>
          <w:lang w:eastAsia="en-GB"/>
          <w14:ligatures w14:val="none"/>
        </w:rPr>
        <w:drawing>
          <wp:inline distT="0" distB="0" distL="0" distR="0" wp14:anchorId="06A8B738" wp14:editId="7497A45E">
            <wp:extent cx="5731510" cy="4776470"/>
            <wp:effectExtent l="0" t="0" r="2540" b="5080"/>
            <wp:docPr id="416887049" name="Picture 4"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87049" name="Picture 4" descr="A graph of a number of point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1543ADD0" w14:textId="67FA3B21" w:rsidR="00657B21" w:rsidRPr="00657B21" w:rsidRDefault="00657B21" w:rsidP="00657B21"/>
    <w:p w14:paraId="1AE402D9" w14:textId="606FCF90" w:rsidR="00EF5BB2" w:rsidRPr="00EF5BB2" w:rsidRDefault="00EF5BB2" w:rsidP="00EF5BB2">
      <w:pPr>
        <w:rPr>
          <w:rFonts w:ascii="Times New Roman" w:hAnsi="Times New Roman" w:cs="Times New Roman"/>
        </w:rPr>
      </w:pPr>
    </w:p>
    <w:p w14:paraId="43561F22" w14:textId="1E39F0A7" w:rsidR="00844FBF" w:rsidRPr="00844FBF" w:rsidRDefault="00B00FDE" w:rsidP="00844FBF">
      <w:pPr>
        <w:rPr>
          <w:rFonts w:ascii="Times New Roman" w:hAnsi="Times New Roman" w:cs="Times New Roman"/>
          <w:lang w:val="en-US"/>
        </w:rPr>
      </w:pPr>
      <w:r>
        <w:rPr>
          <w:rFonts w:ascii="Times New Roman" w:hAnsi="Times New Roman" w:cs="Times New Roman"/>
          <w:lang w:val="en-US"/>
        </w:rPr>
        <w:t>This figure shows our simulated sovereign credit ratings by scenario for 2050. The grey dot and whiskers represent the</w:t>
      </w:r>
      <w:r w:rsidR="00087927">
        <w:rPr>
          <w:rFonts w:ascii="Times New Roman" w:hAnsi="Times New Roman" w:cs="Times New Roman"/>
          <w:lang w:val="en-US"/>
        </w:rPr>
        <w:t xml:space="preserve"> actual rating and our</w:t>
      </w:r>
      <w:r w:rsidR="007B61CB">
        <w:rPr>
          <w:rFonts w:ascii="Times New Roman" w:hAnsi="Times New Roman" w:cs="Times New Roman"/>
          <w:lang w:val="en-US"/>
        </w:rPr>
        <w:t xml:space="preserve"> in-sample</w:t>
      </w:r>
      <w:r w:rsidR="00087927">
        <w:rPr>
          <w:rFonts w:ascii="Times New Roman" w:hAnsi="Times New Roman" w:cs="Times New Roman"/>
          <w:lang w:val="en-US"/>
        </w:rPr>
        <w:t xml:space="preserve"> confidence interval around tha</w:t>
      </w:r>
      <w:r w:rsidR="007B61CB">
        <w:rPr>
          <w:rFonts w:ascii="Times New Roman" w:hAnsi="Times New Roman" w:cs="Times New Roman"/>
          <w:lang w:val="en-US"/>
        </w:rPr>
        <w:t xml:space="preserve">t rating. </w:t>
      </w:r>
    </w:p>
    <w:sectPr w:rsidR="00844FBF" w:rsidRPr="00844F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EB194" w14:textId="77777777" w:rsidR="008D5B3E" w:rsidRDefault="008D5B3E" w:rsidP="009A66EA">
      <w:pPr>
        <w:spacing w:after="0" w:line="240" w:lineRule="auto"/>
      </w:pPr>
      <w:r>
        <w:separator/>
      </w:r>
    </w:p>
  </w:endnote>
  <w:endnote w:type="continuationSeparator" w:id="0">
    <w:p w14:paraId="2638A9CA" w14:textId="77777777" w:rsidR="008D5B3E" w:rsidRDefault="008D5B3E" w:rsidP="009A66EA">
      <w:pPr>
        <w:spacing w:after="0" w:line="240" w:lineRule="auto"/>
      </w:pPr>
      <w:r>
        <w:continuationSeparator/>
      </w:r>
    </w:p>
  </w:endnote>
  <w:endnote w:type="continuationNotice" w:id="1">
    <w:p w14:paraId="4EA6CFDC" w14:textId="77777777" w:rsidR="008D5B3E" w:rsidRDefault="008D5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C3AF" w14:textId="77777777" w:rsidR="008D5B3E" w:rsidRDefault="008D5B3E" w:rsidP="009A66EA">
      <w:pPr>
        <w:spacing w:after="0" w:line="240" w:lineRule="auto"/>
      </w:pPr>
      <w:r>
        <w:separator/>
      </w:r>
    </w:p>
  </w:footnote>
  <w:footnote w:type="continuationSeparator" w:id="0">
    <w:p w14:paraId="0D346B86" w14:textId="77777777" w:rsidR="008D5B3E" w:rsidRDefault="008D5B3E" w:rsidP="009A66EA">
      <w:pPr>
        <w:spacing w:after="0" w:line="240" w:lineRule="auto"/>
      </w:pPr>
      <w:r>
        <w:continuationSeparator/>
      </w:r>
    </w:p>
  </w:footnote>
  <w:footnote w:type="continuationNotice" w:id="1">
    <w:p w14:paraId="382BEE37" w14:textId="77777777" w:rsidR="008D5B3E" w:rsidRDefault="008D5B3E">
      <w:pPr>
        <w:spacing w:after="0" w:line="240" w:lineRule="auto"/>
      </w:pPr>
    </w:p>
  </w:footnote>
  <w:footnote w:id="2">
    <w:p w14:paraId="2E06D894" w14:textId="5A209424" w:rsidR="0032587E" w:rsidRPr="00E131E9" w:rsidRDefault="0032587E">
      <w:pPr>
        <w:pStyle w:val="FootnoteText"/>
        <w:rPr>
          <w:rFonts w:ascii="Times New Roman" w:hAnsi="Times New Roman" w:cs="Times New Roman"/>
          <w:lang w:val="en-GB"/>
        </w:rPr>
      </w:pPr>
      <w:r w:rsidRPr="00E131E9">
        <w:rPr>
          <w:rStyle w:val="FootnoteReference"/>
          <w:rFonts w:ascii="Times New Roman" w:hAnsi="Times New Roman" w:cs="Times New Roman"/>
        </w:rPr>
        <w:footnoteRef/>
      </w:r>
      <w:r w:rsidRPr="00E131E9">
        <w:rPr>
          <w:rFonts w:ascii="Times New Roman" w:hAnsi="Times New Roman" w:cs="Times New Roman"/>
        </w:rPr>
        <w:t xml:space="preserve"> </w:t>
      </w:r>
      <w:r w:rsidRPr="00E131E9">
        <w:rPr>
          <w:rFonts w:ascii="Times New Roman" w:hAnsi="Times New Roman" w:cs="Times New Roman"/>
          <w:lang w:val="en-GB"/>
        </w:rPr>
        <w:t>Sheffield University Management School, University of Sheffield, UK</w:t>
      </w:r>
    </w:p>
  </w:footnote>
  <w:footnote w:id="3">
    <w:p w14:paraId="518A132E" w14:textId="6763984D" w:rsidR="00AA47F9" w:rsidRPr="00E131E9" w:rsidRDefault="00AA47F9">
      <w:pPr>
        <w:pStyle w:val="FootnoteText"/>
        <w:rPr>
          <w:rFonts w:ascii="Times New Roman" w:hAnsi="Times New Roman" w:cs="Times New Roman"/>
          <w:lang w:val="en-GB"/>
        </w:rPr>
      </w:pPr>
      <w:r w:rsidRPr="00E131E9">
        <w:rPr>
          <w:rStyle w:val="FootnoteReference"/>
          <w:rFonts w:ascii="Times New Roman" w:hAnsi="Times New Roman" w:cs="Times New Roman"/>
        </w:rPr>
        <w:footnoteRef/>
      </w:r>
      <w:r w:rsidRPr="00E131E9">
        <w:rPr>
          <w:rFonts w:ascii="Times New Roman" w:hAnsi="Times New Roman" w:cs="Times New Roman"/>
        </w:rPr>
        <w:t xml:space="preserve"> </w:t>
      </w:r>
      <w:r w:rsidRPr="00E131E9">
        <w:rPr>
          <w:rFonts w:ascii="Times New Roman" w:hAnsi="Times New Roman" w:cs="Times New Roman"/>
          <w:lang w:val="en-GB"/>
        </w:rPr>
        <w:t>Bennett Institute for Innovation and Policy Acceleration, University of Sussex, UK</w:t>
      </w:r>
    </w:p>
  </w:footnote>
  <w:footnote w:id="4">
    <w:p w14:paraId="33E40A05" w14:textId="196BBCB6" w:rsidR="00AA47F9" w:rsidRPr="00E131E9" w:rsidRDefault="00AA47F9">
      <w:pPr>
        <w:pStyle w:val="FootnoteText"/>
        <w:rPr>
          <w:rFonts w:ascii="Times New Roman" w:hAnsi="Times New Roman" w:cs="Times New Roman"/>
          <w:lang w:val="en-GB"/>
        </w:rPr>
      </w:pPr>
      <w:r w:rsidRPr="00E131E9">
        <w:rPr>
          <w:rStyle w:val="FootnoteReference"/>
          <w:rFonts w:ascii="Times New Roman" w:hAnsi="Times New Roman" w:cs="Times New Roman"/>
        </w:rPr>
        <w:footnoteRef/>
      </w:r>
      <w:r w:rsidRPr="00E131E9">
        <w:rPr>
          <w:rFonts w:ascii="Times New Roman" w:hAnsi="Times New Roman" w:cs="Times New Roman"/>
        </w:rPr>
        <w:t xml:space="preserve"> </w:t>
      </w:r>
      <w:r w:rsidR="00A81E68" w:rsidRPr="00E131E9">
        <w:rPr>
          <w:rFonts w:ascii="Times New Roman" w:hAnsi="Times New Roman" w:cs="Times New Roman"/>
          <w:lang w:val="en-GB"/>
        </w:rPr>
        <w:t xml:space="preserve">Edinburgh Business School, </w:t>
      </w:r>
      <w:r w:rsidR="00141C8D" w:rsidRPr="00E131E9">
        <w:rPr>
          <w:rFonts w:ascii="Times New Roman" w:hAnsi="Times New Roman" w:cs="Times New Roman"/>
          <w:lang w:val="en-GB"/>
        </w:rPr>
        <w:t>Heriot-Watt University, UK</w:t>
      </w:r>
    </w:p>
  </w:footnote>
  <w:footnote w:id="5">
    <w:p w14:paraId="2D409007" w14:textId="68BF337A" w:rsidR="00141C8D" w:rsidRPr="00E131E9" w:rsidRDefault="00141C8D">
      <w:pPr>
        <w:pStyle w:val="FootnoteText"/>
        <w:rPr>
          <w:rFonts w:ascii="Times New Roman" w:hAnsi="Times New Roman" w:cs="Times New Roman"/>
          <w:lang w:val="en-GB"/>
        </w:rPr>
      </w:pPr>
      <w:r w:rsidRPr="00E131E9">
        <w:rPr>
          <w:rStyle w:val="FootnoteReference"/>
          <w:rFonts w:ascii="Times New Roman" w:hAnsi="Times New Roman" w:cs="Times New Roman"/>
        </w:rPr>
        <w:footnoteRef/>
      </w:r>
      <w:r w:rsidRPr="00E131E9">
        <w:rPr>
          <w:rFonts w:ascii="Times New Roman" w:hAnsi="Times New Roman" w:cs="Times New Roman"/>
        </w:rPr>
        <w:t xml:space="preserve"> </w:t>
      </w:r>
      <w:r w:rsidRPr="00E131E9">
        <w:rPr>
          <w:rFonts w:ascii="Times New Roman" w:hAnsi="Times New Roman" w:cs="Times New Roman"/>
          <w:lang w:val="en-GB"/>
        </w:rPr>
        <w:t>Judge Business School, University of Cambridge, UK</w:t>
      </w:r>
      <w:r w:rsidR="002A0D73" w:rsidRPr="00E131E9">
        <w:rPr>
          <w:rFonts w:ascii="Times New Roman" w:hAnsi="Times New Roman" w:cs="Times New Roman"/>
          <w:lang w:val="en-GB"/>
        </w:rPr>
        <w:t xml:space="preserve"> &amp; King’s </w:t>
      </w:r>
      <w:r w:rsidR="004825AF" w:rsidRPr="00E131E9">
        <w:rPr>
          <w:rFonts w:ascii="Times New Roman" w:hAnsi="Times New Roman" w:cs="Times New Roman"/>
          <w:lang w:val="en-GB"/>
        </w:rPr>
        <w:t>College, University of Cambridge UK</w:t>
      </w:r>
    </w:p>
  </w:footnote>
  <w:footnote w:id="6">
    <w:p w14:paraId="45821439" w14:textId="0DF30512" w:rsidR="00E131E9" w:rsidRPr="00E131E9" w:rsidRDefault="00E131E9">
      <w:pPr>
        <w:pStyle w:val="FootnoteText"/>
        <w:rPr>
          <w:lang w:val="en-GB"/>
        </w:rPr>
      </w:pPr>
      <w:r w:rsidRPr="00E131E9">
        <w:rPr>
          <w:rStyle w:val="FootnoteReference"/>
          <w:rFonts w:ascii="Times New Roman" w:hAnsi="Times New Roman" w:cs="Times New Roman"/>
        </w:rPr>
        <w:footnoteRef/>
      </w:r>
      <w:r w:rsidRPr="00E131E9">
        <w:rPr>
          <w:rFonts w:ascii="Times New Roman" w:hAnsi="Times New Roman" w:cs="Times New Roman"/>
        </w:rPr>
        <w:t xml:space="preserve"> </w:t>
      </w:r>
      <w:r w:rsidRPr="00E131E9">
        <w:rPr>
          <w:rFonts w:ascii="Times New Roman" w:hAnsi="Times New Roman" w:cs="Times New Roman"/>
          <w:lang w:val="en-GB"/>
        </w:rPr>
        <w:t>See IMF article available through the URL: https://www.imf.org/en/Blogs/Articles/2023/11/27/world-needs-more-policy-ambition-private-funds-and-innovation-to-meet-climate-goals</w:t>
      </w:r>
    </w:p>
  </w:footnote>
  <w:footnote w:id="7">
    <w:p w14:paraId="7B346B27" w14:textId="22021F75" w:rsidR="00DF217C" w:rsidRPr="00CD5CA0" w:rsidRDefault="00DF217C">
      <w:pPr>
        <w:pStyle w:val="FootnoteText"/>
        <w:rPr>
          <w:rFonts w:ascii="Times New Roman" w:hAnsi="Times New Roman" w:cs="Times New Roman"/>
        </w:rPr>
      </w:pPr>
      <w:r w:rsidRPr="00CD5CA0">
        <w:rPr>
          <w:rStyle w:val="FootnoteReference"/>
          <w:rFonts w:ascii="Times New Roman" w:hAnsi="Times New Roman" w:cs="Times New Roman"/>
        </w:rPr>
        <w:footnoteRef/>
      </w:r>
      <w:r w:rsidRPr="00CD5CA0">
        <w:rPr>
          <w:rFonts w:ascii="Times New Roman" w:hAnsi="Times New Roman" w:cs="Times New Roman"/>
        </w:rPr>
        <w:t xml:space="preserve"> </w:t>
      </w:r>
      <w:r w:rsidRPr="00CD5CA0">
        <w:rPr>
          <w:rFonts w:ascii="Times New Roman" w:hAnsi="Times New Roman" w:cs="Times New Roman"/>
          <w:lang w:val="en-GB"/>
        </w:rPr>
        <w:t xml:space="preserve">See IMF </w:t>
      </w:r>
      <w:r w:rsidR="00C314CD" w:rsidRPr="00CD5CA0">
        <w:rPr>
          <w:rFonts w:ascii="Times New Roman" w:hAnsi="Times New Roman" w:cs="Times New Roman"/>
          <w:lang w:val="en-GB"/>
        </w:rPr>
        <w:t>article entitled “</w:t>
      </w:r>
      <w:r w:rsidR="00C314CD" w:rsidRPr="00CD5CA0">
        <w:rPr>
          <w:rFonts w:ascii="Times New Roman" w:hAnsi="Times New Roman" w:cs="Times New Roman"/>
        </w:rPr>
        <w:t>Global Public Debt Is Probably Worse Than it Looks”. Available through the URL: https://www.imf.org/en/Blogs/Articles/2024/10/15/global-public-debt-is-probably-worse-than-it-looks</w:t>
      </w:r>
    </w:p>
  </w:footnote>
  <w:footnote w:id="8">
    <w:p w14:paraId="07C3CE6B" w14:textId="4A6787EA" w:rsidR="005C161B" w:rsidRPr="004825AF" w:rsidRDefault="005C161B" w:rsidP="00BE453A">
      <w:pPr>
        <w:spacing w:before="8" w:line="249" w:lineRule="auto"/>
        <w:ind w:right="234"/>
        <w:jc w:val="both"/>
        <w:rPr>
          <w:rFonts w:ascii="Times New Roman" w:hAnsi="Times New Roman" w:cs="Times New Roman"/>
          <w:sz w:val="20"/>
          <w:szCs w:val="20"/>
        </w:rPr>
      </w:pPr>
      <w:r w:rsidRPr="004825AF">
        <w:rPr>
          <w:rStyle w:val="FootnoteReference"/>
          <w:rFonts w:ascii="Times New Roman" w:hAnsi="Times New Roman" w:cs="Times New Roman"/>
          <w:sz w:val="20"/>
          <w:szCs w:val="20"/>
        </w:rPr>
        <w:footnoteRef/>
      </w:r>
      <w:r w:rsidRPr="004825AF">
        <w:rPr>
          <w:rFonts w:ascii="Times New Roman" w:hAnsi="Times New Roman" w:cs="Times New Roman"/>
          <w:sz w:val="20"/>
          <w:szCs w:val="20"/>
        </w:rPr>
        <w:t>See the following link for further discussion:</w:t>
      </w:r>
      <w:r w:rsidRPr="004825AF">
        <w:rPr>
          <w:rFonts w:ascii="Times New Roman" w:hAnsi="Times New Roman" w:cs="Times New Roman"/>
          <w:spacing w:val="40"/>
          <w:sz w:val="20"/>
          <w:szCs w:val="20"/>
        </w:rPr>
        <w:t xml:space="preserve"> </w:t>
      </w:r>
      <w:r w:rsidRPr="004825AF">
        <w:rPr>
          <w:rFonts w:ascii="Times New Roman" w:hAnsi="Times New Roman" w:cs="Times New Roman"/>
          <w:sz w:val="20"/>
          <w:szCs w:val="20"/>
        </w:rPr>
        <w:t>h</w:t>
      </w:r>
      <w:hyperlink r:id="rId1">
        <w:r w:rsidRPr="004825AF">
          <w:rPr>
            <w:rFonts w:ascii="Times New Roman" w:hAnsi="Times New Roman" w:cs="Times New Roman"/>
            <w:sz w:val="20"/>
            <w:szCs w:val="20"/>
          </w:rPr>
          <w:t>ttps://www.bankofengland.co.uk/quarterly-</w:t>
        </w:r>
      </w:hyperlink>
      <w:r w:rsidRPr="004825AF">
        <w:rPr>
          <w:rFonts w:ascii="Times New Roman" w:hAnsi="Times New Roman" w:cs="Times New Roman"/>
          <w:sz w:val="20"/>
          <w:szCs w:val="20"/>
        </w:rPr>
        <w:t xml:space="preserve"> </w:t>
      </w:r>
      <w:r w:rsidRPr="004825AF">
        <w:rPr>
          <w:rFonts w:ascii="Times New Roman" w:hAnsi="Times New Roman" w:cs="Times New Roman"/>
          <w:spacing w:val="-2"/>
          <w:w w:val="90"/>
          <w:sz w:val="20"/>
          <w:szCs w:val="20"/>
        </w:rPr>
        <w:t>bulletin/2024/2024/measuring-climate-related-financial-risks-using-scenario-analysis</w:t>
      </w:r>
    </w:p>
  </w:footnote>
  <w:footnote w:id="9">
    <w:p w14:paraId="655BA0EE" w14:textId="25549D6E" w:rsidR="00CE408F" w:rsidRPr="004825AF" w:rsidRDefault="00270D3E" w:rsidP="00BE453A">
      <w:pPr>
        <w:spacing w:before="35"/>
        <w:rPr>
          <w:rFonts w:ascii="Times New Roman" w:hAnsi="Times New Roman" w:cs="Times New Roman"/>
          <w:sz w:val="20"/>
          <w:szCs w:val="20"/>
        </w:rPr>
      </w:pPr>
      <w:r w:rsidRPr="004825AF">
        <w:rPr>
          <w:rStyle w:val="FootnoteReference"/>
          <w:rFonts w:ascii="Times New Roman" w:hAnsi="Times New Roman" w:cs="Times New Roman"/>
          <w:sz w:val="20"/>
          <w:szCs w:val="20"/>
        </w:rPr>
        <w:footnoteRef/>
      </w:r>
      <w:bookmarkStart w:id="0" w:name="_bookmark3"/>
      <w:bookmarkEnd w:id="0"/>
      <w:r w:rsidR="00CE408F" w:rsidRPr="004825AF">
        <w:rPr>
          <w:rFonts w:ascii="Times New Roman" w:hAnsi="Times New Roman" w:cs="Times New Roman"/>
          <w:w w:val="90"/>
          <w:sz w:val="20"/>
          <w:szCs w:val="20"/>
        </w:rPr>
        <w:t>We</w:t>
      </w:r>
      <w:r w:rsidR="00CE408F" w:rsidRPr="004825AF">
        <w:rPr>
          <w:rFonts w:ascii="Times New Roman" w:hAnsi="Times New Roman" w:cs="Times New Roman"/>
          <w:spacing w:val="2"/>
          <w:sz w:val="20"/>
          <w:szCs w:val="20"/>
        </w:rPr>
        <w:t xml:space="preserve"> </w:t>
      </w:r>
      <w:r w:rsidR="00CE408F" w:rsidRPr="004825AF">
        <w:rPr>
          <w:rFonts w:ascii="Times New Roman" w:hAnsi="Times New Roman" w:cs="Times New Roman"/>
          <w:w w:val="90"/>
          <w:sz w:val="20"/>
          <w:szCs w:val="20"/>
        </w:rPr>
        <w:t>use</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a</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20-notch</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ratings</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scale,</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where</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20</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corresponds</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to</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AAA.</w:t>
      </w:r>
      <w:r w:rsidR="00CE408F" w:rsidRPr="004825AF">
        <w:rPr>
          <w:rFonts w:ascii="Times New Roman" w:hAnsi="Times New Roman" w:cs="Times New Roman"/>
          <w:spacing w:val="4"/>
          <w:sz w:val="20"/>
          <w:szCs w:val="20"/>
        </w:rPr>
        <w:t xml:space="preserve"> </w:t>
      </w:r>
      <w:r w:rsidR="00CE408F" w:rsidRPr="004825AF">
        <w:rPr>
          <w:rFonts w:ascii="Times New Roman" w:hAnsi="Times New Roman" w:cs="Times New Roman"/>
          <w:w w:val="90"/>
          <w:sz w:val="20"/>
          <w:szCs w:val="20"/>
        </w:rPr>
        <w:t>See</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appendix</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for</w:t>
      </w:r>
      <w:r w:rsidR="00CE408F" w:rsidRPr="004825AF">
        <w:rPr>
          <w:rFonts w:ascii="Times New Roman" w:hAnsi="Times New Roman" w:cs="Times New Roman"/>
          <w:spacing w:val="3"/>
          <w:sz w:val="20"/>
          <w:szCs w:val="20"/>
        </w:rPr>
        <w:t xml:space="preserve"> </w:t>
      </w:r>
      <w:r w:rsidR="00CE408F" w:rsidRPr="004825AF">
        <w:rPr>
          <w:rFonts w:ascii="Times New Roman" w:hAnsi="Times New Roman" w:cs="Times New Roman"/>
          <w:w w:val="90"/>
          <w:sz w:val="20"/>
          <w:szCs w:val="20"/>
        </w:rPr>
        <w:t>Table</w:t>
      </w:r>
      <w:r w:rsidR="00CE408F" w:rsidRPr="004825AF">
        <w:rPr>
          <w:rFonts w:ascii="Times New Roman" w:hAnsi="Times New Roman" w:cs="Times New Roman"/>
          <w:spacing w:val="3"/>
          <w:sz w:val="20"/>
          <w:szCs w:val="20"/>
        </w:rPr>
        <w:t xml:space="preserve"> </w:t>
      </w:r>
      <w:r w:rsidR="004179A7">
        <w:rPr>
          <w:rFonts w:ascii="Times New Roman" w:hAnsi="Times New Roman" w:cs="Times New Roman"/>
          <w:sz w:val="20"/>
          <w:szCs w:val="20"/>
        </w:rPr>
        <w:t>5</w:t>
      </w:r>
    </w:p>
    <w:p w14:paraId="71038824" w14:textId="0739A727" w:rsidR="00270D3E" w:rsidRPr="00270D3E" w:rsidRDefault="00270D3E">
      <w:pPr>
        <w:pStyle w:val="FootnoteText"/>
        <w:rPr>
          <w:lang w:val="en-GB"/>
        </w:rPr>
      </w:pPr>
    </w:p>
  </w:footnote>
  <w:footnote w:id="10">
    <w:p w14:paraId="454A9E52" w14:textId="3D677A2C" w:rsidR="008101F2" w:rsidRPr="004825AF" w:rsidRDefault="008101F2">
      <w:pPr>
        <w:pStyle w:val="FootnoteText"/>
        <w:rPr>
          <w:rFonts w:ascii="Times New Roman" w:hAnsi="Times New Roman" w:cs="Times New Roman"/>
          <w:lang w:val="en-GB"/>
        </w:rPr>
      </w:pPr>
      <w:r w:rsidRPr="004825AF">
        <w:rPr>
          <w:rStyle w:val="FootnoteReference"/>
          <w:rFonts w:ascii="Times New Roman" w:hAnsi="Times New Roman" w:cs="Times New Roman"/>
        </w:rPr>
        <w:footnoteRef/>
      </w:r>
      <w:r w:rsidRPr="004825AF">
        <w:rPr>
          <w:rFonts w:ascii="Times New Roman" w:hAnsi="Times New Roman" w:cs="Times New Roman"/>
        </w:rPr>
        <w:t xml:space="preserve"> </w:t>
      </w:r>
      <w:r w:rsidRPr="004825AF">
        <w:rPr>
          <w:rFonts w:ascii="Times New Roman" w:hAnsi="Times New Roman" w:cs="Times New Roman"/>
          <w:lang w:val="en-GB"/>
        </w:rPr>
        <w:t xml:space="preserve">See </w:t>
      </w:r>
      <w:r w:rsidR="00594F30" w:rsidRPr="00594F30">
        <w:rPr>
          <w:rFonts w:ascii="Times New Roman" w:hAnsi="Times New Roman" w:cs="Times New Roman"/>
          <w:lang w:val="en-GB"/>
        </w:rPr>
        <w:t>https://data.ece.iiasa.ac.at/ngfs/#/downloads</w:t>
      </w:r>
      <w:r w:rsidR="00594F30" w:rsidRPr="00594F30" w:rsidDel="00594F30">
        <w:rPr>
          <w:rFonts w:ascii="Times New Roman" w:hAnsi="Times New Roman" w:cs="Times New Roman"/>
          <w:lang w:val="en-GB"/>
        </w:rPr>
        <w:t xml:space="preserve"> </w:t>
      </w:r>
      <w:r w:rsidR="00EF2F8A" w:rsidRPr="004825AF">
        <w:rPr>
          <w:rFonts w:ascii="Times New Roman" w:hAnsi="Times New Roman" w:cs="Times New Roman"/>
          <w:lang w:val="en-GB"/>
        </w:rPr>
        <w:t>s</w:t>
      </w:r>
    </w:p>
  </w:footnote>
  <w:footnote w:id="11">
    <w:p w14:paraId="785E2A7F" w14:textId="253314E9" w:rsidR="00EE2D3B" w:rsidRPr="004825AF" w:rsidRDefault="00805C7A" w:rsidP="00EE2D3B">
      <w:pPr>
        <w:pStyle w:val="FootnoteText"/>
        <w:rPr>
          <w:rFonts w:ascii="Times New Roman" w:hAnsi="Times New Roman" w:cs="Times New Roman"/>
        </w:rPr>
      </w:pPr>
      <w:r w:rsidRPr="004825AF">
        <w:rPr>
          <w:rStyle w:val="FootnoteReference"/>
          <w:rFonts w:ascii="Times New Roman" w:hAnsi="Times New Roman" w:cs="Times New Roman"/>
        </w:rPr>
        <w:footnoteRef/>
      </w:r>
      <w:r w:rsidRPr="004825AF">
        <w:rPr>
          <w:rFonts w:ascii="Times New Roman" w:hAnsi="Times New Roman" w:cs="Times New Roman"/>
        </w:rPr>
        <w:t xml:space="preserve"> </w:t>
      </w:r>
      <w:r w:rsidR="00EE2D3B" w:rsidRPr="004825AF">
        <w:rPr>
          <w:rFonts w:ascii="Times New Roman" w:hAnsi="Times New Roman" w:cs="Times New Roman"/>
        </w:rPr>
        <w:t>The NGFS provide several justifications for their decision to employ multiple IAMs. These include a greater ability to capture model uncertainty, exploit model-specific properties (e.g. REMIND-MAgPIE offers more detail for industry, compared to GCAM which offers it for buildings). Our procedure therefore retains the NGFS’s intent. For further detail, please see h</w:t>
      </w:r>
      <w:hyperlink r:id="rId2">
        <w:r w:rsidR="00EE2D3B" w:rsidRPr="004825AF">
          <w:rPr>
            <w:rStyle w:val="Hyperlink"/>
            <w:rFonts w:ascii="Times New Roman" w:hAnsi="Times New Roman" w:cs="Times New Roman"/>
          </w:rPr>
          <w:t>ttps://www.ngfs.net/ngfs-scenarios-portal/faq/</w:t>
        </w:r>
      </w:hyperlink>
    </w:p>
    <w:p w14:paraId="7166B49D" w14:textId="4F913416" w:rsidR="00805C7A" w:rsidRPr="004825AF" w:rsidRDefault="00805C7A">
      <w:pPr>
        <w:pStyle w:val="FootnoteText"/>
        <w:rPr>
          <w:rFonts w:ascii="Times New Roman" w:hAnsi="Times New Roman" w:cs="Times New Roman"/>
          <w:lang w:val="en-GB"/>
        </w:rPr>
      </w:pPr>
    </w:p>
  </w:footnote>
  <w:footnote w:id="12">
    <w:p w14:paraId="24CC9282" w14:textId="2AEB78D8" w:rsidR="00182196" w:rsidRPr="004825AF" w:rsidRDefault="00B27ACA" w:rsidP="003C5E29">
      <w:pPr>
        <w:tabs>
          <w:tab w:val="left" w:pos="1051"/>
        </w:tabs>
        <w:spacing w:before="35" w:line="249" w:lineRule="auto"/>
        <w:ind w:right="232"/>
        <w:rPr>
          <w:rFonts w:ascii="Times New Roman" w:hAnsi="Times New Roman" w:cs="Times New Roman"/>
          <w:sz w:val="20"/>
          <w:szCs w:val="20"/>
        </w:rPr>
      </w:pPr>
      <w:r w:rsidRPr="004825AF">
        <w:rPr>
          <w:rStyle w:val="FootnoteReference"/>
          <w:rFonts w:ascii="Times New Roman" w:hAnsi="Times New Roman" w:cs="Times New Roman"/>
          <w:sz w:val="20"/>
          <w:szCs w:val="20"/>
        </w:rPr>
        <w:footnoteRef/>
      </w:r>
      <w:r w:rsidRPr="004825AF">
        <w:rPr>
          <w:rFonts w:ascii="Times New Roman" w:hAnsi="Times New Roman" w:cs="Times New Roman"/>
          <w:sz w:val="20"/>
          <w:szCs w:val="20"/>
        </w:rPr>
        <w:t xml:space="preserve"> </w:t>
      </w:r>
      <w:r w:rsidR="00182196" w:rsidRPr="004825AF">
        <w:rPr>
          <w:rFonts w:ascii="Times New Roman" w:hAnsi="Times New Roman" w:cs="Times New Roman"/>
          <w:spacing w:val="-4"/>
          <w:sz w:val="20"/>
          <w:szCs w:val="20"/>
        </w:rPr>
        <w:t>See</w:t>
      </w:r>
      <w:r w:rsidR="001420FB" w:rsidRPr="004825AF">
        <w:rPr>
          <w:rFonts w:ascii="Times New Roman" w:hAnsi="Times New Roman" w:cs="Times New Roman"/>
          <w:sz w:val="20"/>
          <w:szCs w:val="20"/>
        </w:rPr>
        <w:t xml:space="preserve"> </w:t>
      </w:r>
      <w:r w:rsidR="00182196" w:rsidRPr="004825AF">
        <w:rPr>
          <w:rFonts w:ascii="Times New Roman" w:hAnsi="Times New Roman" w:cs="Times New Roman"/>
          <w:spacing w:val="-2"/>
          <w:w w:val="85"/>
          <w:sz w:val="20"/>
          <w:szCs w:val="20"/>
        </w:rPr>
        <w:t>h</w:t>
      </w:r>
      <w:hyperlink r:id="rId3">
        <w:r w:rsidR="00182196" w:rsidRPr="004825AF">
          <w:rPr>
            <w:rFonts w:ascii="Times New Roman" w:hAnsi="Times New Roman" w:cs="Times New Roman"/>
            <w:spacing w:val="-2"/>
            <w:w w:val="85"/>
            <w:sz w:val="20"/>
            <w:szCs w:val="20"/>
          </w:rPr>
          <w:t>ttps://www.bankofengland.co.uk/quarterly-bulletin/2024/2024/measuring-climate-related-financial-</w:t>
        </w:r>
      </w:hyperlink>
      <w:r w:rsidR="00182196" w:rsidRPr="004825AF">
        <w:rPr>
          <w:rFonts w:ascii="Times New Roman" w:hAnsi="Times New Roman" w:cs="Times New Roman"/>
          <w:spacing w:val="-2"/>
          <w:w w:val="90"/>
          <w:sz w:val="20"/>
          <w:szCs w:val="20"/>
        </w:rPr>
        <w:t>risks-using-scenario-analysis</w:t>
      </w:r>
    </w:p>
    <w:p w14:paraId="71E34F35" w14:textId="571D4C8F" w:rsidR="00B27ACA" w:rsidRPr="00B27ACA" w:rsidRDefault="00B27ACA">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90630"/>
    <w:multiLevelType w:val="multilevel"/>
    <w:tmpl w:val="1D6285A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9619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EA"/>
    <w:rsid w:val="00001B93"/>
    <w:rsid w:val="00003486"/>
    <w:rsid w:val="00010316"/>
    <w:rsid w:val="0001119F"/>
    <w:rsid w:val="000230DF"/>
    <w:rsid w:val="000476AA"/>
    <w:rsid w:val="00053602"/>
    <w:rsid w:val="00061B22"/>
    <w:rsid w:val="0006308F"/>
    <w:rsid w:val="000638B4"/>
    <w:rsid w:val="00070885"/>
    <w:rsid w:val="000720E6"/>
    <w:rsid w:val="000869DE"/>
    <w:rsid w:val="00087927"/>
    <w:rsid w:val="00091A6E"/>
    <w:rsid w:val="000B3093"/>
    <w:rsid w:val="000C0D4D"/>
    <w:rsid w:val="000D3507"/>
    <w:rsid w:val="000D4CD0"/>
    <w:rsid w:val="000F04C6"/>
    <w:rsid w:val="000F19FF"/>
    <w:rsid w:val="000F2F02"/>
    <w:rsid w:val="000F3655"/>
    <w:rsid w:val="000F3BF4"/>
    <w:rsid w:val="000F64AA"/>
    <w:rsid w:val="00100065"/>
    <w:rsid w:val="00102569"/>
    <w:rsid w:val="0010507A"/>
    <w:rsid w:val="00117A62"/>
    <w:rsid w:val="00123909"/>
    <w:rsid w:val="00125856"/>
    <w:rsid w:val="00133CA0"/>
    <w:rsid w:val="001361DD"/>
    <w:rsid w:val="0013776D"/>
    <w:rsid w:val="001407AC"/>
    <w:rsid w:val="00141C8D"/>
    <w:rsid w:val="001420FB"/>
    <w:rsid w:val="00146146"/>
    <w:rsid w:val="00161E02"/>
    <w:rsid w:val="0017310B"/>
    <w:rsid w:val="00180E9B"/>
    <w:rsid w:val="00181CB3"/>
    <w:rsid w:val="00182196"/>
    <w:rsid w:val="00183CFC"/>
    <w:rsid w:val="001849F0"/>
    <w:rsid w:val="001B1B42"/>
    <w:rsid w:val="001B5423"/>
    <w:rsid w:val="001B5583"/>
    <w:rsid w:val="001B56B8"/>
    <w:rsid w:val="001D77CB"/>
    <w:rsid w:val="001F1BDF"/>
    <w:rsid w:val="002033B5"/>
    <w:rsid w:val="0021141A"/>
    <w:rsid w:val="0021603A"/>
    <w:rsid w:val="00217C7F"/>
    <w:rsid w:val="0022229A"/>
    <w:rsid w:val="00237C4E"/>
    <w:rsid w:val="00240CB5"/>
    <w:rsid w:val="00240D1E"/>
    <w:rsid w:val="0024129D"/>
    <w:rsid w:val="00241C6F"/>
    <w:rsid w:val="0024455C"/>
    <w:rsid w:val="002502AE"/>
    <w:rsid w:val="00250325"/>
    <w:rsid w:val="00250AF1"/>
    <w:rsid w:val="00251626"/>
    <w:rsid w:val="00253EC6"/>
    <w:rsid w:val="00270D3E"/>
    <w:rsid w:val="0027247F"/>
    <w:rsid w:val="00275BFA"/>
    <w:rsid w:val="0028068A"/>
    <w:rsid w:val="0028480C"/>
    <w:rsid w:val="00285D89"/>
    <w:rsid w:val="00291114"/>
    <w:rsid w:val="00292343"/>
    <w:rsid w:val="002A0D73"/>
    <w:rsid w:val="002A491B"/>
    <w:rsid w:val="002A4B92"/>
    <w:rsid w:val="002B571E"/>
    <w:rsid w:val="002D08CD"/>
    <w:rsid w:val="002D17C7"/>
    <w:rsid w:val="002E0CA1"/>
    <w:rsid w:val="002E59D2"/>
    <w:rsid w:val="002F41DB"/>
    <w:rsid w:val="00312808"/>
    <w:rsid w:val="003136C1"/>
    <w:rsid w:val="00316E96"/>
    <w:rsid w:val="0032587E"/>
    <w:rsid w:val="00326588"/>
    <w:rsid w:val="00336013"/>
    <w:rsid w:val="00357B08"/>
    <w:rsid w:val="00371437"/>
    <w:rsid w:val="0037304C"/>
    <w:rsid w:val="003739A2"/>
    <w:rsid w:val="00377411"/>
    <w:rsid w:val="0038409F"/>
    <w:rsid w:val="003A5F2E"/>
    <w:rsid w:val="003B1666"/>
    <w:rsid w:val="003C1CCC"/>
    <w:rsid w:val="003C1E9A"/>
    <w:rsid w:val="003C3BCA"/>
    <w:rsid w:val="003C5E29"/>
    <w:rsid w:val="003C7DDD"/>
    <w:rsid w:val="003D07E0"/>
    <w:rsid w:val="003F2549"/>
    <w:rsid w:val="003F2C7C"/>
    <w:rsid w:val="00402035"/>
    <w:rsid w:val="00416D95"/>
    <w:rsid w:val="004179A7"/>
    <w:rsid w:val="00417D10"/>
    <w:rsid w:val="00422447"/>
    <w:rsid w:val="00424EA3"/>
    <w:rsid w:val="0042795B"/>
    <w:rsid w:val="00427B38"/>
    <w:rsid w:val="00457E34"/>
    <w:rsid w:val="0046443E"/>
    <w:rsid w:val="004654D1"/>
    <w:rsid w:val="00467449"/>
    <w:rsid w:val="00477D7F"/>
    <w:rsid w:val="00480E23"/>
    <w:rsid w:val="004825AF"/>
    <w:rsid w:val="004968AD"/>
    <w:rsid w:val="00497EDA"/>
    <w:rsid w:val="004A2A11"/>
    <w:rsid w:val="004A6D8E"/>
    <w:rsid w:val="004C3D1E"/>
    <w:rsid w:val="004D032F"/>
    <w:rsid w:val="004E3F9D"/>
    <w:rsid w:val="004E42FD"/>
    <w:rsid w:val="00501416"/>
    <w:rsid w:val="005201BE"/>
    <w:rsid w:val="00522A9C"/>
    <w:rsid w:val="00523F56"/>
    <w:rsid w:val="00533812"/>
    <w:rsid w:val="00533FCA"/>
    <w:rsid w:val="00551B7D"/>
    <w:rsid w:val="005559EB"/>
    <w:rsid w:val="00555D3E"/>
    <w:rsid w:val="00560BA3"/>
    <w:rsid w:val="00561392"/>
    <w:rsid w:val="00566C7A"/>
    <w:rsid w:val="00572460"/>
    <w:rsid w:val="00580846"/>
    <w:rsid w:val="005850F7"/>
    <w:rsid w:val="005868E0"/>
    <w:rsid w:val="005934A6"/>
    <w:rsid w:val="00594F30"/>
    <w:rsid w:val="005A72A3"/>
    <w:rsid w:val="005B36ED"/>
    <w:rsid w:val="005B6F71"/>
    <w:rsid w:val="005C161B"/>
    <w:rsid w:val="005C1C77"/>
    <w:rsid w:val="005C2A86"/>
    <w:rsid w:val="005C5818"/>
    <w:rsid w:val="005D3985"/>
    <w:rsid w:val="005E6066"/>
    <w:rsid w:val="00603233"/>
    <w:rsid w:val="00613641"/>
    <w:rsid w:val="006172E0"/>
    <w:rsid w:val="00622934"/>
    <w:rsid w:val="006231D3"/>
    <w:rsid w:val="00653D58"/>
    <w:rsid w:val="00657B21"/>
    <w:rsid w:val="00666738"/>
    <w:rsid w:val="0066796F"/>
    <w:rsid w:val="006717DC"/>
    <w:rsid w:val="00680E94"/>
    <w:rsid w:val="00681119"/>
    <w:rsid w:val="006824EA"/>
    <w:rsid w:val="00686701"/>
    <w:rsid w:val="006905FD"/>
    <w:rsid w:val="006A7AB4"/>
    <w:rsid w:val="006B5967"/>
    <w:rsid w:val="006D7948"/>
    <w:rsid w:val="006E5930"/>
    <w:rsid w:val="006F170E"/>
    <w:rsid w:val="006F363C"/>
    <w:rsid w:val="006F72C7"/>
    <w:rsid w:val="006F7FF8"/>
    <w:rsid w:val="0072223E"/>
    <w:rsid w:val="00726613"/>
    <w:rsid w:val="00732047"/>
    <w:rsid w:val="00734F81"/>
    <w:rsid w:val="00736DED"/>
    <w:rsid w:val="00744F46"/>
    <w:rsid w:val="00747351"/>
    <w:rsid w:val="00751D7B"/>
    <w:rsid w:val="0076322D"/>
    <w:rsid w:val="00765B8F"/>
    <w:rsid w:val="007762DF"/>
    <w:rsid w:val="007764BA"/>
    <w:rsid w:val="00777C45"/>
    <w:rsid w:val="00780B74"/>
    <w:rsid w:val="007831D3"/>
    <w:rsid w:val="007919B3"/>
    <w:rsid w:val="007B61CB"/>
    <w:rsid w:val="007C0E63"/>
    <w:rsid w:val="007C25E0"/>
    <w:rsid w:val="007C7B53"/>
    <w:rsid w:val="007D2ACA"/>
    <w:rsid w:val="007D3A46"/>
    <w:rsid w:val="007D64B5"/>
    <w:rsid w:val="007E0220"/>
    <w:rsid w:val="007E3C19"/>
    <w:rsid w:val="007F4BD8"/>
    <w:rsid w:val="007F65A1"/>
    <w:rsid w:val="00801A18"/>
    <w:rsid w:val="00805C7A"/>
    <w:rsid w:val="008101F2"/>
    <w:rsid w:val="0082722B"/>
    <w:rsid w:val="00830783"/>
    <w:rsid w:val="00834C8A"/>
    <w:rsid w:val="00844FAE"/>
    <w:rsid w:val="00844FBF"/>
    <w:rsid w:val="00851921"/>
    <w:rsid w:val="00876903"/>
    <w:rsid w:val="00882AE8"/>
    <w:rsid w:val="00883568"/>
    <w:rsid w:val="0088447F"/>
    <w:rsid w:val="00891BE3"/>
    <w:rsid w:val="008B0C86"/>
    <w:rsid w:val="008B2D0D"/>
    <w:rsid w:val="008B7A11"/>
    <w:rsid w:val="008C1881"/>
    <w:rsid w:val="008D5B3E"/>
    <w:rsid w:val="008E5071"/>
    <w:rsid w:val="008E52B5"/>
    <w:rsid w:val="009023A2"/>
    <w:rsid w:val="009066B2"/>
    <w:rsid w:val="00920D9D"/>
    <w:rsid w:val="00945A2D"/>
    <w:rsid w:val="00946A95"/>
    <w:rsid w:val="00950278"/>
    <w:rsid w:val="00961BAC"/>
    <w:rsid w:val="00975F8A"/>
    <w:rsid w:val="00981558"/>
    <w:rsid w:val="00981A8A"/>
    <w:rsid w:val="0099656E"/>
    <w:rsid w:val="009A66EA"/>
    <w:rsid w:val="009B16B1"/>
    <w:rsid w:val="009B4E19"/>
    <w:rsid w:val="009C5FF3"/>
    <w:rsid w:val="009C7459"/>
    <w:rsid w:val="009F306B"/>
    <w:rsid w:val="00A06E66"/>
    <w:rsid w:val="00A138C2"/>
    <w:rsid w:val="00A246A3"/>
    <w:rsid w:val="00A3499C"/>
    <w:rsid w:val="00A377F0"/>
    <w:rsid w:val="00A42012"/>
    <w:rsid w:val="00A441BA"/>
    <w:rsid w:val="00A4614D"/>
    <w:rsid w:val="00A46E13"/>
    <w:rsid w:val="00A53AE6"/>
    <w:rsid w:val="00A53E70"/>
    <w:rsid w:val="00A63A7C"/>
    <w:rsid w:val="00A81E68"/>
    <w:rsid w:val="00A95852"/>
    <w:rsid w:val="00A960D6"/>
    <w:rsid w:val="00A96EF1"/>
    <w:rsid w:val="00A977FC"/>
    <w:rsid w:val="00AA3D04"/>
    <w:rsid w:val="00AA3EA1"/>
    <w:rsid w:val="00AA40DF"/>
    <w:rsid w:val="00AA47F9"/>
    <w:rsid w:val="00AB36AB"/>
    <w:rsid w:val="00AC0A88"/>
    <w:rsid w:val="00AD05BB"/>
    <w:rsid w:val="00AD5CB8"/>
    <w:rsid w:val="00AE27C5"/>
    <w:rsid w:val="00B00FDE"/>
    <w:rsid w:val="00B0112B"/>
    <w:rsid w:val="00B04F61"/>
    <w:rsid w:val="00B05A59"/>
    <w:rsid w:val="00B12688"/>
    <w:rsid w:val="00B138E7"/>
    <w:rsid w:val="00B17B14"/>
    <w:rsid w:val="00B27ACA"/>
    <w:rsid w:val="00B346F6"/>
    <w:rsid w:val="00B40A60"/>
    <w:rsid w:val="00B47031"/>
    <w:rsid w:val="00B6297F"/>
    <w:rsid w:val="00B735E9"/>
    <w:rsid w:val="00B96D8C"/>
    <w:rsid w:val="00BA461E"/>
    <w:rsid w:val="00BA5F05"/>
    <w:rsid w:val="00BA6211"/>
    <w:rsid w:val="00BB34B3"/>
    <w:rsid w:val="00BB4AC6"/>
    <w:rsid w:val="00BB66F4"/>
    <w:rsid w:val="00BB6E46"/>
    <w:rsid w:val="00BC110E"/>
    <w:rsid w:val="00BC43D5"/>
    <w:rsid w:val="00BC6E2B"/>
    <w:rsid w:val="00BE150D"/>
    <w:rsid w:val="00BE453A"/>
    <w:rsid w:val="00C14193"/>
    <w:rsid w:val="00C314CD"/>
    <w:rsid w:val="00C35085"/>
    <w:rsid w:val="00C40499"/>
    <w:rsid w:val="00C41176"/>
    <w:rsid w:val="00C42054"/>
    <w:rsid w:val="00C4452F"/>
    <w:rsid w:val="00C45BB2"/>
    <w:rsid w:val="00C5063B"/>
    <w:rsid w:val="00C5223B"/>
    <w:rsid w:val="00C6527C"/>
    <w:rsid w:val="00C65D8B"/>
    <w:rsid w:val="00C7171B"/>
    <w:rsid w:val="00C8016C"/>
    <w:rsid w:val="00CA2549"/>
    <w:rsid w:val="00CC5336"/>
    <w:rsid w:val="00CD57DA"/>
    <w:rsid w:val="00CD5CA0"/>
    <w:rsid w:val="00CE408F"/>
    <w:rsid w:val="00CE5916"/>
    <w:rsid w:val="00CF6EB8"/>
    <w:rsid w:val="00D0219E"/>
    <w:rsid w:val="00D14452"/>
    <w:rsid w:val="00D40D00"/>
    <w:rsid w:val="00D43886"/>
    <w:rsid w:val="00D459E9"/>
    <w:rsid w:val="00D627CA"/>
    <w:rsid w:val="00D67136"/>
    <w:rsid w:val="00D725C3"/>
    <w:rsid w:val="00D75CC6"/>
    <w:rsid w:val="00D812F0"/>
    <w:rsid w:val="00D81F21"/>
    <w:rsid w:val="00D935E2"/>
    <w:rsid w:val="00D93C0C"/>
    <w:rsid w:val="00DA264B"/>
    <w:rsid w:val="00DB7926"/>
    <w:rsid w:val="00DC2DA0"/>
    <w:rsid w:val="00DD10E1"/>
    <w:rsid w:val="00DD7FE9"/>
    <w:rsid w:val="00DE2F91"/>
    <w:rsid w:val="00DE44CF"/>
    <w:rsid w:val="00DE5E29"/>
    <w:rsid w:val="00DE77DE"/>
    <w:rsid w:val="00DF217C"/>
    <w:rsid w:val="00DF2A4C"/>
    <w:rsid w:val="00DF4308"/>
    <w:rsid w:val="00E03BD3"/>
    <w:rsid w:val="00E04B7C"/>
    <w:rsid w:val="00E05527"/>
    <w:rsid w:val="00E131E9"/>
    <w:rsid w:val="00E2319B"/>
    <w:rsid w:val="00E529A7"/>
    <w:rsid w:val="00E533E9"/>
    <w:rsid w:val="00E615E7"/>
    <w:rsid w:val="00E75EB8"/>
    <w:rsid w:val="00E76968"/>
    <w:rsid w:val="00E92F48"/>
    <w:rsid w:val="00E932AB"/>
    <w:rsid w:val="00EA002F"/>
    <w:rsid w:val="00EA307B"/>
    <w:rsid w:val="00EA4511"/>
    <w:rsid w:val="00EA585B"/>
    <w:rsid w:val="00EB1460"/>
    <w:rsid w:val="00EC6FF1"/>
    <w:rsid w:val="00EC71BE"/>
    <w:rsid w:val="00ED0A4A"/>
    <w:rsid w:val="00ED1149"/>
    <w:rsid w:val="00ED13F7"/>
    <w:rsid w:val="00EE0252"/>
    <w:rsid w:val="00EE2D3B"/>
    <w:rsid w:val="00EE3DD3"/>
    <w:rsid w:val="00EE50BF"/>
    <w:rsid w:val="00EF2F8A"/>
    <w:rsid w:val="00EF4606"/>
    <w:rsid w:val="00EF5BB2"/>
    <w:rsid w:val="00EF6327"/>
    <w:rsid w:val="00F008AD"/>
    <w:rsid w:val="00F01DD1"/>
    <w:rsid w:val="00F23BE5"/>
    <w:rsid w:val="00F273A8"/>
    <w:rsid w:val="00F43795"/>
    <w:rsid w:val="00F62964"/>
    <w:rsid w:val="00F67C8F"/>
    <w:rsid w:val="00FA2609"/>
    <w:rsid w:val="00FB475D"/>
    <w:rsid w:val="00FB5016"/>
    <w:rsid w:val="00FB616F"/>
    <w:rsid w:val="00FB7632"/>
    <w:rsid w:val="00FC45C8"/>
    <w:rsid w:val="00FD0754"/>
    <w:rsid w:val="00FD1660"/>
    <w:rsid w:val="00FD5D74"/>
    <w:rsid w:val="00FE2172"/>
    <w:rsid w:val="00FE61A5"/>
    <w:rsid w:val="00FF14EA"/>
    <w:rsid w:val="00FF2170"/>
    <w:rsid w:val="4CD721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5449"/>
  <w15:chartTrackingRefBased/>
  <w15:docId w15:val="{04549190-28C2-48E6-8125-54972FB4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6EA"/>
    <w:rPr>
      <w:rFonts w:eastAsiaTheme="majorEastAsia" w:cstheme="majorBidi"/>
      <w:color w:val="272727" w:themeColor="text1" w:themeTint="D8"/>
    </w:rPr>
  </w:style>
  <w:style w:type="paragraph" w:styleId="Title">
    <w:name w:val="Title"/>
    <w:basedOn w:val="Normal"/>
    <w:next w:val="Normal"/>
    <w:link w:val="TitleChar"/>
    <w:uiPriority w:val="10"/>
    <w:qFormat/>
    <w:rsid w:val="009A6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6EA"/>
    <w:pPr>
      <w:spacing w:before="160"/>
      <w:jc w:val="center"/>
    </w:pPr>
    <w:rPr>
      <w:i/>
      <w:iCs/>
      <w:color w:val="404040" w:themeColor="text1" w:themeTint="BF"/>
    </w:rPr>
  </w:style>
  <w:style w:type="character" w:customStyle="1" w:styleId="QuoteChar">
    <w:name w:val="Quote Char"/>
    <w:basedOn w:val="DefaultParagraphFont"/>
    <w:link w:val="Quote"/>
    <w:uiPriority w:val="29"/>
    <w:rsid w:val="009A66EA"/>
    <w:rPr>
      <w:i/>
      <w:iCs/>
      <w:color w:val="404040" w:themeColor="text1" w:themeTint="BF"/>
    </w:rPr>
  </w:style>
  <w:style w:type="paragraph" w:styleId="ListParagraph">
    <w:name w:val="List Paragraph"/>
    <w:basedOn w:val="Normal"/>
    <w:uiPriority w:val="34"/>
    <w:qFormat/>
    <w:rsid w:val="009A66EA"/>
    <w:pPr>
      <w:ind w:left="720"/>
      <w:contextualSpacing/>
    </w:pPr>
  </w:style>
  <w:style w:type="character" w:styleId="IntenseEmphasis">
    <w:name w:val="Intense Emphasis"/>
    <w:basedOn w:val="DefaultParagraphFont"/>
    <w:uiPriority w:val="21"/>
    <w:qFormat/>
    <w:rsid w:val="009A66EA"/>
    <w:rPr>
      <w:i/>
      <w:iCs/>
      <w:color w:val="0F4761" w:themeColor="accent1" w:themeShade="BF"/>
    </w:rPr>
  </w:style>
  <w:style w:type="paragraph" w:styleId="IntenseQuote">
    <w:name w:val="Intense Quote"/>
    <w:basedOn w:val="Normal"/>
    <w:next w:val="Normal"/>
    <w:link w:val="IntenseQuoteChar"/>
    <w:uiPriority w:val="30"/>
    <w:qFormat/>
    <w:rsid w:val="009A6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EA"/>
    <w:rPr>
      <w:i/>
      <w:iCs/>
      <w:color w:val="0F4761" w:themeColor="accent1" w:themeShade="BF"/>
    </w:rPr>
  </w:style>
  <w:style w:type="character" w:styleId="IntenseReference">
    <w:name w:val="Intense Reference"/>
    <w:basedOn w:val="DefaultParagraphFont"/>
    <w:uiPriority w:val="32"/>
    <w:qFormat/>
    <w:rsid w:val="009A66EA"/>
    <w:rPr>
      <w:b/>
      <w:bCs/>
      <w:smallCaps/>
      <w:color w:val="0F4761" w:themeColor="accent1" w:themeShade="BF"/>
      <w:spacing w:val="5"/>
    </w:rPr>
  </w:style>
  <w:style w:type="character" w:styleId="CommentReference">
    <w:name w:val="annotation reference"/>
    <w:basedOn w:val="DefaultParagraphFont"/>
    <w:uiPriority w:val="99"/>
    <w:semiHidden/>
    <w:unhideWhenUsed/>
    <w:rsid w:val="009A66EA"/>
    <w:rPr>
      <w:sz w:val="16"/>
      <w:szCs w:val="16"/>
    </w:rPr>
  </w:style>
  <w:style w:type="paragraph" w:styleId="CommentText">
    <w:name w:val="annotation text"/>
    <w:basedOn w:val="Normal"/>
    <w:link w:val="CommentTextChar"/>
    <w:uiPriority w:val="99"/>
    <w:unhideWhenUsed/>
    <w:rsid w:val="009A66EA"/>
    <w:pPr>
      <w:widowControl w:val="0"/>
      <w:autoSpaceDE w:val="0"/>
      <w:autoSpaceDN w:val="0"/>
      <w:spacing w:after="0" w:line="240" w:lineRule="auto"/>
    </w:pPr>
    <w:rPr>
      <w:rFonts w:ascii="Century" w:eastAsia="Century" w:hAnsi="Century" w:cs="Century"/>
      <w:kern w:val="0"/>
      <w:sz w:val="20"/>
      <w:szCs w:val="20"/>
      <w:lang w:val="en-US"/>
      <w14:ligatures w14:val="none"/>
    </w:rPr>
  </w:style>
  <w:style w:type="character" w:customStyle="1" w:styleId="CommentTextChar">
    <w:name w:val="Comment Text Char"/>
    <w:basedOn w:val="DefaultParagraphFont"/>
    <w:link w:val="CommentText"/>
    <w:uiPriority w:val="99"/>
    <w:rsid w:val="009A66EA"/>
    <w:rPr>
      <w:rFonts w:ascii="Century" w:eastAsia="Century" w:hAnsi="Century" w:cs="Century"/>
      <w:kern w:val="0"/>
      <w:sz w:val="20"/>
      <w:szCs w:val="20"/>
      <w:lang w:val="en-US"/>
      <w14:ligatures w14:val="none"/>
    </w:rPr>
  </w:style>
  <w:style w:type="character" w:styleId="FootnoteReference">
    <w:name w:val="footnote reference"/>
    <w:basedOn w:val="DefaultParagraphFont"/>
    <w:uiPriority w:val="99"/>
    <w:semiHidden/>
    <w:unhideWhenUsed/>
    <w:rsid w:val="009A66EA"/>
    <w:rPr>
      <w:vertAlign w:val="superscript"/>
    </w:rPr>
  </w:style>
  <w:style w:type="paragraph" w:styleId="FootnoteText">
    <w:name w:val="footnote text"/>
    <w:basedOn w:val="Normal"/>
    <w:link w:val="FootnoteTextChar"/>
    <w:uiPriority w:val="99"/>
    <w:semiHidden/>
    <w:unhideWhenUsed/>
    <w:rsid w:val="009A66EA"/>
    <w:pPr>
      <w:widowControl w:val="0"/>
      <w:autoSpaceDE w:val="0"/>
      <w:autoSpaceDN w:val="0"/>
      <w:spacing w:after="0" w:line="240" w:lineRule="auto"/>
    </w:pPr>
    <w:rPr>
      <w:kern w:val="0"/>
      <w:sz w:val="20"/>
      <w:szCs w:val="20"/>
      <w:lang w:val="en-US"/>
      <w14:ligatures w14:val="none"/>
    </w:rPr>
  </w:style>
  <w:style w:type="character" w:customStyle="1" w:styleId="FootnoteTextChar">
    <w:name w:val="Footnote Text Char"/>
    <w:basedOn w:val="DefaultParagraphFont"/>
    <w:link w:val="FootnoteText"/>
    <w:uiPriority w:val="99"/>
    <w:semiHidden/>
    <w:rsid w:val="009A66EA"/>
    <w:rPr>
      <w:kern w:val="0"/>
      <w:sz w:val="20"/>
      <w:szCs w:val="20"/>
      <w:lang w:val="en-US"/>
      <w14:ligatures w14:val="none"/>
    </w:rPr>
  </w:style>
  <w:style w:type="character" w:styleId="Hyperlink">
    <w:name w:val="Hyperlink"/>
    <w:basedOn w:val="DefaultParagraphFont"/>
    <w:uiPriority w:val="99"/>
    <w:unhideWhenUsed/>
    <w:rsid w:val="00497EDA"/>
    <w:rPr>
      <w:color w:val="467886" w:themeColor="hyperlink"/>
      <w:u w:val="single"/>
    </w:rPr>
  </w:style>
  <w:style w:type="character" w:styleId="UnresolvedMention">
    <w:name w:val="Unresolved Mention"/>
    <w:basedOn w:val="DefaultParagraphFont"/>
    <w:uiPriority w:val="99"/>
    <w:semiHidden/>
    <w:unhideWhenUsed/>
    <w:rsid w:val="00497EDA"/>
    <w:rPr>
      <w:color w:val="605E5C"/>
      <w:shd w:val="clear" w:color="auto" w:fill="E1DFDD"/>
    </w:rPr>
  </w:style>
  <w:style w:type="paragraph" w:styleId="BodyText">
    <w:name w:val="Body Text"/>
    <w:basedOn w:val="Normal"/>
    <w:link w:val="BodyTextChar"/>
    <w:uiPriority w:val="99"/>
    <w:semiHidden/>
    <w:unhideWhenUsed/>
    <w:rsid w:val="0038409F"/>
    <w:pPr>
      <w:spacing w:after="120"/>
    </w:pPr>
  </w:style>
  <w:style w:type="character" w:customStyle="1" w:styleId="BodyTextChar">
    <w:name w:val="Body Text Char"/>
    <w:basedOn w:val="DefaultParagraphFont"/>
    <w:link w:val="BodyText"/>
    <w:uiPriority w:val="99"/>
    <w:semiHidden/>
    <w:rsid w:val="0038409F"/>
  </w:style>
  <w:style w:type="character" w:styleId="PlaceholderText">
    <w:name w:val="Placeholder Text"/>
    <w:basedOn w:val="DefaultParagraphFont"/>
    <w:uiPriority w:val="99"/>
    <w:semiHidden/>
    <w:rsid w:val="006F7FF8"/>
    <w:rPr>
      <w:color w:val="666666"/>
    </w:rPr>
  </w:style>
  <w:style w:type="paragraph" w:styleId="CommentSubject">
    <w:name w:val="annotation subject"/>
    <w:basedOn w:val="CommentText"/>
    <w:next w:val="CommentText"/>
    <w:link w:val="CommentSubjectChar"/>
    <w:uiPriority w:val="99"/>
    <w:semiHidden/>
    <w:unhideWhenUsed/>
    <w:rsid w:val="00C41176"/>
    <w:pPr>
      <w:widowControl/>
      <w:autoSpaceDE/>
      <w:autoSpaceDN/>
      <w:spacing w:after="160"/>
    </w:pPr>
    <w:rPr>
      <w:rFonts w:asciiTheme="minorHAnsi" w:eastAsiaTheme="minorHAnsi" w:hAnsiTheme="minorHAnsi" w:cstheme="minorBidi"/>
      <w:b/>
      <w:bCs/>
      <w:kern w:val="2"/>
      <w:lang w:val="en-GB"/>
      <w14:ligatures w14:val="standardContextual"/>
    </w:rPr>
  </w:style>
  <w:style w:type="character" w:customStyle="1" w:styleId="CommentSubjectChar">
    <w:name w:val="Comment Subject Char"/>
    <w:basedOn w:val="CommentTextChar"/>
    <w:link w:val="CommentSubject"/>
    <w:uiPriority w:val="99"/>
    <w:semiHidden/>
    <w:rsid w:val="00C41176"/>
    <w:rPr>
      <w:rFonts w:ascii="Century" w:eastAsia="Century" w:hAnsi="Century" w:cs="Century"/>
      <w:b/>
      <w:bCs/>
      <w:kern w:val="0"/>
      <w:sz w:val="20"/>
      <w:szCs w:val="20"/>
      <w:lang w:val="en-US"/>
      <w14:ligatures w14:val="none"/>
    </w:rPr>
  </w:style>
  <w:style w:type="paragraph" w:styleId="Revision">
    <w:name w:val="Revision"/>
    <w:hidden/>
    <w:uiPriority w:val="99"/>
    <w:semiHidden/>
    <w:rsid w:val="00003486"/>
    <w:pPr>
      <w:spacing w:after="0" w:line="240" w:lineRule="auto"/>
    </w:pPr>
  </w:style>
  <w:style w:type="table" w:styleId="TableGrid">
    <w:name w:val="Table Grid"/>
    <w:basedOn w:val="TableNormal"/>
    <w:uiPriority w:val="39"/>
    <w:rsid w:val="00603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04F61"/>
    <w:pPr>
      <w:widowControl w:val="0"/>
      <w:autoSpaceDE w:val="0"/>
      <w:autoSpaceDN w:val="0"/>
      <w:spacing w:after="0" w:line="196" w:lineRule="exact"/>
    </w:pPr>
    <w:rPr>
      <w:rFonts w:ascii="Bookman Old Style" w:eastAsia="Bookman Old Style" w:hAnsi="Bookman Old Style" w:cs="Bookman Old Style"/>
      <w:kern w:val="0"/>
      <w:sz w:val="22"/>
      <w:szCs w:val="22"/>
      <w:lang w:val="en-US"/>
      <w14:ligatures w14:val="none"/>
    </w:rPr>
  </w:style>
  <w:style w:type="paragraph" w:styleId="Header">
    <w:name w:val="header"/>
    <w:basedOn w:val="Normal"/>
    <w:link w:val="HeaderChar"/>
    <w:uiPriority w:val="99"/>
    <w:unhideWhenUsed/>
    <w:rsid w:val="00FB6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16F"/>
  </w:style>
  <w:style w:type="paragraph" w:styleId="Footer">
    <w:name w:val="footer"/>
    <w:basedOn w:val="Normal"/>
    <w:link w:val="FooterChar"/>
    <w:uiPriority w:val="99"/>
    <w:unhideWhenUsed/>
    <w:rsid w:val="00FB6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16F"/>
  </w:style>
  <w:style w:type="paragraph" w:styleId="NormalWeb">
    <w:name w:val="Normal (Web)"/>
    <w:basedOn w:val="Normal"/>
    <w:uiPriority w:val="99"/>
    <w:semiHidden/>
    <w:unhideWhenUsed/>
    <w:rsid w:val="00B138E7"/>
    <w:rPr>
      <w:rFonts w:ascii="Times New Roman" w:hAnsi="Times New Roman" w:cs="Times New Roman"/>
    </w:rPr>
  </w:style>
  <w:style w:type="character" w:styleId="LineNumber">
    <w:name w:val="line number"/>
    <w:basedOn w:val="DefaultParagraphFont"/>
    <w:uiPriority w:val="99"/>
    <w:semiHidden/>
    <w:unhideWhenUsed/>
    <w:rsid w:val="000F6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2182">
      <w:bodyDiv w:val="1"/>
      <w:marLeft w:val="0"/>
      <w:marRight w:val="0"/>
      <w:marTop w:val="0"/>
      <w:marBottom w:val="0"/>
      <w:divBdr>
        <w:top w:val="none" w:sz="0" w:space="0" w:color="auto"/>
        <w:left w:val="none" w:sz="0" w:space="0" w:color="auto"/>
        <w:bottom w:val="none" w:sz="0" w:space="0" w:color="auto"/>
        <w:right w:val="none" w:sz="0" w:space="0" w:color="auto"/>
      </w:divBdr>
    </w:div>
    <w:div w:id="219369197">
      <w:bodyDiv w:val="1"/>
      <w:marLeft w:val="0"/>
      <w:marRight w:val="0"/>
      <w:marTop w:val="0"/>
      <w:marBottom w:val="0"/>
      <w:divBdr>
        <w:top w:val="none" w:sz="0" w:space="0" w:color="auto"/>
        <w:left w:val="none" w:sz="0" w:space="0" w:color="auto"/>
        <w:bottom w:val="none" w:sz="0" w:space="0" w:color="auto"/>
        <w:right w:val="none" w:sz="0" w:space="0" w:color="auto"/>
      </w:divBdr>
    </w:div>
    <w:div w:id="225072826">
      <w:bodyDiv w:val="1"/>
      <w:marLeft w:val="0"/>
      <w:marRight w:val="0"/>
      <w:marTop w:val="0"/>
      <w:marBottom w:val="0"/>
      <w:divBdr>
        <w:top w:val="none" w:sz="0" w:space="0" w:color="auto"/>
        <w:left w:val="none" w:sz="0" w:space="0" w:color="auto"/>
        <w:bottom w:val="none" w:sz="0" w:space="0" w:color="auto"/>
        <w:right w:val="none" w:sz="0" w:space="0" w:color="auto"/>
      </w:divBdr>
    </w:div>
    <w:div w:id="248778889">
      <w:bodyDiv w:val="1"/>
      <w:marLeft w:val="0"/>
      <w:marRight w:val="0"/>
      <w:marTop w:val="0"/>
      <w:marBottom w:val="0"/>
      <w:divBdr>
        <w:top w:val="none" w:sz="0" w:space="0" w:color="auto"/>
        <w:left w:val="none" w:sz="0" w:space="0" w:color="auto"/>
        <w:bottom w:val="none" w:sz="0" w:space="0" w:color="auto"/>
        <w:right w:val="none" w:sz="0" w:space="0" w:color="auto"/>
      </w:divBdr>
    </w:div>
    <w:div w:id="281156475">
      <w:bodyDiv w:val="1"/>
      <w:marLeft w:val="0"/>
      <w:marRight w:val="0"/>
      <w:marTop w:val="0"/>
      <w:marBottom w:val="0"/>
      <w:divBdr>
        <w:top w:val="none" w:sz="0" w:space="0" w:color="auto"/>
        <w:left w:val="none" w:sz="0" w:space="0" w:color="auto"/>
        <w:bottom w:val="none" w:sz="0" w:space="0" w:color="auto"/>
        <w:right w:val="none" w:sz="0" w:space="0" w:color="auto"/>
      </w:divBdr>
    </w:div>
    <w:div w:id="331030573">
      <w:bodyDiv w:val="1"/>
      <w:marLeft w:val="0"/>
      <w:marRight w:val="0"/>
      <w:marTop w:val="0"/>
      <w:marBottom w:val="0"/>
      <w:divBdr>
        <w:top w:val="none" w:sz="0" w:space="0" w:color="auto"/>
        <w:left w:val="none" w:sz="0" w:space="0" w:color="auto"/>
        <w:bottom w:val="none" w:sz="0" w:space="0" w:color="auto"/>
        <w:right w:val="none" w:sz="0" w:space="0" w:color="auto"/>
      </w:divBdr>
    </w:div>
    <w:div w:id="350255240">
      <w:bodyDiv w:val="1"/>
      <w:marLeft w:val="0"/>
      <w:marRight w:val="0"/>
      <w:marTop w:val="0"/>
      <w:marBottom w:val="0"/>
      <w:divBdr>
        <w:top w:val="none" w:sz="0" w:space="0" w:color="auto"/>
        <w:left w:val="none" w:sz="0" w:space="0" w:color="auto"/>
        <w:bottom w:val="none" w:sz="0" w:space="0" w:color="auto"/>
        <w:right w:val="none" w:sz="0" w:space="0" w:color="auto"/>
      </w:divBdr>
    </w:div>
    <w:div w:id="356740203">
      <w:bodyDiv w:val="1"/>
      <w:marLeft w:val="0"/>
      <w:marRight w:val="0"/>
      <w:marTop w:val="0"/>
      <w:marBottom w:val="0"/>
      <w:divBdr>
        <w:top w:val="none" w:sz="0" w:space="0" w:color="auto"/>
        <w:left w:val="none" w:sz="0" w:space="0" w:color="auto"/>
        <w:bottom w:val="none" w:sz="0" w:space="0" w:color="auto"/>
        <w:right w:val="none" w:sz="0" w:space="0" w:color="auto"/>
      </w:divBdr>
    </w:div>
    <w:div w:id="383481374">
      <w:bodyDiv w:val="1"/>
      <w:marLeft w:val="0"/>
      <w:marRight w:val="0"/>
      <w:marTop w:val="0"/>
      <w:marBottom w:val="0"/>
      <w:divBdr>
        <w:top w:val="none" w:sz="0" w:space="0" w:color="auto"/>
        <w:left w:val="none" w:sz="0" w:space="0" w:color="auto"/>
        <w:bottom w:val="none" w:sz="0" w:space="0" w:color="auto"/>
        <w:right w:val="none" w:sz="0" w:space="0" w:color="auto"/>
      </w:divBdr>
      <w:divsChild>
        <w:div w:id="1533109432">
          <w:marLeft w:val="0"/>
          <w:marRight w:val="0"/>
          <w:marTop w:val="0"/>
          <w:marBottom w:val="0"/>
          <w:divBdr>
            <w:top w:val="none" w:sz="0" w:space="0" w:color="auto"/>
            <w:left w:val="none" w:sz="0" w:space="0" w:color="auto"/>
            <w:bottom w:val="none" w:sz="0" w:space="0" w:color="auto"/>
            <w:right w:val="none" w:sz="0" w:space="0" w:color="auto"/>
          </w:divBdr>
          <w:divsChild>
            <w:div w:id="8018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2976">
      <w:bodyDiv w:val="1"/>
      <w:marLeft w:val="0"/>
      <w:marRight w:val="0"/>
      <w:marTop w:val="0"/>
      <w:marBottom w:val="0"/>
      <w:divBdr>
        <w:top w:val="none" w:sz="0" w:space="0" w:color="auto"/>
        <w:left w:val="none" w:sz="0" w:space="0" w:color="auto"/>
        <w:bottom w:val="none" w:sz="0" w:space="0" w:color="auto"/>
        <w:right w:val="none" w:sz="0" w:space="0" w:color="auto"/>
      </w:divBdr>
    </w:div>
    <w:div w:id="487988466">
      <w:bodyDiv w:val="1"/>
      <w:marLeft w:val="0"/>
      <w:marRight w:val="0"/>
      <w:marTop w:val="0"/>
      <w:marBottom w:val="0"/>
      <w:divBdr>
        <w:top w:val="none" w:sz="0" w:space="0" w:color="auto"/>
        <w:left w:val="none" w:sz="0" w:space="0" w:color="auto"/>
        <w:bottom w:val="none" w:sz="0" w:space="0" w:color="auto"/>
        <w:right w:val="none" w:sz="0" w:space="0" w:color="auto"/>
      </w:divBdr>
    </w:div>
    <w:div w:id="500582979">
      <w:bodyDiv w:val="1"/>
      <w:marLeft w:val="0"/>
      <w:marRight w:val="0"/>
      <w:marTop w:val="0"/>
      <w:marBottom w:val="0"/>
      <w:divBdr>
        <w:top w:val="none" w:sz="0" w:space="0" w:color="auto"/>
        <w:left w:val="none" w:sz="0" w:space="0" w:color="auto"/>
        <w:bottom w:val="none" w:sz="0" w:space="0" w:color="auto"/>
        <w:right w:val="none" w:sz="0" w:space="0" w:color="auto"/>
      </w:divBdr>
    </w:div>
    <w:div w:id="737171365">
      <w:bodyDiv w:val="1"/>
      <w:marLeft w:val="0"/>
      <w:marRight w:val="0"/>
      <w:marTop w:val="0"/>
      <w:marBottom w:val="0"/>
      <w:divBdr>
        <w:top w:val="none" w:sz="0" w:space="0" w:color="auto"/>
        <w:left w:val="none" w:sz="0" w:space="0" w:color="auto"/>
        <w:bottom w:val="none" w:sz="0" w:space="0" w:color="auto"/>
        <w:right w:val="none" w:sz="0" w:space="0" w:color="auto"/>
      </w:divBdr>
    </w:div>
    <w:div w:id="899826270">
      <w:bodyDiv w:val="1"/>
      <w:marLeft w:val="0"/>
      <w:marRight w:val="0"/>
      <w:marTop w:val="0"/>
      <w:marBottom w:val="0"/>
      <w:divBdr>
        <w:top w:val="none" w:sz="0" w:space="0" w:color="auto"/>
        <w:left w:val="none" w:sz="0" w:space="0" w:color="auto"/>
        <w:bottom w:val="none" w:sz="0" w:space="0" w:color="auto"/>
        <w:right w:val="none" w:sz="0" w:space="0" w:color="auto"/>
      </w:divBdr>
    </w:div>
    <w:div w:id="953514384">
      <w:bodyDiv w:val="1"/>
      <w:marLeft w:val="0"/>
      <w:marRight w:val="0"/>
      <w:marTop w:val="0"/>
      <w:marBottom w:val="0"/>
      <w:divBdr>
        <w:top w:val="none" w:sz="0" w:space="0" w:color="auto"/>
        <w:left w:val="none" w:sz="0" w:space="0" w:color="auto"/>
        <w:bottom w:val="none" w:sz="0" w:space="0" w:color="auto"/>
        <w:right w:val="none" w:sz="0" w:space="0" w:color="auto"/>
      </w:divBdr>
    </w:div>
    <w:div w:id="987130062">
      <w:bodyDiv w:val="1"/>
      <w:marLeft w:val="0"/>
      <w:marRight w:val="0"/>
      <w:marTop w:val="0"/>
      <w:marBottom w:val="0"/>
      <w:divBdr>
        <w:top w:val="none" w:sz="0" w:space="0" w:color="auto"/>
        <w:left w:val="none" w:sz="0" w:space="0" w:color="auto"/>
        <w:bottom w:val="none" w:sz="0" w:space="0" w:color="auto"/>
        <w:right w:val="none" w:sz="0" w:space="0" w:color="auto"/>
      </w:divBdr>
    </w:div>
    <w:div w:id="996223863">
      <w:bodyDiv w:val="1"/>
      <w:marLeft w:val="0"/>
      <w:marRight w:val="0"/>
      <w:marTop w:val="0"/>
      <w:marBottom w:val="0"/>
      <w:divBdr>
        <w:top w:val="none" w:sz="0" w:space="0" w:color="auto"/>
        <w:left w:val="none" w:sz="0" w:space="0" w:color="auto"/>
        <w:bottom w:val="none" w:sz="0" w:space="0" w:color="auto"/>
        <w:right w:val="none" w:sz="0" w:space="0" w:color="auto"/>
      </w:divBdr>
    </w:div>
    <w:div w:id="1164928746">
      <w:bodyDiv w:val="1"/>
      <w:marLeft w:val="0"/>
      <w:marRight w:val="0"/>
      <w:marTop w:val="0"/>
      <w:marBottom w:val="0"/>
      <w:divBdr>
        <w:top w:val="none" w:sz="0" w:space="0" w:color="auto"/>
        <w:left w:val="none" w:sz="0" w:space="0" w:color="auto"/>
        <w:bottom w:val="none" w:sz="0" w:space="0" w:color="auto"/>
        <w:right w:val="none" w:sz="0" w:space="0" w:color="auto"/>
      </w:divBdr>
    </w:div>
    <w:div w:id="1256086795">
      <w:bodyDiv w:val="1"/>
      <w:marLeft w:val="0"/>
      <w:marRight w:val="0"/>
      <w:marTop w:val="0"/>
      <w:marBottom w:val="0"/>
      <w:divBdr>
        <w:top w:val="none" w:sz="0" w:space="0" w:color="auto"/>
        <w:left w:val="none" w:sz="0" w:space="0" w:color="auto"/>
        <w:bottom w:val="none" w:sz="0" w:space="0" w:color="auto"/>
        <w:right w:val="none" w:sz="0" w:space="0" w:color="auto"/>
      </w:divBdr>
    </w:div>
    <w:div w:id="1256092816">
      <w:bodyDiv w:val="1"/>
      <w:marLeft w:val="0"/>
      <w:marRight w:val="0"/>
      <w:marTop w:val="0"/>
      <w:marBottom w:val="0"/>
      <w:divBdr>
        <w:top w:val="none" w:sz="0" w:space="0" w:color="auto"/>
        <w:left w:val="none" w:sz="0" w:space="0" w:color="auto"/>
        <w:bottom w:val="none" w:sz="0" w:space="0" w:color="auto"/>
        <w:right w:val="none" w:sz="0" w:space="0" w:color="auto"/>
      </w:divBdr>
    </w:div>
    <w:div w:id="1376000476">
      <w:bodyDiv w:val="1"/>
      <w:marLeft w:val="0"/>
      <w:marRight w:val="0"/>
      <w:marTop w:val="0"/>
      <w:marBottom w:val="0"/>
      <w:divBdr>
        <w:top w:val="none" w:sz="0" w:space="0" w:color="auto"/>
        <w:left w:val="none" w:sz="0" w:space="0" w:color="auto"/>
        <w:bottom w:val="none" w:sz="0" w:space="0" w:color="auto"/>
        <w:right w:val="none" w:sz="0" w:space="0" w:color="auto"/>
      </w:divBdr>
    </w:div>
    <w:div w:id="1434396279">
      <w:bodyDiv w:val="1"/>
      <w:marLeft w:val="0"/>
      <w:marRight w:val="0"/>
      <w:marTop w:val="0"/>
      <w:marBottom w:val="0"/>
      <w:divBdr>
        <w:top w:val="none" w:sz="0" w:space="0" w:color="auto"/>
        <w:left w:val="none" w:sz="0" w:space="0" w:color="auto"/>
        <w:bottom w:val="none" w:sz="0" w:space="0" w:color="auto"/>
        <w:right w:val="none" w:sz="0" w:space="0" w:color="auto"/>
      </w:divBdr>
    </w:div>
    <w:div w:id="1475676375">
      <w:bodyDiv w:val="1"/>
      <w:marLeft w:val="0"/>
      <w:marRight w:val="0"/>
      <w:marTop w:val="0"/>
      <w:marBottom w:val="0"/>
      <w:divBdr>
        <w:top w:val="none" w:sz="0" w:space="0" w:color="auto"/>
        <w:left w:val="none" w:sz="0" w:space="0" w:color="auto"/>
        <w:bottom w:val="none" w:sz="0" w:space="0" w:color="auto"/>
        <w:right w:val="none" w:sz="0" w:space="0" w:color="auto"/>
      </w:divBdr>
    </w:div>
    <w:div w:id="1477869147">
      <w:bodyDiv w:val="1"/>
      <w:marLeft w:val="0"/>
      <w:marRight w:val="0"/>
      <w:marTop w:val="0"/>
      <w:marBottom w:val="0"/>
      <w:divBdr>
        <w:top w:val="none" w:sz="0" w:space="0" w:color="auto"/>
        <w:left w:val="none" w:sz="0" w:space="0" w:color="auto"/>
        <w:bottom w:val="none" w:sz="0" w:space="0" w:color="auto"/>
        <w:right w:val="none" w:sz="0" w:space="0" w:color="auto"/>
      </w:divBdr>
    </w:div>
    <w:div w:id="1605070215">
      <w:bodyDiv w:val="1"/>
      <w:marLeft w:val="0"/>
      <w:marRight w:val="0"/>
      <w:marTop w:val="0"/>
      <w:marBottom w:val="0"/>
      <w:divBdr>
        <w:top w:val="none" w:sz="0" w:space="0" w:color="auto"/>
        <w:left w:val="none" w:sz="0" w:space="0" w:color="auto"/>
        <w:bottom w:val="none" w:sz="0" w:space="0" w:color="auto"/>
        <w:right w:val="none" w:sz="0" w:space="0" w:color="auto"/>
      </w:divBdr>
    </w:div>
    <w:div w:id="1617062679">
      <w:bodyDiv w:val="1"/>
      <w:marLeft w:val="0"/>
      <w:marRight w:val="0"/>
      <w:marTop w:val="0"/>
      <w:marBottom w:val="0"/>
      <w:divBdr>
        <w:top w:val="none" w:sz="0" w:space="0" w:color="auto"/>
        <w:left w:val="none" w:sz="0" w:space="0" w:color="auto"/>
        <w:bottom w:val="none" w:sz="0" w:space="0" w:color="auto"/>
        <w:right w:val="none" w:sz="0" w:space="0" w:color="auto"/>
      </w:divBdr>
    </w:div>
    <w:div w:id="1779833275">
      <w:bodyDiv w:val="1"/>
      <w:marLeft w:val="0"/>
      <w:marRight w:val="0"/>
      <w:marTop w:val="0"/>
      <w:marBottom w:val="0"/>
      <w:divBdr>
        <w:top w:val="none" w:sz="0" w:space="0" w:color="auto"/>
        <w:left w:val="none" w:sz="0" w:space="0" w:color="auto"/>
        <w:bottom w:val="none" w:sz="0" w:space="0" w:color="auto"/>
        <w:right w:val="none" w:sz="0" w:space="0" w:color="auto"/>
      </w:divBdr>
    </w:div>
    <w:div w:id="1783646671">
      <w:bodyDiv w:val="1"/>
      <w:marLeft w:val="0"/>
      <w:marRight w:val="0"/>
      <w:marTop w:val="0"/>
      <w:marBottom w:val="0"/>
      <w:divBdr>
        <w:top w:val="none" w:sz="0" w:space="0" w:color="auto"/>
        <w:left w:val="none" w:sz="0" w:space="0" w:color="auto"/>
        <w:bottom w:val="none" w:sz="0" w:space="0" w:color="auto"/>
        <w:right w:val="none" w:sz="0" w:space="0" w:color="auto"/>
      </w:divBdr>
    </w:div>
    <w:div w:id="2002542608">
      <w:bodyDiv w:val="1"/>
      <w:marLeft w:val="0"/>
      <w:marRight w:val="0"/>
      <w:marTop w:val="0"/>
      <w:marBottom w:val="0"/>
      <w:divBdr>
        <w:top w:val="none" w:sz="0" w:space="0" w:color="auto"/>
        <w:left w:val="none" w:sz="0" w:space="0" w:color="auto"/>
        <w:bottom w:val="none" w:sz="0" w:space="0" w:color="auto"/>
        <w:right w:val="none" w:sz="0" w:space="0" w:color="auto"/>
      </w:divBdr>
      <w:divsChild>
        <w:div w:id="910695516">
          <w:marLeft w:val="0"/>
          <w:marRight w:val="0"/>
          <w:marTop w:val="0"/>
          <w:marBottom w:val="0"/>
          <w:divBdr>
            <w:top w:val="none" w:sz="0" w:space="0" w:color="auto"/>
            <w:left w:val="none" w:sz="0" w:space="0" w:color="auto"/>
            <w:bottom w:val="none" w:sz="0" w:space="0" w:color="auto"/>
            <w:right w:val="none" w:sz="0" w:space="0" w:color="auto"/>
          </w:divBdr>
          <w:divsChild>
            <w:div w:id="1620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ankofengland.co.uk/quarterly-bulletin/2024/2024/measuring-climate-related-financial-" TargetMode="External"/><Relationship Id="rId2" Type="http://schemas.openxmlformats.org/officeDocument/2006/relationships/hyperlink" Target="http://www.ngfs.net/ngfs-scenarios-portal/faq/" TargetMode="External"/><Relationship Id="rId1" Type="http://schemas.openxmlformats.org/officeDocument/2006/relationships/hyperlink" Target="http://www.bankofengland.co.uk/quar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0C73-E5F6-4CA4-A39B-8BE13F26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5139</Words>
  <Characters>29296</Characters>
  <Application>Microsoft Office Word</Application>
  <DocSecurity>0</DocSecurity>
  <Lines>244</Lines>
  <Paragraphs>68</Paragraphs>
  <ScaleCrop>false</ScaleCrop>
  <Company/>
  <LinksUpToDate>false</LinksUpToDate>
  <CharactersWithSpaces>34367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Burke</dc:creator>
  <cp:keywords/>
  <dc:description/>
  <cp:lastModifiedBy>Matt Burke</cp:lastModifiedBy>
  <cp:revision>364</cp:revision>
  <dcterms:created xsi:type="dcterms:W3CDTF">2024-10-18T10:17:00Z</dcterms:created>
  <dcterms:modified xsi:type="dcterms:W3CDTF">2024-11-26T16:29:00Z</dcterms:modified>
</cp:coreProperties>
</file>