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F5E" w14:textId="4E15EBE4" w:rsidR="009E78FB" w:rsidRDefault="00D871FC">
      <w:pPr>
        <w:rPr>
          <w:b/>
          <w:bCs/>
        </w:rPr>
      </w:pPr>
      <w:r>
        <w:rPr>
          <w:b/>
          <w:bCs/>
        </w:rPr>
        <w:t>Impact of sovereign rating on borrowing costs</w:t>
      </w:r>
    </w:p>
    <w:p w14:paraId="659C6751" w14:textId="02708BF2" w:rsidR="00CC4D95" w:rsidRDefault="00D871FC" w:rsidP="00CC4D95">
      <w:r>
        <w:t xml:space="preserve">This section produces a descriptive market analysis to reveal the impact of </w:t>
      </w:r>
      <w:r w:rsidR="00C83AA7">
        <w:t>our benchmark findings on borrowing costs for sovereigns.</w:t>
      </w:r>
      <w:r>
        <w:t xml:space="preserve"> </w:t>
      </w:r>
      <w:r w:rsidR="00CC4D95">
        <w:t>Figure 1 below shows</w:t>
      </w:r>
      <w:r>
        <w:t xml:space="preserve"> data from the St Louis Federal Reserve</w:t>
      </w:r>
      <w:r w:rsidR="00CC4D95">
        <w:t>. This graph reveals</w:t>
      </w:r>
      <w:r>
        <w:t xml:space="preserve"> how the full scale of credit quality (denoted by rating categories) is associated with </w:t>
      </w:r>
      <w:r w:rsidR="00CC4D95">
        <w:t>varying spreads above a</w:t>
      </w:r>
      <w:r w:rsidR="00C83AA7">
        <w:t xml:space="preserve"> corresponding treasury</w:t>
      </w:r>
      <w:r w:rsidR="00CC4D95">
        <w:t xml:space="preserve"> benchmark. These are option-adjusted spreads, which represent the additional rate at which payments from a fixed-income instrument need to be discounted against </w:t>
      </w:r>
      <w:r w:rsidR="00DB6E00">
        <w:t>to</w:t>
      </w:r>
      <w:r w:rsidR="00CC4D95">
        <w:t xml:space="preserve"> match their market price. In simple terms, this represents the additional cost of borrowing for a bond within the given credit rating category.</w:t>
      </w:r>
      <w:r w:rsidR="00DB6E00">
        <w:t xml:space="preserve"> </w:t>
      </w:r>
      <w:r w:rsidR="00C83AA7">
        <w:t>Figure 1 presents this data through time, which reveals that not only do lower credit quality instruments have higher borrowing costs, but that these costs are subject to much greater variation</w:t>
      </w:r>
      <w:r w:rsidR="009C2062">
        <w:t>.</w:t>
      </w:r>
    </w:p>
    <w:p w14:paraId="6B080E6E" w14:textId="066638F2" w:rsidR="00CC4D95" w:rsidRPr="00CC4D95" w:rsidRDefault="00CC4D95" w:rsidP="00CC4D95">
      <w:pPr>
        <w:rPr>
          <w:u w:val="single"/>
        </w:rPr>
      </w:pPr>
      <w:r w:rsidRPr="00CC4D95">
        <w:rPr>
          <w:u w:val="single"/>
        </w:rPr>
        <w:t>Figure 1</w:t>
      </w:r>
    </w:p>
    <w:p w14:paraId="3EE871AF" w14:textId="62BE87BC" w:rsidR="00CC4D95" w:rsidRDefault="001B1F7C" w:rsidP="00CC4D95">
      <w:pPr>
        <w:pStyle w:val="NormalWeb"/>
        <w:jc w:val="center"/>
      </w:pPr>
      <w:r w:rsidRPr="001B1F7C">
        <w:drawing>
          <wp:inline distT="0" distB="0" distL="0" distR="0" wp14:anchorId="426A1BA0" wp14:editId="30748102">
            <wp:extent cx="3635424" cy="3072348"/>
            <wp:effectExtent l="0" t="0" r="3175" b="0"/>
            <wp:docPr id="101232804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28047" name="Picture 1" descr="A graph of different colored lines&#10;&#10;Description automatically generated"/>
                    <pic:cNvPicPr/>
                  </pic:nvPicPr>
                  <pic:blipFill>
                    <a:blip r:embed="rId4"/>
                    <a:stretch>
                      <a:fillRect/>
                    </a:stretch>
                  </pic:blipFill>
                  <pic:spPr>
                    <a:xfrm>
                      <a:off x="0" y="0"/>
                      <a:ext cx="3641456" cy="3077445"/>
                    </a:xfrm>
                    <a:prstGeom prst="rect">
                      <a:avLst/>
                    </a:prstGeom>
                  </pic:spPr>
                </pic:pic>
              </a:graphicData>
            </a:graphic>
          </wp:inline>
        </w:drawing>
      </w:r>
    </w:p>
    <w:p w14:paraId="512FA50F" w14:textId="7E465D4C" w:rsidR="001F1589" w:rsidRDefault="00DB6E00" w:rsidP="00CC4D95">
      <w:r>
        <w:t xml:space="preserve">To illustrate the </w:t>
      </w:r>
      <w:proofErr w:type="gramStart"/>
      <w:r w:rsidR="00C83AA7">
        <w:t>effect</w:t>
      </w:r>
      <w:proofErr w:type="gramEnd"/>
      <w:r w:rsidR="00C83AA7">
        <w:t xml:space="preserve"> </w:t>
      </w:r>
      <w:r>
        <w:t xml:space="preserve">we observe in this study we use this data to measure the marginal borrowing cost associated with changes in the variables of interest. </w:t>
      </w:r>
      <w:r w:rsidR="001B1F7C">
        <w:t xml:space="preserve">To do this, </w:t>
      </w:r>
      <w:r w:rsidR="00C83AA7">
        <w:t>we</w:t>
      </w:r>
      <w:r w:rsidR="001B1F7C">
        <w:t xml:space="preserve"> obtain the me</w:t>
      </w:r>
      <w:r w:rsidR="00C83AA7">
        <w:t>dia</w:t>
      </w:r>
      <w:r w:rsidR="001B1F7C">
        <w:t xml:space="preserve">n spreads from Figure 1 for each category of rating quality and perform an interpolation exercise. We then propose changes in the values of political quality and ENV 1.2 as per specification (3) in Table 4. We focus on this example as it reveals the most economically significant interaction effect and represents salient macroeconomic announcements to protect biodiversity. Table 1 </w:t>
      </w:r>
      <w:r w:rsidR="00C83AA7">
        <w:t>shows that when political quality and ENV 1.2 are both 1 SD above average, this is associated with an approximate rating of 41.551 (29.749 + 9.458 + 2.344, where 29.749 represents the average rating</w:t>
      </w:r>
      <w:r w:rsidR="000032A0">
        <w:t xml:space="preserve"> as</w:t>
      </w:r>
      <w:r w:rsidR="00C83AA7">
        <w:t xml:space="preserve"> shown in Table 1). A rating of this number would be priced by the market at a borrowing rate of approximately 1.16% above treasury</w:t>
      </w:r>
      <w:r w:rsidR="00943857">
        <w:t>, assuming all other controls exhibit their mean values.</w:t>
      </w:r>
      <w:r w:rsidR="009D5F0C">
        <w:t xml:space="preserve"> This table </w:t>
      </w:r>
      <w:r w:rsidR="00226224">
        <w:t>reveals the lack of economic incentives for countries with lower political quality to motivate investments</w:t>
      </w:r>
      <w:r w:rsidR="00E56185">
        <w:t xml:space="preserve"> into biodiversity protecti</w:t>
      </w:r>
      <w:r w:rsidR="00964193">
        <w:t xml:space="preserve">on. We propose that this </w:t>
      </w:r>
      <w:r w:rsidR="00852F58">
        <w:t xml:space="preserve">result shows a systematic mispricing of natural capital in </w:t>
      </w:r>
      <w:r w:rsidR="000517AB">
        <w:t>sovereign debt markets.</w:t>
      </w:r>
    </w:p>
    <w:p w14:paraId="1D0CF7FF" w14:textId="77777777" w:rsidR="00F661C9" w:rsidRDefault="00F661C9" w:rsidP="00CC4D95"/>
    <w:p w14:paraId="6D9C70D8" w14:textId="1ECAB38D" w:rsidR="00F661C9" w:rsidRPr="00F661C9" w:rsidRDefault="00F661C9" w:rsidP="00CC4D95">
      <w:pPr>
        <w:rPr>
          <w:u w:val="single"/>
        </w:rPr>
      </w:pPr>
      <w:r w:rsidRPr="00F661C9">
        <w:rPr>
          <w:u w:val="single"/>
        </w:rPr>
        <w:lastRenderedPageBreak/>
        <w:t>Figure 2</w:t>
      </w:r>
    </w:p>
    <w:p w14:paraId="5BDC6A28" w14:textId="7F2F3730" w:rsidR="001B1F7C" w:rsidRDefault="001B1F7C" w:rsidP="001B1F7C">
      <w:pPr>
        <w:jc w:val="center"/>
      </w:pPr>
      <w:r w:rsidRPr="001B1F7C">
        <w:drawing>
          <wp:inline distT="0" distB="0" distL="0" distR="0" wp14:anchorId="51652E83" wp14:editId="23D84863">
            <wp:extent cx="3087858" cy="2609592"/>
            <wp:effectExtent l="0" t="0" r="0" b="635"/>
            <wp:docPr id="192151854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18545" name="Picture 1" descr="A graph of a function&#10;&#10;Description automatically generated"/>
                    <pic:cNvPicPr/>
                  </pic:nvPicPr>
                  <pic:blipFill>
                    <a:blip r:embed="rId5"/>
                    <a:stretch>
                      <a:fillRect/>
                    </a:stretch>
                  </pic:blipFill>
                  <pic:spPr>
                    <a:xfrm>
                      <a:off x="0" y="0"/>
                      <a:ext cx="3091261" cy="2612468"/>
                    </a:xfrm>
                    <a:prstGeom prst="rect">
                      <a:avLst/>
                    </a:prstGeom>
                  </pic:spPr>
                </pic:pic>
              </a:graphicData>
            </a:graphic>
          </wp:inline>
        </w:drawing>
      </w:r>
    </w:p>
    <w:p w14:paraId="6786CAF1" w14:textId="77777777" w:rsidR="00342545" w:rsidRDefault="00342545" w:rsidP="00CC4D95"/>
    <w:p w14:paraId="455D6248" w14:textId="763870E7" w:rsidR="00342545" w:rsidRPr="00F661C9" w:rsidRDefault="001B1F7C" w:rsidP="00CC4D95">
      <w:pPr>
        <w:rPr>
          <w:u w:val="single"/>
        </w:rPr>
      </w:pPr>
      <w:r w:rsidRPr="00F661C9">
        <w:rPr>
          <w:u w:val="single"/>
        </w:rPr>
        <w:t>Table 1</w:t>
      </w:r>
    </w:p>
    <w:tbl>
      <w:tblPr>
        <w:tblStyle w:val="TableGrid"/>
        <w:tblW w:w="4963" w:type="dxa"/>
        <w:tblLook w:val="04A0" w:firstRow="1" w:lastRow="0" w:firstColumn="1" w:lastColumn="0" w:noHBand="0" w:noVBand="1"/>
      </w:tblPr>
      <w:tblGrid>
        <w:gridCol w:w="1224"/>
        <w:gridCol w:w="1088"/>
        <w:gridCol w:w="1629"/>
        <w:gridCol w:w="1022"/>
      </w:tblGrid>
      <w:tr w:rsidR="00891A59" w14:paraId="6259C826" w14:textId="77777777" w:rsidTr="00891A59">
        <w:trPr>
          <w:trHeight w:val="1583"/>
        </w:trPr>
        <w:tc>
          <w:tcPr>
            <w:tcW w:w="1224" w:type="dxa"/>
          </w:tcPr>
          <w:p w14:paraId="3D41681E" w14:textId="5524ABD2" w:rsidR="00891A59" w:rsidRDefault="00891A59" w:rsidP="00891A59">
            <w:r>
              <w:t>Change in Political Quality</w:t>
            </w:r>
          </w:p>
        </w:tc>
        <w:tc>
          <w:tcPr>
            <w:tcW w:w="1088" w:type="dxa"/>
          </w:tcPr>
          <w:p w14:paraId="7EDC75B4" w14:textId="514FB531" w:rsidR="00891A59" w:rsidRDefault="00891A59" w:rsidP="00891A59">
            <w:r>
              <w:t>Change in ENV 1.2</w:t>
            </w:r>
          </w:p>
        </w:tc>
        <w:tc>
          <w:tcPr>
            <w:tcW w:w="1629" w:type="dxa"/>
          </w:tcPr>
          <w:p w14:paraId="391D8FF0" w14:textId="135B9BD9" w:rsidR="00891A59" w:rsidRDefault="00891A59" w:rsidP="00891A59">
            <w:r>
              <w:t>Approximate rating</w:t>
            </w:r>
          </w:p>
        </w:tc>
        <w:tc>
          <w:tcPr>
            <w:tcW w:w="1022" w:type="dxa"/>
          </w:tcPr>
          <w:p w14:paraId="3E27BB7C" w14:textId="1F87B2B0" w:rsidR="00891A59" w:rsidRDefault="00891A59" w:rsidP="00891A59">
            <w:r>
              <w:t>OAS Spread (%)</w:t>
            </w:r>
          </w:p>
        </w:tc>
      </w:tr>
      <w:tr w:rsidR="00891A59" w14:paraId="5C3EA002" w14:textId="77777777" w:rsidTr="00891A59">
        <w:trPr>
          <w:trHeight w:val="392"/>
        </w:trPr>
        <w:tc>
          <w:tcPr>
            <w:tcW w:w="1224" w:type="dxa"/>
          </w:tcPr>
          <w:p w14:paraId="72E8F420" w14:textId="0B23D8AE" w:rsidR="00891A59" w:rsidRDefault="00891A59" w:rsidP="00891A59">
            <w:r>
              <w:t>1</w:t>
            </w:r>
          </w:p>
        </w:tc>
        <w:tc>
          <w:tcPr>
            <w:tcW w:w="1088" w:type="dxa"/>
          </w:tcPr>
          <w:p w14:paraId="1073E6D5" w14:textId="633B7AA7" w:rsidR="00891A59" w:rsidRDefault="00891A59" w:rsidP="00891A59">
            <w:r>
              <w:t>1</w:t>
            </w:r>
          </w:p>
        </w:tc>
        <w:tc>
          <w:tcPr>
            <w:tcW w:w="1629" w:type="dxa"/>
          </w:tcPr>
          <w:p w14:paraId="6E3669BE" w14:textId="2DC3CA3F" w:rsidR="00891A59" w:rsidRDefault="00891A59" w:rsidP="00891A59">
            <w:r>
              <w:t>41.551</w:t>
            </w:r>
          </w:p>
        </w:tc>
        <w:tc>
          <w:tcPr>
            <w:tcW w:w="1022" w:type="dxa"/>
          </w:tcPr>
          <w:p w14:paraId="38839FE0" w14:textId="47237DD2" w:rsidR="00891A59" w:rsidRDefault="00C83AA7" w:rsidP="00891A59">
            <w:r>
              <w:t>1.16</w:t>
            </w:r>
          </w:p>
        </w:tc>
      </w:tr>
      <w:tr w:rsidR="00891A59" w14:paraId="4D3A5FC2" w14:textId="77777777" w:rsidTr="00891A59">
        <w:trPr>
          <w:trHeight w:val="392"/>
        </w:trPr>
        <w:tc>
          <w:tcPr>
            <w:tcW w:w="1224" w:type="dxa"/>
          </w:tcPr>
          <w:p w14:paraId="33E9B03D" w14:textId="0349D1C2" w:rsidR="00891A59" w:rsidRDefault="00891A59" w:rsidP="00891A59">
            <w:r>
              <w:t>2</w:t>
            </w:r>
          </w:p>
        </w:tc>
        <w:tc>
          <w:tcPr>
            <w:tcW w:w="1088" w:type="dxa"/>
          </w:tcPr>
          <w:p w14:paraId="2E1AD0F3" w14:textId="4200B6C6" w:rsidR="00891A59" w:rsidRDefault="00891A59" w:rsidP="00891A59">
            <w:r>
              <w:t>2</w:t>
            </w:r>
          </w:p>
        </w:tc>
        <w:tc>
          <w:tcPr>
            <w:tcW w:w="1629" w:type="dxa"/>
          </w:tcPr>
          <w:p w14:paraId="6FFDAAA0" w14:textId="291AB41C" w:rsidR="00891A59" w:rsidRDefault="00C83AA7" w:rsidP="00891A59">
            <w:r>
              <w:t>58.041</w:t>
            </w:r>
          </w:p>
        </w:tc>
        <w:tc>
          <w:tcPr>
            <w:tcW w:w="1022" w:type="dxa"/>
          </w:tcPr>
          <w:p w14:paraId="7187A360" w14:textId="3FC52B48" w:rsidR="00891A59" w:rsidRDefault="00C83AA7" w:rsidP="00891A59">
            <w:r>
              <w:t>0.70</w:t>
            </w:r>
          </w:p>
        </w:tc>
      </w:tr>
      <w:tr w:rsidR="00891A59" w14:paraId="1A61EC34" w14:textId="77777777" w:rsidTr="00891A59">
        <w:trPr>
          <w:trHeight w:val="392"/>
        </w:trPr>
        <w:tc>
          <w:tcPr>
            <w:tcW w:w="1224" w:type="dxa"/>
          </w:tcPr>
          <w:p w14:paraId="4BBBD98E" w14:textId="6C9261E0" w:rsidR="00891A59" w:rsidRDefault="00891A59" w:rsidP="00891A59">
            <w:r>
              <w:t>-1</w:t>
            </w:r>
          </w:p>
        </w:tc>
        <w:tc>
          <w:tcPr>
            <w:tcW w:w="1088" w:type="dxa"/>
          </w:tcPr>
          <w:p w14:paraId="78FA4818" w14:textId="46C1CD01" w:rsidR="00891A59" w:rsidRDefault="00891A59" w:rsidP="00891A59">
            <w:r>
              <w:t>1</w:t>
            </w:r>
          </w:p>
        </w:tc>
        <w:tc>
          <w:tcPr>
            <w:tcW w:w="1629" w:type="dxa"/>
          </w:tcPr>
          <w:p w14:paraId="4CFD377D" w14:textId="68F843F1" w:rsidR="00891A59" w:rsidRDefault="00C83AA7" w:rsidP="00891A59">
            <w:r>
              <w:t>17.947</w:t>
            </w:r>
          </w:p>
        </w:tc>
        <w:tc>
          <w:tcPr>
            <w:tcW w:w="1022" w:type="dxa"/>
          </w:tcPr>
          <w:p w14:paraId="2946877C" w14:textId="12E16FF7" w:rsidR="00891A59" w:rsidRDefault="00C83AA7" w:rsidP="00891A59">
            <w:r>
              <w:t>4.46</w:t>
            </w:r>
          </w:p>
        </w:tc>
      </w:tr>
      <w:tr w:rsidR="00891A59" w14:paraId="0F14C397" w14:textId="77777777" w:rsidTr="00891A59">
        <w:trPr>
          <w:trHeight w:val="392"/>
        </w:trPr>
        <w:tc>
          <w:tcPr>
            <w:tcW w:w="1224" w:type="dxa"/>
          </w:tcPr>
          <w:p w14:paraId="56D5631F" w14:textId="722E131D" w:rsidR="00891A59" w:rsidRDefault="00891A59" w:rsidP="00891A59">
            <w:r>
              <w:t>-2</w:t>
            </w:r>
          </w:p>
        </w:tc>
        <w:tc>
          <w:tcPr>
            <w:tcW w:w="1088" w:type="dxa"/>
          </w:tcPr>
          <w:p w14:paraId="63A581B7" w14:textId="6CA02403" w:rsidR="00891A59" w:rsidRDefault="00891A59" w:rsidP="00891A59">
            <w:r>
              <w:t>2</w:t>
            </w:r>
          </w:p>
        </w:tc>
        <w:tc>
          <w:tcPr>
            <w:tcW w:w="1629" w:type="dxa"/>
          </w:tcPr>
          <w:p w14:paraId="1513BAA8" w14:textId="081B8CD4" w:rsidR="00891A59" w:rsidRDefault="00C83AA7" w:rsidP="00891A59">
            <w:r>
              <w:t>1.457</w:t>
            </w:r>
          </w:p>
        </w:tc>
        <w:tc>
          <w:tcPr>
            <w:tcW w:w="1022" w:type="dxa"/>
          </w:tcPr>
          <w:p w14:paraId="30EC7654" w14:textId="794EF252" w:rsidR="00891A59" w:rsidRDefault="00C83AA7" w:rsidP="00891A59">
            <w:r>
              <w:t>9.39</w:t>
            </w:r>
          </w:p>
        </w:tc>
      </w:tr>
    </w:tbl>
    <w:p w14:paraId="5C18B43A" w14:textId="7A345416" w:rsidR="008A0FDC" w:rsidRDefault="008A0FDC" w:rsidP="00CC4D95"/>
    <w:p w14:paraId="50DFC962" w14:textId="77777777" w:rsidR="008A0FDC" w:rsidRDefault="008A0FDC" w:rsidP="00CC4D95"/>
    <w:p w14:paraId="36E209FE" w14:textId="6FE45F0E" w:rsidR="008A0FDC" w:rsidRPr="002950F7" w:rsidRDefault="002950F7" w:rsidP="00CC4D95">
      <w:pPr>
        <w:rPr>
          <w:b/>
          <w:bCs/>
        </w:rPr>
      </w:pPr>
      <w:r w:rsidRPr="002950F7">
        <w:rPr>
          <w:b/>
          <w:bCs/>
        </w:rPr>
        <w:t>Alternative interpretations:</w:t>
      </w:r>
    </w:p>
    <w:p w14:paraId="36D418E1" w14:textId="77777777" w:rsidR="00140258" w:rsidRPr="002950F7" w:rsidRDefault="00140258" w:rsidP="00140258">
      <w:pPr>
        <w:rPr>
          <w:b/>
          <w:bCs/>
        </w:rPr>
      </w:pPr>
      <w:r w:rsidRPr="002950F7">
        <w:rPr>
          <w:b/>
          <w:bCs/>
        </w:rPr>
        <w:t xml:space="preserve">For instance, referring to specification (3), when ENV 1.2 is 2 standard deviations above its mean, the change in ratings is 14.146 (9.458 + 2 </w:t>
      </w:r>
      <w:r w:rsidRPr="002950F7">
        <w:rPr>
          <w:b/>
          <w:bCs/>
        </w:rPr>
        <w:sym w:font="Wingdings 2" w:char="F0CD"/>
      </w:r>
      <w:r w:rsidRPr="002950F7">
        <w:rPr>
          <w:b/>
          <w:bCs/>
        </w:rPr>
        <w:t xml:space="preserve">2.344 = 14.146), assuming all other controls exhibit their mean values. This means that a -1 to +1 standard deviation change in political quality is associated with a rating of approximately 28.29 notches higher (14.146 </w:t>
      </w:r>
      <w:r w:rsidRPr="002950F7">
        <w:rPr>
          <w:b/>
          <w:bCs/>
        </w:rPr>
        <w:sym w:font="Wingdings 2" w:char="F0CD"/>
      </w:r>
      <w:r w:rsidRPr="002950F7">
        <w:rPr>
          <w:b/>
          <w:bCs/>
        </w:rPr>
        <w:t xml:space="preserve">2) than the mean value. </w:t>
      </w:r>
    </w:p>
    <w:p w14:paraId="5C60341C" w14:textId="77777777" w:rsidR="0017372D" w:rsidRDefault="0017372D" w:rsidP="00CC4D95"/>
    <w:p w14:paraId="55A52A36" w14:textId="6444F4D5" w:rsidR="0017372D" w:rsidRPr="00CC4D95" w:rsidRDefault="0017372D" w:rsidP="00CC4D95"/>
    <w:sectPr w:rsidR="0017372D" w:rsidRPr="00CC4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FC"/>
    <w:rsid w:val="000032A0"/>
    <w:rsid w:val="000517AB"/>
    <w:rsid w:val="000B72D6"/>
    <w:rsid w:val="000F0C6E"/>
    <w:rsid w:val="00140258"/>
    <w:rsid w:val="0017372D"/>
    <w:rsid w:val="001B0482"/>
    <w:rsid w:val="001B1F7C"/>
    <w:rsid w:val="001F1589"/>
    <w:rsid w:val="00226224"/>
    <w:rsid w:val="002950F7"/>
    <w:rsid w:val="00342545"/>
    <w:rsid w:val="006A188E"/>
    <w:rsid w:val="00727F08"/>
    <w:rsid w:val="00852F58"/>
    <w:rsid w:val="00891A59"/>
    <w:rsid w:val="008A0FDC"/>
    <w:rsid w:val="008A6E7D"/>
    <w:rsid w:val="00943857"/>
    <w:rsid w:val="00964193"/>
    <w:rsid w:val="009C2062"/>
    <w:rsid w:val="009D5F0C"/>
    <w:rsid w:val="009D713B"/>
    <w:rsid w:val="009E78FB"/>
    <w:rsid w:val="00B14A11"/>
    <w:rsid w:val="00C83AA7"/>
    <w:rsid w:val="00CB5EA9"/>
    <w:rsid w:val="00CC4D95"/>
    <w:rsid w:val="00D871FC"/>
    <w:rsid w:val="00DB6E00"/>
    <w:rsid w:val="00DE4DD7"/>
    <w:rsid w:val="00E56185"/>
    <w:rsid w:val="00EE0BE3"/>
    <w:rsid w:val="00F66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07E0"/>
  <w15:chartTrackingRefBased/>
  <w15:docId w15:val="{36EC100E-FCE0-4102-BFC9-EA8445B1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1FC"/>
    <w:rPr>
      <w:rFonts w:eastAsiaTheme="majorEastAsia" w:cstheme="majorBidi"/>
      <w:color w:val="272727" w:themeColor="text1" w:themeTint="D8"/>
    </w:rPr>
  </w:style>
  <w:style w:type="paragraph" w:styleId="Title">
    <w:name w:val="Title"/>
    <w:basedOn w:val="Normal"/>
    <w:next w:val="Normal"/>
    <w:link w:val="TitleChar"/>
    <w:uiPriority w:val="10"/>
    <w:qFormat/>
    <w:rsid w:val="00D87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1FC"/>
    <w:pPr>
      <w:spacing w:before="160"/>
      <w:jc w:val="center"/>
    </w:pPr>
    <w:rPr>
      <w:i/>
      <w:iCs/>
      <w:color w:val="404040" w:themeColor="text1" w:themeTint="BF"/>
    </w:rPr>
  </w:style>
  <w:style w:type="character" w:customStyle="1" w:styleId="QuoteChar">
    <w:name w:val="Quote Char"/>
    <w:basedOn w:val="DefaultParagraphFont"/>
    <w:link w:val="Quote"/>
    <w:uiPriority w:val="29"/>
    <w:rsid w:val="00D871FC"/>
    <w:rPr>
      <w:i/>
      <w:iCs/>
      <w:color w:val="404040" w:themeColor="text1" w:themeTint="BF"/>
    </w:rPr>
  </w:style>
  <w:style w:type="paragraph" w:styleId="ListParagraph">
    <w:name w:val="List Paragraph"/>
    <w:basedOn w:val="Normal"/>
    <w:uiPriority w:val="34"/>
    <w:qFormat/>
    <w:rsid w:val="00D871FC"/>
    <w:pPr>
      <w:ind w:left="720"/>
      <w:contextualSpacing/>
    </w:pPr>
  </w:style>
  <w:style w:type="character" w:styleId="IntenseEmphasis">
    <w:name w:val="Intense Emphasis"/>
    <w:basedOn w:val="DefaultParagraphFont"/>
    <w:uiPriority w:val="21"/>
    <w:qFormat/>
    <w:rsid w:val="00D871FC"/>
    <w:rPr>
      <w:i/>
      <w:iCs/>
      <w:color w:val="0F4761" w:themeColor="accent1" w:themeShade="BF"/>
    </w:rPr>
  </w:style>
  <w:style w:type="paragraph" w:styleId="IntenseQuote">
    <w:name w:val="Intense Quote"/>
    <w:basedOn w:val="Normal"/>
    <w:next w:val="Normal"/>
    <w:link w:val="IntenseQuoteChar"/>
    <w:uiPriority w:val="30"/>
    <w:qFormat/>
    <w:rsid w:val="00D87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1FC"/>
    <w:rPr>
      <w:i/>
      <w:iCs/>
      <w:color w:val="0F4761" w:themeColor="accent1" w:themeShade="BF"/>
    </w:rPr>
  </w:style>
  <w:style w:type="character" w:styleId="IntenseReference">
    <w:name w:val="Intense Reference"/>
    <w:basedOn w:val="DefaultParagraphFont"/>
    <w:uiPriority w:val="32"/>
    <w:qFormat/>
    <w:rsid w:val="00D871FC"/>
    <w:rPr>
      <w:b/>
      <w:bCs/>
      <w:smallCaps/>
      <w:color w:val="0F4761" w:themeColor="accent1" w:themeShade="BF"/>
      <w:spacing w:val="5"/>
    </w:rPr>
  </w:style>
  <w:style w:type="paragraph" w:styleId="NormalWeb">
    <w:name w:val="Normal (Web)"/>
    <w:basedOn w:val="Normal"/>
    <w:uiPriority w:val="99"/>
    <w:semiHidden/>
    <w:unhideWhenUsed/>
    <w:rsid w:val="00CC4D9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6A1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188">
      <w:bodyDiv w:val="1"/>
      <w:marLeft w:val="0"/>
      <w:marRight w:val="0"/>
      <w:marTop w:val="0"/>
      <w:marBottom w:val="0"/>
      <w:divBdr>
        <w:top w:val="none" w:sz="0" w:space="0" w:color="auto"/>
        <w:left w:val="none" w:sz="0" w:space="0" w:color="auto"/>
        <w:bottom w:val="none" w:sz="0" w:space="0" w:color="auto"/>
        <w:right w:val="none" w:sz="0" w:space="0" w:color="auto"/>
      </w:divBdr>
    </w:div>
    <w:div w:id="440303173">
      <w:bodyDiv w:val="1"/>
      <w:marLeft w:val="0"/>
      <w:marRight w:val="0"/>
      <w:marTop w:val="0"/>
      <w:marBottom w:val="0"/>
      <w:divBdr>
        <w:top w:val="none" w:sz="0" w:space="0" w:color="auto"/>
        <w:left w:val="none" w:sz="0" w:space="0" w:color="auto"/>
        <w:bottom w:val="none" w:sz="0" w:space="0" w:color="auto"/>
        <w:right w:val="none" w:sz="0" w:space="0" w:color="auto"/>
      </w:divBdr>
      <w:divsChild>
        <w:div w:id="337853762">
          <w:marLeft w:val="0"/>
          <w:marRight w:val="0"/>
          <w:marTop w:val="0"/>
          <w:marBottom w:val="0"/>
          <w:divBdr>
            <w:top w:val="none" w:sz="0" w:space="0" w:color="auto"/>
            <w:left w:val="none" w:sz="0" w:space="0" w:color="auto"/>
            <w:bottom w:val="none" w:sz="0" w:space="0" w:color="auto"/>
            <w:right w:val="none" w:sz="0" w:space="0" w:color="auto"/>
          </w:divBdr>
          <w:divsChild>
            <w:div w:id="233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1943">
      <w:bodyDiv w:val="1"/>
      <w:marLeft w:val="0"/>
      <w:marRight w:val="0"/>
      <w:marTop w:val="0"/>
      <w:marBottom w:val="0"/>
      <w:divBdr>
        <w:top w:val="none" w:sz="0" w:space="0" w:color="auto"/>
        <w:left w:val="none" w:sz="0" w:space="0" w:color="auto"/>
        <w:bottom w:val="none" w:sz="0" w:space="0" w:color="auto"/>
        <w:right w:val="none" w:sz="0" w:space="0" w:color="auto"/>
      </w:divBdr>
      <w:divsChild>
        <w:div w:id="682516660">
          <w:marLeft w:val="0"/>
          <w:marRight w:val="0"/>
          <w:marTop w:val="0"/>
          <w:marBottom w:val="0"/>
          <w:divBdr>
            <w:top w:val="none" w:sz="0" w:space="0" w:color="auto"/>
            <w:left w:val="none" w:sz="0" w:space="0" w:color="auto"/>
            <w:bottom w:val="none" w:sz="0" w:space="0" w:color="auto"/>
            <w:right w:val="none" w:sz="0" w:space="0" w:color="auto"/>
          </w:divBdr>
          <w:divsChild>
            <w:div w:id="1873104033">
              <w:marLeft w:val="0"/>
              <w:marRight w:val="0"/>
              <w:marTop w:val="0"/>
              <w:marBottom w:val="0"/>
              <w:divBdr>
                <w:top w:val="none" w:sz="0" w:space="0" w:color="auto"/>
                <w:left w:val="none" w:sz="0" w:space="0" w:color="auto"/>
                <w:bottom w:val="none" w:sz="0" w:space="0" w:color="auto"/>
                <w:right w:val="none" w:sz="0" w:space="0" w:color="auto"/>
              </w:divBdr>
            </w:div>
            <w:div w:id="1358390632">
              <w:marLeft w:val="0"/>
              <w:marRight w:val="0"/>
              <w:marTop w:val="0"/>
              <w:marBottom w:val="0"/>
              <w:divBdr>
                <w:top w:val="none" w:sz="0" w:space="0" w:color="auto"/>
                <w:left w:val="none" w:sz="0" w:space="0" w:color="auto"/>
                <w:bottom w:val="none" w:sz="0" w:space="0" w:color="auto"/>
                <w:right w:val="none" w:sz="0" w:space="0" w:color="auto"/>
              </w:divBdr>
            </w:div>
            <w:div w:id="1966501638">
              <w:marLeft w:val="0"/>
              <w:marRight w:val="0"/>
              <w:marTop w:val="0"/>
              <w:marBottom w:val="0"/>
              <w:divBdr>
                <w:top w:val="none" w:sz="0" w:space="0" w:color="auto"/>
                <w:left w:val="none" w:sz="0" w:space="0" w:color="auto"/>
                <w:bottom w:val="none" w:sz="0" w:space="0" w:color="auto"/>
                <w:right w:val="none" w:sz="0" w:space="0" w:color="auto"/>
              </w:divBdr>
            </w:div>
            <w:div w:id="1753964745">
              <w:marLeft w:val="0"/>
              <w:marRight w:val="0"/>
              <w:marTop w:val="0"/>
              <w:marBottom w:val="0"/>
              <w:divBdr>
                <w:top w:val="none" w:sz="0" w:space="0" w:color="auto"/>
                <w:left w:val="none" w:sz="0" w:space="0" w:color="auto"/>
                <w:bottom w:val="none" w:sz="0" w:space="0" w:color="auto"/>
                <w:right w:val="none" w:sz="0" w:space="0" w:color="auto"/>
              </w:divBdr>
            </w:div>
            <w:div w:id="812020188">
              <w:marLeft w:val="0"/>
              <w:marRight w:val="0"/>
              <w:marTop w:val="0"/>
              <w:marBottom w:val="0"/>
              <w:divBdr>
                <w:top w:val="none" w:sz="0" w:space="0" w:color="auto"/>
                <w:left w:val="none" w:sz="0" w:space="0" w:color="auto"/>
                <w:bottom w:val="none" w:sz="0" w:space="0" w:color="auto"/>
                <w:right w:val="none" w:sz="0" w:space="0" w:color="auto"/>
              </w:divBdr>
            </w:div>
            <w:div w:id="928927456">
              <w:marLeft w:val="0"/>
              <w:marRight w:val="0"/>
              <w:marTop w:val="0"/>
              <w:marBottom w:val="0"/>
              <w:divBdr>
                <w:top w:val="none" w:sz="0" w:space="0" w:color="auto"/>
                <w:left w:val="none" w:sz="0" w:space="0" w:color="auto"/>
                <w:bottom w:val="none" w:sz="0" w:space="0" w:color="auto"/>
                <w:right w:val="none" w:sz="0" w:space="0" w:color="auto"/>
              </w:divBdr>
            </w:div>
            <w:div w:id="32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Burke</dc:creator>
  <cp:keywords/>
  <dc:description/>
  <cp:lastModifiedBy>Matt Burke</cp:lastModifiedBy>
  <cp:revision>15</cp:revision>
  <dcterms:created xsi:type="dcterms:W3CDTF">2024-01-12T11:58:00Z</dcterms:created>
  <dcterms:modified xsi:type="dcterms:W3CDTF">2024-01-12T17:20:00Z</dcterms:modified>
</cp:coreProperties>
</file>