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2AB" w:rsidRDefault="00C71C1A">
      <w:pPr>
        <w:rPr>
          <w:b/>
        </w:rPr>
      </w:pPr>
      <w:r w:rsidRPr="00C71C1A">
        <w:rPr>
          <w:b/>
        </w:rPr>
        <w:t>Introduction</w:t>
      </w:r>
    </w:p>
    <w:p w:rsidR="00C71C1A" w:rsidRPr="00C71C1A" w:rsidRDefault="00C71C1A" w:rsidP="00F3695C">
      <w:pPr>
        <w:spacing w:line="480" w:lineRule="auto"/>
      </w:pPr>
      <w:r>
        <w:tab/>
        <w:t>I will be analyzing data collected by the National Opinion Research Center at the University of Chicago for the Gambling Impact and Behavior Study – Community Database.  The data were collected from 1998-1999 under contract to the National Gambling Impact Study Commission.</w:t>
      </w:r>
      <w:r w:rsidR="001871C7">
        <w:t xml:space="preserve">  I will be analyzing the community database which consisted of 100 communities selected through a simple random sample of populations of 10,000 or more residents stratified for distance to casinos and the presence of legal gambling.  This database also includes information from 1</w:t>
      </w:r>
      <w:r w:rsidR="005A4DBB">
        <w:t>980-1996.  I will be analyzi</w:t>
      </w:r>
      <w:r w:rsidR="00135968">
        <w:t xml:space="preserve">ng and comparing two variables, </w:t>
      </w:r>
      <w:r w:rsidR="005A4DBB">
        <w:t xml:space="preserve">per capita casino spending and </w:t>
      </w:r>
      <w:r w:rsidR="00921A39">
        <w:t>availability of casino within 50 miles</w:t>
      </w:r>
      <w:r w:rsidR="005A4DBB">
        <w:t xml:space="preserve">, for the years 1980 and 1997 to see what changes have occurred over time. </w:t>
      </w:r>
    </w:p>
    <w:p w:rsidR="00C71C1A" w:rsidRDefault="00C71C1A" w:rsidP="00F3695C">
      <w:pPr>
        <w:spacing w:line="480" w:lineRule="auto"/>
        <w:rPr>
          <w:b/>
        </w:rPr>
      </w:pPr>
      <w:r w:rsidRPr="00C71C1A">
        <w:rPr>
          <w:b/>
        </w:rPr>
        <w:t>Data</w:t>
      </w:r>
      <w:r w:rsidR="001660D6">
        <w:rPr>
          <w:b/>
        </w:rPr>
        <w:t xml:space="preserve"> and Results</w:t>
      </w:r>
    </w:p>
    <w:p w:rsidR="006E7C84" w:rsidRPr="006E7C84" w:rsidRDefault="006E7C84" w:rsidP="00F3695C">
      <w:pPr>
        <w:spacing w:line="480" w:lineRule="auto"/>
        <w:rPr>
          <w:i/>
          <w:sz w:val="20"/>
          <w:szCs w:val="20"/>
        </w:rPr>
      </w:pPr>
      <w:r w:rsidRPr="006E7C84">
        <w:rPr>
          <w:i/>
          <w:sz w:val="20"/>
          <w:szCs w:val="20"/>
        </w:rPr>
        <w:t>Per Capita Casino Spending</w:t>
      </w:r>
    </w:p>
    <w:p w:rsidR="00CE7D69" w:rsidRDefault="007E1665" w:rsidP="006E7C84">
      <w:pPr>
        <w:spacing w:line="480" w:lineRule="auto"/>
        <w:ind w:firstLine="720"/>
      </w:pPr>
      <w:r w:rsidRPr="007E1665">
        <w:rPr>
          <w:u w:val="single"/>
        </w:rPr>
        <w:t>[A]</w:t>
      </w:r>
      <w:r>
        <w:t xml:space="preserve"> </w:t>
      </w:r>
      <w:r w:rsidR="00845866">
        <w:t>Missing values were recoded</w:t>
      </w:r>
      <w:r w:rsidR="00586E06">
        <w:t xml:space="preserve"> to the missing value ‘.’ in SAS for</w:t>
      </w:r>
      <w:r w:rsidR="00845866">
        <w:t xml:space="preserve"> the variables I will be using which are per capita casino spending (</w:t>
      </w:r>
      <w:proofErr w:type="spellStart"/>
      <w:r w:rsidR="00845866">
        <w:t>CASSPEND</w:t>
      </w:r>
      <w:proofErr w:type="spellEnd"/>
      <w:r w:rsidR="00845866">
        <w:t>) and availability of casino within 50 miles (</w:t>
      </w:r>
      <w:proofErr w:type="spellStart"/>
      <w:r w:rsidR="00845866">
        <w:t>CASIND</w:t>
      </w:r>
      <w:proofErr w:type="spellEnd"/>
      <w:r w:rsidR="00845866">
        <w:t>) to suit the purposes of my analysis.</w:t>
      </w:r>
      <w:r w:rsidR="0032531C">
        <w:t xml:space="preserve">  </w:t>
      </w:r>
      <w:r w:rsidR="00F6725A">
        <w:t xml:space="preserve">Table 1 shows a comparison </w:t>
      </w:r>
      <w:r w:rsidR="00EC4D1F">
        <w:t xml:space="preserve">of </w:t>
      </w:r>
      <w:r w:rsidR="00727EA3">
        <w:t>per capita casino spending</w:t>
      </w:r>
      <w:r w:rsidR="001C77D0">
        <w:t xml:space="preserve"> for</w:t>
      </w:r>
      <w:r w:rsidR="00F6725A">
        <w:t xml:space="preserve"> years 1980 and 1997.</w:t>
      </w:r>
      <w:r w:rsidR="00EC4D1F">
        <w:t xml:space="preserve">  Running a check for</w:t>
      </w:r>
      <w:r w:rsidR="00DD7655">
        <w:t xml:space="preserve"> skewed data points</w:t>
      </w:r>
      <w:r w:rsidR="005F2CAD">
        <w:t xml:space="preserve"> for 1980</w:t>
      </w:r>
      <w:r w:rsidR="00DD7655">
        <w:t xml:space="preserve">, there are four cases (178.13, 178.13, </w:t>
      </w:r>
      <w:r w:rsidR="00EC4D1F">
        <w:t>66.61</w:t>
      </w:r>
      <w:r w:rsidR="00DD7655">
        <w:t>, and 41.2291</w:t>
      </w:r>
      <w:r w:rsidR="00EC4D1F">
        <w:t>) which are greater than 1.5IQR</w:t>
      </w:r>
      <w:r w:rsidR="00DD7655">
        <w:t>.</w:t>
      </w:r>
      <w:r w:rsidR="00D9733F">
        <w:t xml:space="preserve">  Looking at Table 1, the mean and median for per capita spending is greater in 1997 compared to 1980.</w:t>
      </w:r>
      <w:r w:rsidR="008714EF">
        <w:t xml:space="preserve">  </w:t>
      </w:r>
      <w:r w:rsidR="002C6F9B">
        <w:rPr>
          <w:u w:val="single"/>
        </w:rPr>
        <w:t>[A2]</w:t>
      </w:r>
      <w:r w:rsidR="002C6F9B">
        <w:t xml:space="preserve">  With 95% confidence, the mean for the population in 1980 is between 12.703 and 22.533.  </w:t>
      </w:r>
      <w:r w:rsidR="002C6F9B">
        <w:rPr>
          <w:u w:val="single"/>
        </w:rPr>
        <w:t>[A2]</w:t>
      </w:r>
      <w:r w:rsidR="002C6F9B">
        <w:t xml:space="preserve">  Also, w</w:t>
      </w:r>
      <w:r w:rsidR="008714EF">
        <w:t>ith 95% confidence, the mean for the population</w:t>
      </w:r>
      <w:r w:rsidR="002C6F9B">
        <w:t xml:space="preserve"> in 1997</w:t>
      </w:r>
      <w:r w:rsidR="008714EF">
        <w:t xml:space="preserve"> is between </w:t>
      </w:r>
      <w:r w:rsidR="00FD7E50">
        <w:t xml:space="preserve">139.541 </w:t>
      </w:r>
      <w:r w:rsidR="008714EF">
        <w:t xml:space="preserve">and </w:t>
      </w:r>
      <w:r w:rsidR="00FD7E50">
        <w:t xml:space="preserve">198.04.  </w:t>
      </w:r>
      <w:r w:rsidR="007C77B6">
        <w:t>With 95% confidence, there is</w:t>
      </w:r>
      <w:r w:rsidR="008714EF">
        <w:t xml:space="preserve"> an increase in </w:t>
      </w:r>
      <w:r w:rsidR="003545F0">
        <w:t xml:space="preserve">the mean for </w:t>
      </w:r>
      <w:r w:rsidR="008714EF">
        <w:t>per capita spending from 1980 to 1997.</w:t>
      </w:r>
      <w:r w:rsidR="002C6F9B">
        <w:t xml:space="preserve">  These changes may correspond to the variable that will be analyzed below.</w:t>
      </w:r>
    </w:p>
    <w:p w:rsidR="003545F0" w:rsidRDefault="003545F0" w:rsidP="00F3695C">
      <w:pPr>
        <w:spacing w:line="480" w:lineRule="auto"/>
      </w:pPr>
    </w:p>
    <w:p w:rsidR="00845CE6" w:rsidRDefault="00845CE6">
      <w:r>
        <w:lastRenderedPageBreak/>
        <w:t>Table 1</w:t>
      </w:r>
      <w:r w:rsidR="00AA6E49">
        <w:t xml:space="preserve"> – Per Capita Casino Spending</w:t>
      </w:r>
      <w:r w:rsidR="001C77D0" w:rsidRPr="001C77D0">
        <w:t xml:space="preserve"> </w:t>
      </w:r>
      <w:r w:rsidR="001C77D0" w:rsidRPr="001C77D0">
        <w:rPr>
          <w:u w:val="single"/>
        </w:rPr>
        <w:t>[A1]</w:t>
      </w:r>
    </w:p>
    <w:tbl>
      <w:tblPr>
        <w:tblStyle w:val="MediumShading2-Accent5"/>
        <w:tblW w:w="3750" w:type="pct"/>
        <w:tblLook w:val="0660" w:firstRow="1" w:lastRow="1" w:firstColumn="0" w:lastColumn="0" w:noHBand="1" w:noVBand="1"/>
      </w:tblPr>
      <w:tblGrid>
        <w:gridCol w:w="2395"/>
        <w:gridCol w:w="2394"/>
        <w:gridCol w:w="2393"/>
      </w:tblGrid>
      <w:tr w:rsidR="00845CE6" w:rsidTr="00AA6E49">
        <w:trPr>
          <w:cnfStyle w:val="100000000000" w:firstRow="1" w:lastRow="0" w:firstColumn="0" w:lastColumn="0" w:oddVBand="0" w:evenVBand="0" w:oddHBand="0" w:evenHBand="0" w:firstRowFirstColumn="0" w:firstRowLastColumn="0" w:lastRowFirstColumn="0" w:lastRowLastColumn="0"/>
        </w:trPr>
        <w:tc>
          <w:tcPr>
            <w:tcW w:w="1667" w:type="pct"/>
            <w:noWrap/>
          </w:tcPr>
          <w:p w:rsidR="00845CE6" w:rsidRDefault="00845CE6"/>
        </w:tc>
        <w:tc>
          <w:tcPr>
            <w:tcW w:w="1667" w:type="pct"/>
          </w:tcPr>
          <w:p w:rsidR="00845CE6" w:rsidRDefault="00845CE6">
            <w:r>
              <w:t>1980</w:t>
            </w:r>
          </w:p>
        </w:tc>
        <w:tc>
          <w:tcPr>
            <w:tcW w:w="1666" w:type="pct"/>
          </w:tcPr>
          <w:p w:rsidR="00845CE6" w:rsidRDefault="00845CE6">
            <w:r>
              <w:t>1997</w:t>
            </w:r>
          </w:p>
        </w:tc>
      </w:tr>
      <w:tr w:rsidR="00845CE6" w:rsidTr="00AA6E49">
        <w:tc>
          <w:tcPr>
            <w:tcW w:w="1667" w:type="pct"/>
            <w:tcBorders>
              <w:bottom w:val="nil"/>
            </w:tcBorders>
            <w:noWrap/>
          </w:tcPr>
          <w:p w:rsidR="00845CE6" w:rsidRDefault="00845CE6"/>
        </w:tc>
        <w:tc>
          <w:tcPr>
            <w:tcW w:w="1667" w:type="pct"/>
            <w:tcBorders>
              <w:bottom w:val="nil"/>
            </w:tcBorders>
          </w:tcPr>
          <w:p w:rsidR="00845CE6" w:rsidRDefault="00845CE6">
            <w:pPr>
              <w:rPr>
                <w:rStyle w:val="SubtleEmphasis"/>
              </w:rPr>
            </w:pPr>
          </w:p>
        </w:tc>
        <w:tc>
          <w:tcPr>
            <w:tcW w:w="1666" w:type="pct"/>
            <w:tcBorders>
              <w:bottom w:val="nil"/>
            </w:tcBorders>
          </w:tcPr>
          <w:p w:rsidR="00845CE6" w:rsidRDefault="00845CE6"/>
        </w:tc>
      </w:tr>
      <w:tr w:rsidR="00845CE6" w:rsidTr="00AA6E49">
        <w:tc>
          <w:tcPr>
            <w:tcW w:w="1667" w:type="pct"/>
            <w:tcBorders>
              <w:top w:val="nil"/>
              <w:left w:val="nil"/>
              <w:bottom w:val="single" w:sz="4" w:space="0" w:color="auto"/>
              <w:right w:val="single" w:sz="4" w:space="0" w:color="auto"/>
            </w:tcBorders>
            <w:noWrap/>
          </w:tcPr>
          <w:p w:rsidR="00845CE6" w:rsidRDefault="00CD6E21">
            <w:r>
              <w:t># Observations</w:t>
            </w:r>
          </w:p>
        </w:tc>
        <w:tc>
          <w:tcPr>
            <w:tcW w:w="1667" w:type="pct"/>
            <w:tcBorders>
              <w:top w:val="nil"/>
              <w:left w:val="single" w:sz="4" w:space="0" w:color="auto"/>
              <w:bottom w:val="single" w:sz="4" w:space="0" w:color="auto"/>
              <w:right w:val="single" w:sz="4" w:space="0" w:color="auto"/>
            </w:tcBorders>
          </w:tcPr>
          <w:p w:rsidR="00845CE6" w:rsidRDefault="00CD6E21" w:rsidP="00DD2F98">
            <w:pPr>
              <w:pStyle w:val="DecimalAligned"/>
              <w:jc w:val="center"/>
            </w:pPr>
            <w:r>
              <w:t>100</w:t>
            </w:r>
          </w:p>
        </w:tc>
        <w:tc>
          <w:tcPr>
            <w:tcW w:w="1666" w:type="pct"/>
            <w:tcBorders>
              <w:top w:val="nil"/>
              <w:left w:val="single" w:sz="4" w:space="0" w:color="auto"/>
              <w:bottom w:val="single" w:sz="4" w:space="0" w:color="auto"/>
              <w:right w:val="nil"/>
            </w:tcBorders>
          </w:tcPr>
          <w:p w:rsidR="00845CE6" w:rsidRDefault="00DD2F98" w:rsidP="00DD2F98">
            <w:pPr>
              <w:pStyle w:val="DecimalAligned"/>
              <w:jc w:val="center"/>
            </w:pPr>
            <w:r>
              <w:t>100</w:t>
            </w:r>
          </w:p>
        </w:tc>
      </w:tr>
      <w:tr w:rsidR="00845CE6" w:rsidTr="00AA6E49">
        <w:tc>
          <w:tcPr>
            <w:tcW w:w="1667" w:type="pct"/>
            <w:tcBorders>
              <w:top w:val="single" w:sz="4" w:space="0" w:color="auto"/>
              <w:left w:val="nil"/>
              <w:bottom w:val="single" w:sz="4" w:space="0" w:color="auto"/>
              <w:right w:val="single" w:sz="4" w:space="0" w:color="auto"/>
            </w:tcBorders>
            <w:noWrap/>
          </w:tcPr>
          <w:p w:rsidR="00845CE6" w:rsidRDefault="00CD6E21">
            <w:r>
              <w:t>Mean</w:t>
            </w:r>
          </w:p>
        </w:tc>
        <w:tc>
          <w:tcPr>
            <w:tcW w:w="1667" w:type="pct"/>
            <w:tcBorders>
              <w:top w:val="single" w:sz="4" w:space="0" w:color="auto"/>
              <w:left w:val="single" w:sz="4" w:space="0" w:color="auto"/>
              <w:bottom w:val="single" w:sz="4" w:space="0" w:color="auto"/>
              <w:right w:val="single" w:sz="4" w:space="0" w:color="auto"/>
            </w:tcBorders>
          </w:tcPr>
          <w:p w:rsidR="00845CE6" w:rsidRDefault="00CD6E21" w:rsidP="00DD2F98">
            <w:pPr>
              <w:pStyle w:val="DecimalAligned"/>
              <w:jc w:val="center"/>
            </w:pPr>
            <w:r>
              <w:t>17.618</w:t>
            </w:r>
          </w:p>
        </w:tc>
        <w:tc>
          <w:tcPr>
            <w:tcW w:w="1666" w:type="pct"/>
            <w:tcBorders>
              <w:top w:val="single" w:sz="4" w:space="0" w:color="auto"/>
              <w:left w:val="single" w:sz="4" w:space="0" w:color="auto"/>
              <w:bottom w:val="single" w:sz="4" w:space="0" w:color="auto"/>
              <w:right w:val="nil"/>
            </w:tcBorders>
          </w:tcPr>
          <w:p w:rsidR="00845CE6" w:rsidRDefault="00DD2F98" w:rsidP="00DD2F98">
            <w:pPr>
              <w:pStyle w:val="DecimalAligned"/>
              <w:jc w:val="center"/>
            </w:pPr>
            <w:r>
              <w:t>168.791</w:t>
            </w:r>
          </w:p>
        </w:tc>
      </w:tr>
      <w:tr w:rsidR="00845CE6" w:rsidTr="00AA6E49">
        <w:tc>
          <w:tcPr>
            <w:tcW w:w="1667" w:type="pct"/>
            <w:tcBorders>
              <w:top w:val="single" w:sz="4" w:space="0" w:color="auto"/>
              <w:left w:val="nil"/>
              <w:bottom w:val="single" w:sz="4" w:space="0" w:color="auto"/>
              <w:right w:val="single" w:sz="4" w:space="0" w:color="auto"/>
            </w:tcBorders>
            <w:noWrap/>
          </w:tcPr>
          <w:p w:rsidR="00845CE6" w:rsidRDefault="00CD6E21">
            <w:r>
              <w:t>Median</w:t>
            </w:r>
            <w:r w:rsidR="00845CE6">
              <w:t xml:space="preserve"> </w:t>
            </w:r>
          </w:p>
        </w:tc>
        <w:tc>
          <w:tcPr>
            <w:tcW w:w="1667" w:type="pct"/>
            <w:tcBorders>
              <w:top w:val="single" w:sz="4" w:space="0" w:color="auto"/>
              <w:left w:val="single" w:sz="4" w:space="0" w:color="auto"/>
              <w:bottom w:val="single" w:sz="4" w:space="0" w:color="auto"/>
              <w:right w:val="single" w:sz="4" w:space="0" w:color="auto"/>
            </w:tcBorders>
          </w:tcPr>
          <w:p w:rsidR="00845CE6" w:rsidRDefault="00CD6E21" w:rsidP="00DD2F98">
            <w:pPr>
              <w:pStyle w:val="DecimalAligned"/>
              <w:jc w:val="center"/>
            </w:pPr>
            <w:r>
              <w:t>11.720</w:t>
            </w:r>
          </w:p>
        </w:tc>
        <w:tc>
          <w:tcPr>
            <w:tcW w:w="1666" w:type="pct"/>
            <w:tcBorders>
              <w:top w:val="single" w:sz="4" w:space="0" w:color="auto"/>
              <w:left w:val="single" w:sz="4" w:space="0" w:color="auto"/>
              <w:bottom w:val="single" w:sz="4" w:space="0" w:color="auto"/>
              <w:right w:val="nil"/>
            </w:tcBorders>
          </w:tcPr>
          <w:p w:rsidR="00845CE6" w:rsidRDefault="00DD2F98" w:rsidP="00DD2F98">
            <w:pPr>
              <w:pStyle w:val="DecimalAligned"/>
              <w:jc w:val="center"/>
            </w:pPr>
            <w:r>
              <w:t>103.607</w:t>
            </w:r>
          </w:p>
        </w:tc>
      </w:tr>
      <w:tr w:rsidR="00845CE6" w:rsidTr="00AA6E49">
        <w:tc>
          <w:tcPr>
            <w:tcW w:w="1667" w:type="pct"/>
            <w:tcBorders>
              <w:top w:val="single" w:sz="4" w:space="0" w:color="auto"/>
              <w:left w:val="nil"/>
              <w:bottom w:val="single" w:sz="4" w:space="0" w:color="auto"/>
              <w:right w:val="single" w:sz="4" w:space="0" w:color="auto"/>
            </w:tcBorders>
            <w:noWrap/>
          </w:tcPr>
          <w:p w:rsidR="00845CE6" w:rsidRDefault="00CD6E21">
            <w:r>
              <w:t>Mode</w:t>
            </w:r>
          </w:p>
        </w:tc>
        <w:tc>
          <w:tcPr>
            <w:tcW w:w="1667" w:type="pct"/>
            <w:tcBorders>
              <w:top w:val="single" w:sz="4" w:space="0" w:color="auto"/>
              <w:left w:val="single" w:sz="4" w:space="0" w:color="auto"/>
              <w:bottom w:val="single" w:sz="4" w:space="0" w:color="auto"/>
              <w:right w:val="single" w:sz="4" w:space="0" w:color="auto"/>
            </w:tcBorders>
          </w:tcPr>
          <w:p w:rsidR="00845CE6" w:rsidRDefault="00CD6E21" w:rsidP="00DD2F98">
            <w:pPr>
              <w:pStyle w:val="DecimalAligned"/>
              <w:jc w:val="center"/>
            </w:pPr>
            <w:r>
              <w:t>8.423</w:t>
            </w:r>
          </w:p>
        </w:tc>
        <w:tc>
          <w:tcPr>
            <w:tcW w:w="1666" w:type="pct"/>
            <w:tcBorders>
              <w:top w:val="single" w:sz="4" w:space="0" w:color="auto"/>
              <w:left w:val="single" w:sz="4" w:space="0" w:color="auto"/>
              <w:bottom w:val="single" w:sz="4" w:space="0" w:color="auto"/>
              <w:right w:val="nil"/>
            </w:tcBorders>
          </w:tcPr>
          <w:p w:rsidR="00845CE6" w:rsidRDefault="00DD2F98" w:rsidP="00DD2F98">
            <w:pPr>
              <w:pStyle w:val="DecimalAligned"/>
              <w:jc w:val="center"/>
            </w:pPr>
            <w:r>
              <w:t>37.351</w:t>
            </w:r>
          </w:p>
        </w:tc>
      </w:tr>
      <w:tr w:rsidR="00845CE6" w:rsidTr="00AA6E49">
        <w:trPr>
          <w:trHeight w:val="278"/>
        </w:trPr>
        <w:tc>
          <w:tcPr>
            <w:tcW w:w="1667" w:type="pct"/>
            <w:tcBorders>
              <w:top w:val="single" w:sz="4" w:space="0" w:color="auto"/>
              <w:left w:val="nil"/>
              <w:bottom w:val="nil"/>
              <w:right w:val="single" w:sz="4" w:space="0" w:color="auto"/>
            </w:tcBorders>
            <w:noWrap/>
          </w:tcPr>
          <w:p w:rsidR="00CD6E21" w:rsidRDefault="00CD6E21">
            <w:r>
              <w:t>Max</w:t>
            </w:r>
          </w:p>
        </w:tc>
        <w:tc>
          <w:tcPr>
            <w:tcW w:w="1667" w:type="pct"/>
            <w:tcBorders>
              <w:top w:val="single" w:sz="4" w:space="0" w:color="auto"/>
              <w:left w:val="single" w:sz="4" w:space="0" w:color="auto"/>
              <w:bottom w:val="nil"/>
              <w:right w:val="single" w:sz="4" w:space="0" w:color="auto"/>
            </w:tcBorders>
          </w:tcPr>
          <w:p w:rsidR="00CD6E21" w:rsidRDefault="00EC4D1F" w:rsidP="00DD2F98">
            <w:pPr>
              <w:pStyle w:val="DecimalAligned"/>
              <w:jc w:val="center"/>
            </w:pPr>
            <w:r>
              <w:t>178.13</w:t>
            </w:r>
          </w:p>
        </w:tc>
        <w:tc>
          <w:tcPr>
            <w:tcW w:w="1666" w:type="pct"/>
            <w:tcBorders>
              <w:top w:val="single" w:sz="4" w:space="0" w:color="auto"/>
              <w:left w:val="single" w:sz="4" w:space="0" w:color="auto"/>
              <w:bottom w:val="nil"/>
              <w:right w:val="nil"/>
            </w:tcBorders>
          </w:tcPr>
          <w:p w:rsidR="00CD6E21" w:rsidRDefault="00DD2F98" w:rsidP="00DD2F98">
            <w:pPr>
              <w:pStyle w:val="DecimalAligned"/>
              <w:jc w:val="center"/>
            </w:pPr>
            <w:r>
              <w:t>597.27</w:t>
            </w:r>
          </w:p>
        </w:tc>
      </w:tr>
      <w:tr w:rsidR="00AA6E49" w:rsidTr="00AA6E49">
        <w:trPr>
          <w:cnfStyle w:val="010000000000" w:firstRow="0" w:lastRow="1" w:firstColumn="0" w:lastColumn="0" w:oddVBand="0" w:evenVBand="0" w:oddHBand="0" w:evenHBand="0" w:firstRowFirstColumn="0" w:firstRowLastColumn="0" w:lastRowFirstColumn="0" w:lastRowLastColumn="0"/>
        </w:trPr>
        <w:tc>
          <w:tcPr>
            <w:tcW w:w="1667" w:type="pct"/>
            <w:tcBorders>
              <w:top w:val="single" w:sz="4" w:space="0" w:color="auto"/>
              <w:bottom w:val="nil"/>
              <w:right w:val="single" w:sz="4" w:space="0" w:color="auto"/>
            </w:tcBorders>
            <w:noWrap/>
          </w:tcPr>
          <w:p w:rsidR="00AA6E49" w:rsidRDefault="00AA6E49">
            <w:r>
              <w:t>Min</w:t>
            </w:r>
          </w:p>
        </w:tc>
        <w:tc>
          <w:tcPr>
            <w:tcW w:w="1667" w:type="pct"/>
            <w:tcBorders>
              <w:top w:val="single" w:sz="4" w:space="0" w:color="auto"/>
              <w:left w:val="single" w:sz="4" w:space="0" w:color="auto"/>
              <w:bottom w:val="nil"/>
              <w:right w:val="single" w:sz="4" w:space="0" w:color="auto"/>
            </w:tcBorders>
          </w:tcPr>
          <w:p w:rsidR="00AA6E49" w:rsidRDefault="00EC4D1F" w:rsidP="00DD2F98">
            <w:pPr>
              <w:pStyle w:val="DecimalAligned"/>
              <w:jc w:val="center"/>
            </w:pPr>
            <w:r>
              <w:t>4.84</w:t>
            </w:r>
          </w:p>
        </w:tc>
        <w:tc>
          <w:tcPr>
            <w:tcW w:w="1666" w:type="pct"/>
            <w:tcBorders>
              <w:top w:val="single" w:sz="4" w:space="0" w:color="auto"/>
              <w:left w:val="single" w:sz="4" w:space="0" w:color="auto"/>
              <w:bottom w:val="nil"/>
            </w:tcBorders>
          </w:tcPr>
          <w:p w:rsidR="00AA6E49" w:rsidRDefault="00DD2F98" w:rsidP="00DD2F98">
            <w:pPr>
              <w:pStyle w:val="DecimalAligned"/>
              <w:jc w:val="center"/>
            </w:pPr>
            <w:r>
              <w:t>19.06</w:t>
            </w:r>
          </w:p>
        </w:tc>
      </w:tr>
    </w:tbl>
    <w:p w:rsidR="00F6725A" w:rsidRDefault="00F6725A" w:rsidP="00F3695C">
      <w:pPr>
        <w:spacing w:line="480" w:lineRule="auto"/>
      </w:pPr>
    </w:p>
    <w:p w:rsidR="006E7C84" w:rsidRDefault="00121392" w:rsidP="00641C85">
      <w:pPr>
        <w:spacing w:before="240" w:line="480" w:lineRule="auto"/>
        <w:ind w:firstLine="720"/>
      </w:pPr>
      <w:r w:rsidRPr="00121392">
        <w:rPr>
          <w:u w:val="single"/>
        </w:rPr>
        <w:t>[B1]</w:t>
      </w:r>
      <w:r>
        <w:t xml:space="preserve">  </w:t>
      </w:r>
      <w:r w:rsidR="006E7C84">
        <w:t xml:space="preserve">For per capita casino spending, we assume that the sample is random, that this is a quantitative measurement, and that the sample of 100 communities is large enough to make generalizations about the population.  Testing the hypothesis that the average per capita casino spending in American communities is at least $50 for </w:t>
      </w:r>
      <w:proofErr w:type="gramStart"/>
      <w:r w:rsidR="006E7C84">
        <w:t>1980,</w:t>
      </w:r>
      <w:proofErr w:type="gramEnd"/>
      <w:r w:rsidR="006E7C84">
        <w:t xml:space="preserve"> let H</w:t>
      </w:r>
      <w:r w:rsidR="006E7C84">
        <w:rPr>
          <w:vertAlign w:val="subscript"/>
        </w:rPr>
        <w:t>0</w:t>
      </w:r>
      <w:r w:rsidR="008E4E2D">
        <w:t xml:space="preserve">: </w:t>
      </w:r>
      <w:r w:rsidR="006E7C84">
        <w:t xml:space="preserve"> </w:t>
      </w:r>
      <w:r w:rsidR="006E7C84" w:rsidRPr="006E7C84">
        <w:t>μ</w:t>
      </w:r>
      <w:r w:rsidR="006E7C84">
        <w:t xml:space="preserve"> &gt;= $50 and H</w:t>
      </w:r>
      <w:r w:rsidR="006E7C84">
        <w:rPr>
          <w:vertAlign w:val="subscript"/>
        </w:rPr>
        <w:t>a</w:t>
      </w:r>
      <w:r w:rsidR="008E4E2D">
        <w:t>:</w:t>
      </w:r>
      <w:r w:rsidR="006E7C84">
        <w:t xml:space="preserve"> </w:t>
      </w:r>
      <w:r w:rsidR="006E7C84" w:rsidRPr="006E7C84">
        <w:t>μ</w:t>
      </w:r>
      <w:r w:rsidR="006E7C84">
        <w:t xml:space="preserve"> &lt; $50.</w:t>
      </w:r>
      <w:r w:rsidR="00DA5A20">
        <w:t xml:space="preserve">  The </w:t>
      </w:r>
      <w:r w:rsidR="00385B5E">
        <w:t xml:space="preserve">t-value is -13.073 and the </w:t>
      </w:r>
      <w:r w:rsidR="00DA5A20">
        <w:t>P-Value is less than 0.0</w:t>
      </w:r>
      <w:r w:rsidR="00385B5E">
        <w:t>0</w:t>
      </w:r>
      <w:r w:rsidR="00DA5A20">
        <w:t xml:space="preserve">1 </w:t>
      </w:r>
      <w:r w:rsidR="00385B5E">
        <w:t xml:space="preserve">so </w:t>
      </w:r>
      <w:r w:rsidR="00DA5A20">
        <w:t xml:space="preserve">we would reject the null hypothesis and accept the alternative hypothesis.  </w:t>
      </w:r>
      <w:r w:rsidR="00385B5E">
        <w:t>This means that there is less than a 0.001 chance that the mean is greater than $50 or in other words,</w:t>
      </w:r>
      <w:r w:rsidR="00AD6FB3">
        <w:t xml:space="preserve"> there is little chance that</w:t>
      </w:r>
      <w:r w:rsidR="00385B5E">
        <w:t xml:space="preserve"> the population per capita casino spending mean in 1980 would have been </w:t>
      </w:r>
      <w:r w:rsidR="00AD6FB3">
        <w:t>greater than</w:t>
      </w:r>
      <w:r w:rsidR="00385B5E">
        <w:t xml:space="preserve"> $50.  </w:t>
      </w:r>
      <w:r w:rsidR="00DA5A20">
        <w:t xml:space="preserve">Running the same test for 1997 </w:t>
      </w:r>
      <w:r w:rsidR="005D5930">
        <w:t xml:space="preserve">with the same assumptions as in 1980, </w:t>
      </w:r>
      <w:r w:rsidR="00DA5A20">
        <w:t>where H</w:t>
      </w:r>
      <w:r w:rsidR="00DA5A20">
        <w:rPr>
          <w:vertAlign w:val="subscript"/>
        </w:rPr>
        <w:t>0</w:t>
      </w:r>
      <w:r w:rsidR="008E4E2D">
        <w:t xml:space="preserve">: </w:t>
      </w:r>
      <w:r w:rsidR="00DA5A20">
        <w:t xml:space="preserve"> </w:t>
      </w:r>
      <w:r w:rsidR="00DA5A20" w:rsidRPr="006E7C84">
        <w:t>μ</w:t>
      </w:r>
      <w:r w:rsidR="00DA5A20">
        <w:t xml:space="preserve"> &gt;= $50 and H</w:t>
      </w:r>
      <w:r w:rsidR="00DA5A20">
        <w:rPr>
          <w:vertAlign w:val="subscript"/>
        </w:rPr>
        <w:t>a</w:t>
      </w:r>
      <w:r w:rsidR="008E4E2D">
        <w:t xml:space="preserve">: </w:t>
      </w:r>
      <w:r w:rsidR="00DA5A20" w:rsidRPr="006E7C84">
        <w:t>μ</w:t>
      </w:r>
      <w:r w:rsidR="00DA5A20">
        <w:t xml:space="preserve"> &lt; $50, the </w:t>
      </w:r>
      <w:r w:rsidR="005D5930">
        <w:t xml:space="preserve">t-value is 8.0585 and the P-Value is </w:t>
      </w:r>
      <w:r w:rsidR="0038109C">
        <w:t xml:space="preserve">less </w:t>
      </w:r>
      <w:r w:rsidR="005F652A">
        <w:t>than</w:t>
      </w:r>
      <w:r w:rsidR="00DA5A20">
        <w:t xml:space="preserve"> 0.</w:t>
      </w:r>
      <w:r w:rsidR="0038109C">
        <w:t>001</w:t>
      </w:r>
      <w:r w:rsidR="007453F7">
        <w:t xml:space="preserve">.  In this case, </w:t>
      </w:r>
      <w:r w:rsidR="00DA5A20">
        <w:t xml:space="preserve">so </w:t>
      </w:r>
      <w:r w:rsidR="0038109C">
        <w:t>should reject the null hypothesis, but due to the 95% confidence interval being far above $50</w:t>
      </w:r>
      <w:r w:rsidR="00641C85">
        <w:t xml:space="preserve"> for the mean (</w:t>
      </w:r>
      <w:r w:rsidR="00641C85">
        <w:t>139.541 and 198.04</w:t>
      </w:r>
      <w:r w:rsidR="00641C85">
        <w:t>)</w:t>
      </w:r>
      <w:r w:rsidR="0038109C">
        <w:t>, I will hold off a decision to reject or retain the null hypothesis</w:t>
      </w:r>
      <w:r w:rsidR="00507FA4">
        <w:t xml:space="preserve"> pending furt</w:t>
      </w:r>
      <w:r w:rsidR="0038109C">
        <w:t>her investigation.</w:t>
      </w:r>
    </w:p>
    <w:p w:rsidR="006E7C84" w:rsidRDefault="006E7C84" w:rsidP="006E7C84">
      <w:pPr>
        <w:spacing w:line="480" w:lineRule="auto"/>
      </w:pPr>
    </w:p>
    <w:p w:rsidR="006E7C84" w:rsidRPr="006E7C84" w:rsidRDefault="006E7C84" w:rsidP="006E7C84">
      <w:pPr>
        <w:spacing w:line="480" w:lineRule="auto"/>
        <w:rPr>
          <w:i/>
          <w:sz w:val="20"/>
          <w:szCs w:val="20"/>
        </w:rPr>
      </w:pPr>
      <w:r w:rsidRPr="006E7C84">
        <w:rPr>
          <w:i/>
          <w:sz w:val="20"/>
          <w:szCs w:val="20"/>
        </w:rPr>
        <w:t>Casino Distance</w:t>
      </w:r>
    </w:p>
    <w:p w:rsidR="001C77D0" w:rsidRDefault="001C77D0" w:rsidP="00F3695C">
      <w:pPr>
        <w:spacing w:line="480" w:lineRule="auto"/>
      </w:pPr>
      <w:r>
        <w:tab/>
        <w:t>Table 2 shows a comparison of casinos within 50 miles for 1980 and 1997</w:t>
      </w:r>
      <w:r w:rsidR="003B0B18">
        <w:t xml:space="preserve"> for our sample of 100</w:t>
      </w:r>
      <w:r>
        <w:t>.</w:t>
      </w:r>
      <w:r w:rsidR="003B0B18">
        <w:t xml:space="preserve">  </w:t>
      </w:r>
      <w:r w:rsidR="00C45932" w:rsidRPr="00C45932">
        <w:rPr>
          <w:u w:val="single"/>
        </w:rPr>
        <w:t>[A3]</w:t>
      </w:r>
      <w:r w:rsidR="00C45932">
        <w:t xml:space="preserve">  </w:t>
      </w:r>
      <w:r w:rsidR="003B0B18">
        <w:t xml:space="preserve">We can extrapolate with 95% confidence to the population in 1980 that the proportion of casinos </w:t>
      </w:r>
      <w:r w:rsidR="003B0B18">
        <w:lastRenderedPageBreak/>
        <w:t xml:space="preserve">within 50 miles is between </w:t>
      </w:r>
      <w:r w:rsidR="00EB55A2">
        <w:t xml:space="preserve">0.03925 </w:t>
      </w:r>
      <w:r w:rsidR="003B0B18">
        <w:t xml:space="preserve">and </w:t>
      </w:r>
      <w:r w:rsidR="00EB55A2">
        <w:t>0.04075</w:t>
      </w:r>
      <w:r w:rsidR="003B0B18">
        <w:t xml:space="preserve">.  </w:t>
      </w:r>
      <w:r w:rsidR="00C45932" w:rsidRPr="00C45932">
        <w:rPr>
          <w:u w:val="single"/>
        </w:rPr>
        <w:t>[A3]</w:t>
      </w:r>
      <w:r w:rsidR="00C45932">
        <w:t xml:space="preserve">  </w:t>
      </w:r>
      <w:r w:rsidR="003B0B18">
        <w:t>Also, with 95% confidence we can say that the proportion of casinos outside of 50 miles is between</w:t>
      </w:r>
      <w:r w:rsidR="00EB55A2">
        <w:t xml:space="preserve"> 0.95925</w:t>
      </w:r>
      <w:r w:rsidR="003B0B18">
        <w:t xml:space="preserve"> and</w:t>
      </w:r>
      <w:r w:rsidR="00EB55A2">
        <w:t xml:space="preserve"> 0.96075</w:t>
      </w:r>
      <w:r w:rsidR="003B0B18">
        <w:t>.</w:t>
      </w:r>
      <w:r w:rsidR="00C45932">
        <w:t xml:space="preserve">   </w:t>
      </w:r>
      <w:r w:rsidR="00C45932" w:rsidRPr="00C45932">
        <w:rPr>
          <w:u w:val="single"/>
        </w:rPr>
        <w:t>[A3]</w:t>
      </w:r>
      <w:r w:rsidR="00C45932">
        <w:t xml:space="preserve">  </w:t>
      </w:r>
      <w:r w:rsidR="00F1320D">
        <w:t>Compare this to 1997 and with 95% confidence we can say that the proportion of a casino within 50 miles of a community of 10,000 is between</w:t>
      </w:r>
      <w:r w:rsidR="00231C11">
        <w:t xml:space="preserve"> 0.44515 </w:t>
      </w:r>
      <w:r w:rsidR="00F1320D">
        <w:t xml:space="preserve">and </w:t>
      </w:r>
      <w:r w:rsidR="00231C11">
        <w:t>0.45485</w:t>
      </w:r>
      <w:r w:rsidR="00F1320D">
        <w:t xml:space="preserve">.  </w:t>
      </w:r>
      <w:r w:rsidR="00C45932" w:rsidRPr="00C45932">
        <w:rPr>
          <w:u w:val="single"/>
        </w:rPr>
        <w:t>[A3]</w:t>
      </w:r>
      <w:r w:rsidR="00C45932">
        <w:t xml:space="preserve">  </w:t>
      </w:r>
      <w:r w:rsidR="00F1320D">
        <w:t xml:space="preserve">The proportion of a casino outside of 50 miles of a community of 10,000 is between </w:t>
      </w:r>
      <w:r w:rsidR="00C60E74">
        <w:t xml:space="preserve">0.54515 </w:t>
      </w:r>
      <w:r w:rsidR="00F1320D">
        <w:t xml:space="preserve">and </w:t>
      </w:r>
      <w:r w:rsidR="00C60E74">
        <w:t xml:space="preserve">0.55485 </w:t>
      </w:r>
      <w:r w:rsidR="00F1320D">
        <w:t xml:space="preserve">with 95% confidence. </w:t>
      </w:r>
      <w:r w:rsidR="00B67AFF">
        <w:t xml:space="preserve">  Quite like the per capita spending increase from 1980 to 1997, we can see an increase in the proportion of casinos within 50 miles of communities with 10,000 or more individuals from 1980 to 1997.</w:t>
      </w:r>
    </w:p>
    <w:p w:rsidR="007E65F4" w:rsidRDefault="007E65F4" w:rsidP="007E65F4">
      <w:r>
        <w:t xml:space="preserve">Table 2 – Casinos </w:t>
      </w:r>
      <w:proofErr w:type="gramStart"/>
      <w:r>
        <w:t>Within</w:t>
      </w:r>
      <w:proofErr w:type="gramEnd"/>
      <w:r>
        <w:t xml:space="preserve"> 50 Miles</w:t>
      </w:r>
      <w:r w:rsidR="00181A9F">
        <w:t xml:space="preserve"> </w:t>
      </w:r>
      <w:r w:rsidR="00181A9F" w:rsidRPr="006D20EF">
        <w:rPr>
          <w:u w:val="single"/>
        </w:rPr>
        <w:t>[A1]</w:t>
      </w:r>
    </w:p>
    <w:tbl>
      <w:tblPr>
        <w:tblStyle w:val="MediumShading2-Accent5"/>
        <w:tblW w:w="3750" w:type="pct"/>
        <w:tblLook w:val="0660" w:firstRow="1" w:lastRow="1" w:firstColumn="0" w:lastColumn="0" w:noHBand="1" w:noVBand="1"/>
      </w:tblPr>
      <w:tblGrid>
        <w:gridCol w:w="2698"/>
        <w:gridCol w:w="2242"/>
        <w:gridCol w:w="2242"/>
      </w:tblGrid>
      <w:tr w:rsidR="007E65F4" w:rsidTr="00E30AE6">
        <w:trPr>
          <w:cnfStyle w:val="100000000000" w:firstRow="1" w:lastRow="0" w:firstColumn="0" w:lastColumn="0" w:oddVBand="0" w:evenVBand="0" w:oddHBand="0" w:evenHBand="0" w:firstRowFirstColumn="0" w:firstRowLastColumn="0" w:lastRowFirstColumn="0" w:lastRowLastColumn="0"/>
        </w:trPr>
        <w:tc>
          <w:tcPr>
            <w:tcW w:w="1878" w:type="pct"/>
            <w:noWrap/>
          </w:tcPr>
          <w:p w:rsidR="007E65F4" w:rsidRDefault="007E65F4" w:rsidP="00CB1C60"/>
        </w:tc>
        <w:tc>
          <w:tcPr>
            <w:tcW w:w="1561" w:type="pct"/>
          </w:tcPr>
          <w:p w:rsidR="007E65F4" w:rsidRDefault="007E65F4" w:rsidP="00CB1C60">
            <w:r>
              <w:t>1980</w:t>
            </w:r>
          </w:p>
        </w:tc>
        <w:tc>
          <w:tcPr>
            <w:tcW w:w="1561" w:type="pct"/>
          </w:tcPr>
          <w:p w:rsidR="007E65F4" w:rsidRDefault="007E65F4" w:rsidP="00CB1C60">
            <w:r>
              <w:t>1997</w:t>
            </w:r>
          </w:p>
        </w:tc>
      </w:tr>
      <w:tr w:rsidR="007E65F4" w:rsidTr="00E30AE6">
        <w:tc>
          <w:tcPr>
            <w:tcW w:w="1878" w:type="pct"/>
            <w:tcBorders>
              <w:bottom w:val="nil"/>
            </w:tcBorders>
            <w:noWrap/>
          </w:tcPr>
          <w:p w:rsidR="007E65F4" w:rsidRDefault="007E65F4" w:rsidP="00CB1C60"/>
        </w:tc>
        <w:tc>
          <w:tcPr>
            <w:tcW w:w="1561" w:type="pct"/>
            <w:tcBorders>
              <w:bottom w:val="nil"/>
            </w:tcBorders>
          </w:tcPr>
          <w:p w:rsidR="007E65F4" w:rsidRDefault="007E65F4" w:rsidP="00CB1C60">
            <w:pPr>
              <w:rPr>
                <w:rStyle w:val="SubtleEmphasis"/>
              </w:rPr>
            </w:pPr>
          </w:p>
        </w:tc>
        <w:tc>
          <w:tcPr>
            <w:tcW w:w="1561" w:type="pct"/>
            <w:tcBorders>
              <w:bottom w:val="nil"/>
            </w:tcBorders>
          </w:tcPr>
          <w:p w:rsidR="007E65F4" w:rsidRDefault="007E65F4" w:rsidP="00CB1C60"/>
        </w:tc>
      </w:tr>
      <w:tr w:rsidR="007E65F4" w:rsidTr="00E30AE6">
        <w:tc>
          <w:tcPr>
            <w:tcW w:w="1878" w:type="pct"/>
            <w:tcBorders>
              <w:top w:val="nil"/>
              <w:left w:val="nil"/>
              <w:bottom w:val="single" w:sz="4" w:space="0" w:color="auto"/>
              <w:right w:val="single" w:sz="4" w:space="0" w:color="auto"/>
            </w:tcBorders>
            <w:noWrap/>
          </w:tcPr>
          <w:p w:rsidR="007E65F4" w:rsidRDefault="007E65F4" w:rsidP="00CB1C60">
            <w:r>
              <w:t># Observations</w:t>
            </w:r>
          </w:p>
        </w:tc>
        <w:tc>
          <w:tcPr>
            <w:tcW w:w="1561" w:type="pct"/>
            <w:tcBorders>
              <w:top w:val="nil"/>
              <w:left w:val="single" w:sz="4" w:space="0" w:color="auto"/>
              <w:bottom w:val="single" w:sz="4" w:space="0" w:color="auto"/>
              <w:right w:val="single" w:sz="4" w:space="0" w:color="auto"/>
            </w:tcBorders>
          </w:tcPr>
          <w:p w:rsidR="007E65F4" w:rsidRDefault="007E65F4" w:rsidP="00CB1C60">
            <w:pPr>
              <w:pStyle w:val="DecimalAligned"/>
            </w:pPr>
            <w:r>
              <w:t xml:space="preserve">   100</w:t>
            </w:r>
          </w:p>
        </w:tc>
        <w:tc>
          <w:tcPr>
            <w:tcW w:w="1561" w:type="pct"/>
            <w:tcBorders>
              <w:top w:val="nil"/>
              <w:left w:val="single" w:sz="4" w:space="0" w:color="auto"/>
              <w:bottom w:val="single" w:sz="4" w:space="0" w:color="auto"/>
              <w:right w:val="nil"/>
            </w:tcBorders>
          </w:tcPr>
          <w:p w:rsidR="007E65F4" w:rsidRDefault="005B71CF" w:rsidP="00CB1C60">
            <w:pPr>
              <w:pStyle w:val="DecimalAligned"/>
            </w:pPr>
            <w:r>
              <w:t>100</w:t>
            </w:r>
          </w:p>
        </w:tc>
      </w:tr>
      <w:tr w:rsidR="007E65F4" w:rsidTr="00E30AE6">
        <w:tc>
          <w:tcPr>
            <w:tcW w:w="1878" w:type="pct"/>
            <w:tcBorders>
              <w:top w:val="single" w:sz="4" w:space="0" w:color="auto"/>
              <w:left w:val="nil"/>
              <w:bottom w:val="single" w:sz="4" w:space="0" w:color="auto"/>
              <w:right w:val="single" w:sz="4" w:space="0" w:color="auto"/>
            </w:tcBorders>
            <w:noWrap/>
          </w:tcPr>
          <w:p w:rsidR="007E65F4" w:rsidRDefault="00E30AE6" w:rsidP="00CB1C60">
            <w:r>
              <w:t>Proportion within 50 miles</w:t>
            </w:r>
          </w:p>
        </w:tc>
        <w:tc>
          <w:tcPr>
            <w:tcW w:w="1561" w:type="pct"/>
            <w:tcBorders>
              <w:top w:val="single" w:sz="4" w:space="0" w:color="auto"/>
              <w:left w:val="single" w:sz="4" w:space="0" w:color="auto"/>
              <w:bottom w:val="single" w:sz="4" w:space="0" w:color="auto"/>
              <w:right w:val="single" w:sz="4" w:space="0" w:color="auto"/>
            </w:tcBorders>
          </w:tcPr>
          <w:p w:rsidR="007E65F4" w:rsidRDefault="003D1AD5" w:rsidP="00CB1C60">
            <w:pPr>
              <w:pStyle w:val="DecimalAligned"/>
            </w:pPr>
            <w:r>
              <w:t>0.04</w:t>
            </w:r>
          </w:p>
        </w:tc>
        <w:tc>
          <w:tcPr>
            <w:tcW w:w="1561" w:type="pct"/>
            <w:tcBorders>
              <w:top w:val="single" w:sz="4" w:space="0" w:color="auto"/>
              <w:left w:val="single" w:sz="4" w:space="0" w:color="auto"/>
              <w:bottom w:val="single" w:sz="4" w:space="0" w:color="auto"/>
              <w:right w:val="nil"/>
            </w:tcBorders>
          </w:tcPr>
          <w:p w:rsidR="007E65F4" w:rsidRDefault="00181A9F" w:rsidP="00202AB5">
            <w:pPr>
              <w:pStyle w:val="DecimalAligned"/>
            </w:pPr>
            <w:r>
              <w:t>0.45</w:t>
            </w:r>
          </w:p>
        </w:tc>
      </w:tr>
      <w:tr w:rsidR="00E30AE6" w:rsidTr="00E30AE6">
        <w:trPr>
          <w:cnfStyle w:val="010000000000" w:firstRow="0" w:lastRow="1" w:firstColumn="0" w:lastColumn="0" w:oddVBand="0" w:evenVBand="0" w:oddHBand="0" w:evenHBand="0" w:firstRowFirstColumn="0" w:firstRowLastColumn="0" w:lastRowFirstColumn="0" w:lastRowLastColumn="0"/>
        </w:trPr>
        <w:tc>
          <w:tcPr>
            <w:tcW w:w="1878" w:type="pct"/>
            <w:tcBorders>
              <w:top w:val="single" w:sz="4" w:space="0" w:color="auto"/>
              <w:bottom w:val="single" w:sz="4" w:space="0" w:color="auto"/>
              <w:right w:val="single" w:sz="4" w:space="0" w:color="auto"/>
            </w:tcBorders>
            <w:noWrap/>
          </w:tcPr>
          <w:p w:rsidR="007E65F4" w:rsidRDefault="00E30AE6" w:rsidP="00CB1C60">
            <w:r>
              <w:t>Proportion outside 50 miles</w:t>
            </w:r>
          </w:p>
        </w:tc>
        <w:tc>
          <w:tcPr>
            <w:tcW w:w="1561" w:type="pct"/>
            <w:tcBorders>
              <w:top w:val="single" w:sz="4" w:space="0" w:color="auto"/>
              <w:left w:val="single" w:sz="4" w:space="0" w:color="auto"/>
              <w:bottom w:val="single" w:sz="4" w:space="0" w:color="auto"/>
              <w:right w:val="single" w:sz="4" w:space="0" w:color="auto"/>
            </w:tcBorders>
          </w:tcPr>
          <w:p w:rsidR="007E65F4" w:rsidRDefault="003D1AD5" w:rsidP="00CB1C60">
            <w:pPr>
              <w:pStyle w:val="DecimalAligned"/>
            </w:pPr>
            <w:r>
              <w:t>0.96</w:t>
            </w:r>
          </w:p>
        </w:tc>
        <w:tc>
          <w:tcPr>
            <w:tcW w:w="1561" w:type="pct"/>
            <w:tcBorders>
              <w:top w:val="single" w:sz="4" w:space="0" w:color="auto"/>
              <w:left w:val="single" w:sz="4" w:space="0" w:color="auto"/>
              <w:bottom w:val="single" w:sz="4" w:space="0" w:color="auto"/>
            </w:tcBorders>
          </w:tcPr>
          <w:p w:rsidR="007E65F4" w:rsidRDefault="00181A9F" w:rsidP="00CB1C60">
            <w:pPr>
              <w:pStyle w:val="DecimalAligned"/>
            </w:pPr>
            <w:r>
              <w:t>0.55</w:t>
            </w:r>
          </w:p>
        </w:tc>
      </w:tr>
    </w:tbl>
    <w:p w:rsidR="00AA6E49" w:rsidRDefault="00AA6E49" w:rsidP="00F3695C">
      <w:pPr>
        <w:spacing w:line="480" w:lineRule="auto"/>
      </w:pPr>
    </w:p>
    <w:p w:rsidR="00496650" w:rsidRPr="007B44EE" w:rsidRDefault="007B44EE" w:rsidP="007B44EE">
      <w:pPr>
        <w:spacing w:line="480" w:lineRule="auto"/>
        <w:ind w:firstLine="720"/>
      </w:pPr>
      <w:r>
        <w:rPr>
          <w:u w:val="single"/>
        </w:rPr>
        <w:t>[B2</w:t>
      </w:r>
      <w:r w:rsidRPr="00121392">
        <w:rPr>
          <w:u w:val="single"/>
        </w:rPr>
        <w:t>]</w:t>
      </w:r>
      <w:r>
        <w:t xml:space="preserve">  For casinos within 50 miles of communities of 10,000 or more in 1997, we assume that the</w:t>
      </w:r>
      <w:r>
        <w:softHyphen/>
      </w:r>
      <w:r>
        <w:softHyphen/>
        <w:t xml:space="preserve"> sample is random, that this is a qualitative measurement expressed as a proportion, and that the sample of 100 communities is large enough to make generalizations about the population.  We can test the hypothesis that one-half of U.S. communities were within 50 miles of a casino in 1997 by letting H</w:t>
      </w:r>
      <w:r>
        <w:rPr>
          <w:vertAlign w:val="subscript"/>
        </w:rPr>
        <w:t>o</w:t>
      </w:r>
      <w:r>
        <w:t xml:space="preserve">: </w:t>
      </w:r>
      <w:r w:rsidRPr="007B44EE">
        <w:rPr>
          <w:lang w:val="el-GR"/>
        </w:rPr>
        <w:t>π</w:t>
      </w:r>
      <w:r w:rsidRPr="007B44EE">
        <w:t xml:space="preserve"> </w:t>
      </w:r>
      <w:r>
        <w:t>&gt;=</w:t>
      </w:r>
      <w:r w:rsidRPr="007B44EE">
        <w:t xml:space="preserve"> 0.50  </w:t>
      </w:r>
      <w:r>
        <w:t xml:space="preserve"> and H</w:t>
      </w:r>
      <w:r>
        <w:softHyphen/>
      </w:r>
      <w:r>
        <w:rPr>
          <w:vertAlign w:val="subscript"/>
        </w:rPr>
        <w:t>a</w:t>
      </w:r>
      <w:r>
        <w:t xml:space="preserve">: </w:t>
      </w:r>
      <w:r w:rsidRPr="007B44EE">
        <w:rPr>
          <w:lang w:val="el-GR"/>
        </w:rPr>
        <w:t>π</w:t>
      </w:r>
      <w:r w:rsidR="00074EBB">
        <w:t xml:space="preserve"> &lt; 0.50.  The resulting P-Value is 0.1587 which causes me to suspend judgment </w:t>
      </w:r>
      <w:r w:rsidR="00E70A33">
        <w:t>for accepting the</w:t>
      </w:r>
      <w:r w:rsidR="00074EBB">
        <w:t xml:space="preserve"> null hypothesis pending further investigation.</w:t>
      </w:r>
    </w:p>
    <w:p w:rsidR="00C71C1A" w:rsidRDefault="00C71C1A" w:rsidP="00F3695C">
      <w:pPr>
        <w:spacing w:line="480" w:lineRule="auto"/>
        <w:rPr>
          <w:b/>
        </w:rPr>
      </w:pPr>
      <w:r w:rsidRPr="00C71C1A">
        <w:rPr>
          <w:b/>
        </w:rPr>
        <w:t>Conclusions</w:t>
      </w:r>
    </w:p>
    <w:p w:rsidR="00CE7D69" w:rsidRPr="00CE7D69" w:rsidRDefault="00CA06CC" w:rsidP="00F95A17">
      <w:pPr>
        <w:spacing w:line="480" w:lineRule="auto"/>
      </w:pPr>
      <w:r>
        <w:tab/>
      </w:r>
      <w:r w:rsidR="005E2EE2">
        <w:t>The data were analyzed to compare basic descriptive statistics, as seen in Table 1, between two years and were also analyzed to see if there were any increases in per capita spending and distances of casinos to communities of 10,000 or more</w:t>
      </w:r>
      <w:bookmarkStart w:id="0" w:name="_GoBack"/>
      <w:bookmarkEnd w:id="0"/>
      <w:r w:rsidR="005E2EE2">
        <w:t>.</w:t>
      </w:r>
      <w:r w:rsidR="005E2EE2">
        <w:t xml:space="preserve">  </w:t>
      </w:r>
      <w:r>
        <w:t xml:space="preserve">From 1980 to 1997, communities with 10,000 or more </w:t>
      </w:r>
      <w:r w:rsidR="00E70A33">
        <w:t>residents</w:t>
      </w:r>
      <w:r>
        <w:t xml:space="preserve"> had an increase in mean per capita spending.  Communities in the sample had larger </w:t>
      </w:r>
      <w:r>
        <w:lastRenderedPageBreak/>
        <w:t>maximums and minimums in per capita spending from 1980 to 1997.</w:t>
      </w:r>
      <w:r w:rsidR="00E33DDE">
        <w:t xml:space="preserve">  This increase in per capita spending coincides with an increase in the proportion of communities within 50 miles of a casino for the same years.</w:t>
      </w:r>
      <w:r w:rsidR="000261E7">
        <w:t xml:space="preserve">  Further research would have to be done to see if the increase in the proportion of communities within 50 miles of a casino is a casual factor for the increase in per capita spending</w:t>
      </w:r>
      <w:r w:rsidR="00AB673C">
        <w:t xml:space="preserve"> in these communiti</w:t>
      </w:r>
      <w:r w:rsidR="00EF285B">
        <w:t xml:space="preserve">es.  </w:t>
      </w:r>
    </w:p>
    <w:sectPr w:rsidR="00CE7D69" w:rsidRPr="00CE7D69" w:rsidSect="00FC2E5D">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A00" w:rsidRDefault="007B5A00" w:rsidP="00FC2E5D">
      <w:pPr>
        <w:spacing w:after="0" w:line="240" w:lineRule="auto"/>
      </w:pPr>
      <w:r>
        <w:separator/>
      </w:r>
    </w:p>
  </w:endnote>
  <w:endnote w:type="continuationSeparator" w:id="0">
    <w:p w:rsidR="007B5A00" w:rsidRDefault="007B5A00" w:rsidP="00FC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326123"/>
      <w:docPartObj>
        <w:docPartGallery w:val="Page Numbers (Bottom of Page)"/>
        <w:docPartUnique/>
      </w:docPartObj>
    </w:sdtPr>
    <w:sdtEndPr>
      <w:rPr>
        <w:noProof/>
      </w:rPr>
    </w:sdtEndPr>
    <w:sdtContent>
      <w:p w:rsidR="001F51BB" w:rsidRDefault="001F51BB">
        <w:pPr>
          <w:pStyle w:val="Footer"/>
          <w:jc w:val="right"/>
        </w:pPr>
        <w:r>
          <w:fldChar w:fldCharType="begin"/>
        </w:r>
        <w:r>
          <w:instrText xml:space="preserve"> PAGE   \* MERGEFORMAT </w:instrText>
        </w:r>
        <w:r>
          <w:fldChar w:fldCharType="separate"/>
        </w:r>
        <w:r w:rsidR="00641C85">
          <w:rPr>
            <w:noProof/>
          </w:rPr>
          <w:t>1</w:t>
        </w:r>
        <w:r>
          <w:rPr>
            <w:noProof/>
          </w:rPr>
          <w:fldChar w:fldCharType="end"/>
        </w:r>
      </w:p>
    </w:sdtContent>
  </w:sdt>
  <w:p w:rsidR="001F51BB" w:rsidRDefault="001F51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A00" w:rsidRDefault="007B5A00" w:rsidP="00FC2E5D">
      <w:pPr>
        <w:spacing w:after="0" w:line="240" w:lineRule="auto"/>
      </w:pPr>
      <w:r>
        <w:separator/>
      </w:r>
    </w:p>
  </w:footnote>
  <w:footnote w:type="continuationSeparator" w:id="0">
    <w:p w:rsidR="007B5A00" w:rsidRDefault="007B5A00" w:rsidP="00FC2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E5D" w:rsidRDefault="00FC2E5D">
    <w:pPr>
      <w:pStyle w:val="Header"/>
    </w:pPr>
    <w:r>
      <w:t>Matthew Martinez</w:t>
    </w:r>
  </w:p>
  <w:p w:rsidR="00FC2E5D" w:rsidRDefault="00FC2E5D">
    <w:pPr>
      <w:pStyle w:val="Header"/>
    </w:pPr>
    <w:r>
      <w:t>Midterm - 5312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37F"/>
    <w:rsid w:val="000261E7"/>
    <w:rsid w:val="00074EBB"/>
    <w:rsid w:val="00121392"/>
    <w:rsid w:val="00135968"/>
    <w:rsid w:val="001660D6"/>
    <w:rsid w:val="00181A9F"/>
    <w:rsid w:val="00185198"/>
    <w:rsid w:val="001871C7"/>
    <w:rsid w:val="001A4016"/>
    <w:rsid w:val="001C77D0"/>
    <w:rsid w:val="001F51BB"/>
    <w:rsid w:val="00202AB5"/>
    <w:rsid w:val="00231C11"/>
    <w:rsid w:val="00244197"/>
    <w:rsid w:val="002C6F9B"/>
    <w:rsid w:val="00320225"/>
    <w:rsid w:val="0032531C"/>
    <w:rsid w:val="003545F0"/>
    <w:rsid w:val="0038109C"/>
    <w:rsid w:val="00385B5E"/>
    <w:rsid w:val="003B0B18"/>
    <w:rsid w:val="003D1AD5"/>
    <w:rsid w:val="00496650"/>
    <w:rsid w:val="004D638E"/>
    <w:rsid w:val="00507FA4"/>
    <w:rsid w:val="00586E06"/>
    <w:rsid w:val="005A4DBB"/>
    <w:rsid w:val="005B71CF"/>
    <w:rsid w:val="005D5930"/>
    <w:rsid w:val="005E2EE2"/>
    <w:rsid w:val="005F2CAD"/>
    <w:rsid w:val="005F652A"/>
    <w:rsid w:val="00641C85"/>
    <w:rsid w:val="006D20EF"/>
    <w:rsid w:val="006E7C84"/>
    <w:rsid w:val="00727EA3"/>
    <w:rsid w:val="007453F7"/>
    <w:rsid w:val="007B44EE"/>
    <w:rsid w:val="007B5A00"/>
    <w:rsid w:val="007C77B6"/>
    <w:rsid w:val="007E1665"/>
    <w:rsid w:val="007E32AB"/>
    <w:rsid w:val="007E65F4"/>
    <w:rsid w:val="00845866"/>
    <w:rsid w:val="00845CE6"/>
    <w:rsid w:val="008714EF"/>
    <w:rsid w:val="008E4E2D"/>
    <w:rsid w:val="00921A39"/>
    <w:rsid w:val="0093337F"/>
    <w:rsid w:val="009365D7"/>
    <w:rsid w:val="009E388E"/>
    <w:rsid w:val="00AA6E49"/>
    <w:rsid w:val="00AB673C"/>
    <w:rsid w:val="00AD6FB3"/>
    <w:rsid w:val="00B67AFF"/>
    <w:rsid w:val="00BB54C9"/>
    <w:rsid w:val="00BF26DA"/>
    <w:rsid w:val="00C43B3D"/>
    <w:rsid w:val="00C45932"/>
    <w:rsid w:val="00C60E74"/>
    <w:rsid w:val="00C71C1A"/>
    <w:rsid w:val="00C818B9"/>
    <w:rsid w:val="00CA06CC"/>
    <w:rsid w:val="00CD6E21"/>
    <w:rsid w:val="00CE7D69"/>
    <w:rsid w:val="00D9733F"/>
    <w:rsid w:val="00DA5A20"/>
    <w:rsid w:val="00DD2F98"/>
    <w:rsid w:val="00DD7655"/>
    <w:rsid w:val="00E30AE6"/>
    <w:rsid w:val="00E33DDE"/>
    <w:rsid w:val="00E70A33"/>
    <w:rsid w:val="00EB55A2"/>
    <w:rsid w:val="00EC4D1F"/>
    <w:rsid w:val="00EF285B"/>
    <w:rsid w:val="00EF6884"/>
    <w:rsid w:val="00F1320D"/>
    <w:rsid w:val="00F3695C"/>
    <w:rsid w:val="00F6725A"/>
    <w:rsid w:val="00F95A17"/>
    <w:rsid w:val="00FC2E5D"/>
    <w:rsid w:val="00FD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845CE6"/>
    <w:pPr>
      <w:tabs>
        <w:tab w:val="decimal" w:pos="360"/>
      </w:tabs>
    </w:pPr>
    <w:rPr>
      <w:lang w:eastAsia="ja-JP"/>
    </w:rPr>
  </w:style>
  <w:style w:type="paragraph" w:styleId="FootnoteText">
    <w:name w:val="footnote text"/>
    <w:basedOn w:val="Normal"/>
    <w:link w:val="FootnoteTextChar"/>
    <w:uiPriority w:val="99"/>
    <w:unhideWhenUsed/>
    <w:rsid w:val="00845CE6"/>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845CE6"/>
    <w:rPr>
      <w:rFonts w:eastAsiaTheme="minorEastAsia"/>
      <w:sz w:val="20"/>
      <w:szCs w:val="20"/>
      <w:lang w:eastAsia="ja-JP"/>
    </w:rPr>
  </w:style>
  <w:style w:type="character" w:styleId="SubtleEmphasis">
    <w:name w:val="Subtle Emphasis"/>
    <w:basedOn w:val="DefaultParagraphFont"/>
    <w:uiPriority w:val="19"/>
    <w:qFormat/>
    <w:rsid w:val="00845CE6"/>
    <w:rPr>
      <w:i/>
      <w:iCs/>
      <w:color w:val="7F7F7F" w:themeColor="text1" w:themeTint="80"/>
    </w:rPr>
  </w:style>
  <w:style w:type="table" w:styleId="MediumShading2-Accent5">
    <w:name w:val="Medium Shading 2 Accent 5"/>
    <w:basedOn w:val="TableNormal"/>
    <w:uiPriority w:val="64"/>
    <w:rsid w:val="00845CE6"/>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FC2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E5D"/>
  </w:style>
  <w:style w:type="paragraph" w:styleId="Footer">
    <w:name w:val="footer"/>
    <w:basedOn w:val="Normal"/>
    <w:link w:val="FooterChar"/>
    <w:uiPriority w:val="99"/>
    <w:unhideWhenUsed/>
    <w:rsid w:val="00FC2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E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845CE6"/>
    <w:pPr>
      <w:tabs>
        <w:tab w:val="decimal" w:pos="360"/>
      </w:tabs>
    </w:pPr>
    <w:rPr>
      <w:lang w:eastAsia="ja-JP"/>
    </w:rPr>
  </w:style>
  <w:style w:type="paragraph" w:styleId="FootnoteText">
    <w:name w:val="footnote text"/>
    <w:basedOn w:val="Normal"/>
    <w:link w:val="FootnoteTextChar"/>
    <w:uiPriority w:val="99"/>
    <w:unhideWhenUsed/>
    <w:rsid w:val="00845CE6"/>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845CE6"/>
    <w:rPr>
      <w:rFonts w:eastAsiaTheme="minorEastAsia"/>
      <w:sz w:val="20"/>
      <w:szCs w:val="20"/>
      <w:lang w:eastAsia="ja-JP"/>
    </w:rPr>
  </w:style>
  <w:style w:type="character" w:styleId="SubtleEmphasis">
    <w:name w:val="Subtle Emphasis"/>
    <w:basedOn w:val="DefaultParagraphFont"/>
    <w:uiPriority w:val="19"/>
    <w:qFormat/>
    <w:rsid w:val="00845CE6"/>
    <w:rPr>
      <w:i/>
      <w:iCs/>
      <w:color w:val="7F7F7F" w:themeColor="text1" w:themeTint="80"/>
    </w:rPr>
  </w:style>
  <w:style w:type="table" w:styleId="MediumShading2-Accent5">
    <w:name w:val="Medium Shading 2 Accent 5"/>
    <w:basedOn w:val="TableNormal"/>
    <w:uiPriority w:val="64"/>
    <w:rsid w:val="00845CE6"/>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FC2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E5D"/>
  </w:style>
  <w:style w:type="paragraph" w:styleId="Footer">
    <w:name w:val="footer"/>
    <w:basedOn w:val="Normal"/>
    <w:link w:val="FooterChar"/>
    <w:uiPriority w:val="99"/>
    <w:unhideWhenUsed/>
    <w:rsid w:val="00FC2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45</cp:revision>
  <dcterms:created xsi:type="dcterms:W3CDTF">2010-10-08T04:26:00Z</dcterms:created>
  <dcterms:modified xsi:type="dcterms:W3CDTF">2010-10-13T04:48:00Z</dcterms:modified>
</cp:coreProperties>
</file>