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95959"/>
          <w:sz w:val="18"/>
          <w:szCs w:val="18"/>
        </w:rPr>
        <w:t xml:space="preserve">PRAIRIE LANTERN BANK, N.A.</w:t>
      </w:r>
    </w:p>
    <w:p>
      <w:pPr>
        <w:spacing w:after="40"/>
      </w:pPr>
      <w:r>
        <w:rPr>
          <w:rFonts w:ascii="Arial" w:cs="Arial" w:eastAsia="Arial" w:hAnsi="Arial"/>
          <w:b/>
          <w:bCs/>
          <w:color w:val="1F3864"/>
          <w:sz w:val="36"/>
          <w:szCs w:val="36"/>
        </w:rPr>
        <w:t xml:space="preserve">Commercial Credit Memorandum</w:t>
      </w:r>
    </w:p>
    <w:p>
      <w:pPr>
        <w:spacing w:after="200" w:before="0"/>
      </w:pPr>
      <w:r>
        <w:rPr>
          <w:rFonts w:ascii="Arial" w:cs="Arial" w:eastAsia="Arial" w:hAnsi="Arial"/>
          <w:b/>
          <w:bCs/>
          <w:sz w:val="24"/>
          <w:szCs w:val="24"/>
        </w:rPr>
        <w:t xml:space="preserve">Brazos Bend Fabrication, LLC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Borrower</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Brazos Bend Fabrication, LLC (Texas LLC, est. 2004)</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Guarantors</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Daniel Reyes (60%) and Angela Brooks (40%), unlimited personal guaranties</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Request</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$2,800,000 equipment term loan (new) and RLOC increase from $1,000,000 to $1,500,000</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New money</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$3,300,000</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Total relationship exposure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$6,140,000</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Proposed risk rating</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 Satisfactory (composite score 4.15)</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Recommendation</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APPROVE, subject to the covenants and conditions in Section 11</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Prepared by</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Matthew Dial, Commercial Credit Analyst</w:t>
            </w:r>
          </w:p>
        </w:tc>
      </w:tr>
      <w:tr>
        <w:trPr>
          <w:tblHeader w:val="off"/>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Date</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October 23, 2026</w:t>
            </w:r>
          </w:p>
        </w:tc>
      </w:tr>
    </w:tbl>
    <w:p>
      <w:pPr>
        <w:spacing w:after="120" w:before="120"/>
      </w:pPr>
      <w:r>
        <w:rPr>
          <w:rFonts w:ascii="Arial" w:cs="Arial" w:eastAsia="Arial" w:hAnsi="Arial"/>
          <w:i/>
          <w:iCs/>
          <w:color w:val="C00000"/>
          <w:sz w:val="16"/>
          <w:szCs w:val="16"/>
        </w:rPr>
        <w:t xml:space="preserve">Portfolio work sample. The borrower, guarantors, bank, and every figure in this memo are fictional. Supporting calculations are in Credit_Analysis_Model.xlsx.</w:t>
      </w:r>
    </w:p>
    <w:p>
      <w:pPr>
        <w:pStyle w:val="Heading1"/>
        <w:pBdr>
          <w:bottom w:val="single" w:color="1F3864" w:sz="6" w:space="2"/>
        </w:pBdr>
        <w:spacing w:after="120" w:before="240"/>
      </w:pPr>
      <w:r>
        <w:rPr>
          <w:rFonts w:ascii="Arial" w:cs="Arial" w:eastAsia="Arial" w:hAnsi="Arial"/>
          <w:b/>
          <w:bCs/>
          <w:color w:val="1F3864"/>
          <w:sz w:val="24"/>
          <w:szCs w:val="24"/>
        </w:rPr>
        <w:t xml:space="preserve">1. Executive Summary</w:t>
      </w:r>
    </w:p>
    <w:p>
      <w:pPr>
        <w:spacing w:after="120" w:before="0"/>
      </w:pPr>
      <w:r>
        <w:rPr>
          <w:rFonts w:ascii="Arial" w:cs="Arial" w:eastAsia="Arial" w:hAnsi="Arial"/>
          <w:sz w:val="20"/>
          <w:szCs w:val="20"/>
        </w:rPr>
        <w:t xml:space="preserve">Brazos Bend Fabrication is a 22-year-old structural and custom metal fabricator serving midstream energy, commercial construction, and industrial OEM customers across the Gulf Coast. The company requests a $2.8MM term loan to purchase a fiber laser cutting system and two CNC press brakes ($3.5MM total cost), and an increase in its revolving line of credit to $1.5MM to support working capital as volume grows.</w:t>
      </w:r>
    </w:p>
    <w:p>
      <w:pPr>
        <w:spacing w:after="120" w:before="0"/>
      </w:pPr>
      <w:r>
        <w:rPr>
          <w:rFonts w:ascii="Arial" w:cs="Arial" w:eastAsia="Arial" w:hAnsi="Arial"/>
          <w:sz w:val="20"/>
          <w:szCs w:val="20"/>
        </w:rPr>
        <w:t xml:space="preserve">The new equipment brings laser cutting in-house. Brazos Bend currently outsources this work, which adds cost and lead time. Management estimates a 2.0% gross margin benefit; this analysis haircuts that to 1.5%.</w:t>
      </w:r>
    </w:p>
    <w:p>
      <w:pPr>
        <w:spacing w:after="60" w:before="0"/>
      </w:pPr>
      <w:r>
        <w:rPr>
          <w:rFonts w:ascii="Arial" w:cs="Arial" w:eastAsia="Arial" w:hAnsi="Arial"/>
          <w:b/>
          <w:bCs/>
          <w:sz w:val="20"/>
          <w:szCs w:val="20"/>
        </w:rPr>
        <w:t xml:space="preserve">Credit highlights:</w:t>
      </w:r>
    </w:p>
    <w:p>
      <w:pPr>
        <w:pStyle w:val="ListParagraph"/>
        <w:numPr>
          <w:ilvl w:val="0"/>
          <w:numId w:val="2"/>
        </w:numPr>
        <w:spacing w:after="60"/>
      </w:pPr>
      <w:r>
        <w:rPr>
          <w:rFonts w:ascii="Arial" w:cs="Arial" w:eastAsia="Arial" w:hAnsi="Arial"/>
          <w:sz w:val="20"/>
          <w:szCs w:val="20"/>
        </w:rPr>
        <w:t xml:space="preserve">Revenue grew from $14.2MM to $17.6MM over FY2023 to FY2025 (11.3% CAGR), with gross margin improving from 26.0% to 27.2% and EBITDA rising to $2.31MM (13.1% margin).</w:t>
      </w:r>
    </w:p>
    <w:p>
      <w:pPr>
        <w:pStyle w:val="ListParagraph"/>
        <w:numPr>
          <w:ilvl w:val="0"/>
          <w:numId w:val="2"/>
        </w:numPr>
        <w:spacing w:after="60"/>
      </w:pPr>
      <w:r>
        <w:rPr>
          <w:rFonts w:ascii="Arial" w:cs="Arial" w:eastAsia="Arial" w:hAnsi="Arial"/>
          <w:sz w:val="20"/>
          <w:szCs w:val="20"/>
        </w:rPr>
        <w:t xml:space="preserve">Historical pro forma DSCR is 1.31x on FY2025 actual cash flow, above the 1.25x policy minimum, leaving $382K of excess cash flow. Projected Year 1 DSCR improves to 1.81x once in-sourcing savings are realized.</w:t>
      </w:r>
    </w:p>
    <w:p>
      <w:pPr>
        <w:pStyle w:val="ListParagraph"/>
        <w:numPr>
          <w:ilvl w:val="0"/>
          <w:numId w:val="2"/>
        </w:numPr>
        <w:spacing w:after="60"/>
      </w:pPr>
      <w:r>
        <w:rPr>
          <w:rFonts w:ascii="Arial" w:cs="Arial" w:eastAsia="Arial" w:hAnsi="Arial"/>
          <w:sz w:val="20"/>
          <w:szCs w:val="20"/>
        </w:rPr>
        <w:t xml:space="preserve">Global DSCR, including guarantor income and personal debt, is 1.40x against a 1.20x minimum.</w:t>
      </w:r>
    </w:p>
    <w:p>
      <w:pPr>
        <w:pStyle w:val="ListParagraph"/>
        <w:numPr>
          <w:ilvl w:val="0"/>
          <w:numId w:val="2"/>
        </w:numPr>
        <w:spacing w:after="60"/>
      </w:pPr>
      <w:r>
        <w:rPr>
          <w:rFonts w:ascii="Arial" w:cs="Arial" w:eastAsia="Arial" w:hAnsi="Arial"/>
          <w:sz w:val="20"/>
          <w:szCs w:val="20"/>
        </w:rPr>
        <w:t xml:space="preserve">Pro forma funded debt to EBITDA is 2.35x, well inside the 3.0x covenant. Collateral coverage on total exposure is 1.13x.</w:t>
      </w:r>
    </w:p>
    <w:p>
      <w:pPr>
        <w:pStyle w:val="ListParagraph"/>
        <w:numPr>
          <w:ilvl w:val="0"/>
          <w:numId w:val="2"/>
        </w:numPr>
        <w:spacing w:after="60"/>
      </w:pPr>
      <w:r>
        <w:rPr>
          <w:rFonts w:ascii="Arial" w:cs="Arial" w:eastAsia="Arial" w:hAnsi="Arial"/>
          <w:sz w:val="20"/>
          <w:szCs w:val="20"/>
        </w:rPr>
        <w:t xml:space="preserve">The key risk is operating leverage. Coverage falls to 1.05x if revenue drops 10%, and breakeven (1.00x) is a 12.0% revenue decline. This is mitigated by a distribution restriction covenant, strong backlog, guarantor liquidity, and the company's track record (largest historical revenue decline was 9% in 2020).</w:t>
      </w:r>
    </w:p>
    <w:p>
      <w:pPr>
        <w:pStyle w:val="Heading1"/>
        <w:pBdr>
          <w:bottom w:val="single" w:color="1F3864" w:sz="6" w:space="2"/>
        </w:pBdr>
        <w:spacing w:after="120" w:before="240"/>
      </w:pPr>
      <w:r>
        <w:rPr>
          <w:rFonts w:ascii="Arial" w:cs="Arial" w:eastAsia="Arial" w:hAnsi="Arial"/>
          <w:b/>
          <w:bCs/>
          <w:color w:val="1F3864"/>
          <w:sz w:val="24"/>
          <w:szCs w:val="24"/>
        </w:rPr>
        <w:t xml:space="preserve">2. Loan Request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Term</w:t>
            </w:r>
          </w:p>
        </w:tc>
        <w:tc>
          <w:tcPr>
            <w:tcW w:type="dxa" w:w="36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Facility A: Equipment Term Loan</w:t>
            </w:r>
          </w:p>
        </w:tc>
        <w:tc>
          <w:tcPr>
            <w:tcW w:type="dxa" w:w="36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Facility B: Revolving Line of Credit</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Amount</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$2,800,000</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$1,500,000 (from $1,000,000)</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Purpose</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Purchase fiber laser and two CNC press brakes</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Working capital (receivables and inventory)</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Rate</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7.25% fixed</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Term SOFR + 2.75%, floating</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Term / amortization</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84 months, fully amortizing</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12 months, renewable annually</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Payment</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$42,603 monthly principal and interest</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Interest only, monthly</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Advance rate</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80% of equipment cost</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80% eligible A/R plus 50% eligible inventory (inventory capped at $600K)</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Collateral</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First-priority PMSI on new equipment; blanket lien on all business assets</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Blanket lien on all business assets</w:t>
            </w:r>
          </w:p>
        </w:tc>
      </w:tr>
      <w:tr>
        <w:trPr>
          <w:tblHeader w:val="off"/>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Guaranty</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Unlimited personal guaranties from both owners</w:t>
            </w:r>
          </w:p>
        </w:tc>
        <w:tc>
          <w:tcPr>
            <w:tcW w:type="dxa" w:w="36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Same</w:t>
            </w:r>
          </w:p>
        </w:tc>
      </w:tr>
    </w:tbl>
    <w:p>
      <w:pPr>
        <w:spacing w:after="60" w:before="200"/>
      </w:pPr>
      <w:r>
        <w:rPr>
          <w:rFonts w:ascii="Arial" w:cs="Arial" w:eastAsia="Arial" w:hAnsi="Arial"/>
          <w:b/>
          <w:bCs/>
          <w:sz w:val="20"/>
          <w:szCs w:val="20"/>
        </w:rPr>
        <w:t xml:space="preserve">Sources and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80"/>
        <w:gridCol w:w="2900"/>
        <w:gridCol w:w="1780"/>
      </w:tblGrid>
      <w:tr>
        <w:trPr>
          <w:tblHeader/>
        </w:trPr>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Sources</w:t>
            </w:r>
          </w:p>
        </w:tc>
        <w:tc>
          <w:tcPr>
            <w:tcW w:type="dxa" w:w="17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Amount</w:t>
            </w:r>
          </w:p>
        </w:tc>
        <w:tc>
          <w:tcPr>
            <w:tcW w:type="dxa" w:w="29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Uses</w:t>
            </w:r>
          </w:p>
        </w:tc>
        <w:tc>
          <w:tcPr>
            <w:tcW w:type="dxa" w:w="178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Amount</w:t>
            </w:r>
          </w:p>
        </w:tc>
      </w:tr>
      <w:tr>
        <w:trPr>
          <w:tblHeader w:val="off"/>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Equipment term loan</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$2,800,000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Fiber laser cutting system</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$2,150,000</w:t>
            </w:r>
          </w:p>
        </w:tc>
      </w:tr>
      <w:tr>
        <w:trPr>
          <w:tblHeader w:val="off"/>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Company cash</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$300,000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CNC press brakes (2)</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$1,180,000</w:t>
            </w:r>
          </w:p>
        </w:tc>
      </w:tr>
      <w:tr>
        <w:trPr>
          <w:tblHeader w:val="off"/>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Guarantor contribution (Reyes)</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$400,000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Installation, rigging, training</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$170,000</w:t>
            </w:r>
          </w:p>
        </w:tc>
      </w:tr>
      <w:tr>
        <w:trPr>
          <w:tblHeader w:val="off"/>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Total sources</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$3,500,000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Total uses</w:t>
            </w:r>
          </w:p>
        </w:tc>
        <w:tc>
          <w:tcPr>
            <w:tcW w:type="dxa" w:w="178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$3,500,000</w:t>
            </w:r>
          </w:p>
        </w:tc>
      </w:tr>
    </w:tbl>
    <w:p>
      <w:pPr>
        <w:spacing w:after="120" w:before="120"/>
      </w:pPr>
      <w:r>
        <w:rPr>
          <w:rFonts w:ascii="Arial" w:cs="Arial" w:eastAsia="Arial" w:hAnsi="Arial"/>
          <w:sz w:val="20"/>
          <w:szCs w:val="20"/>
        </w:rPr>
        <w:t xml:space="preserve">Borrower equity of $700,000 (20% of cost) is verified: company cash on the FYE 2025 balance sheet and the guarantor contribution on a September 2026 brokerage statement.</w:t>
      </w:r>
    </w:p>
    <w:p>
      <w:pPr>
        <w:pStyle w:val="Heading1"/>
        <w:pBdr>
          <w:bottom w:val="single" w:color="1F3864" w:sz="6" w:space="2"/>
        </w:pBdr>
        <w:spacing w:after="120" w:before="240"/>
      </w:pPr>
      <w:r>
        <w:rPr>
          <w:rFonts w:ascii="Arial" w:cs="Arial" w:eastAsia="Arial" w:hAnsi="Arial"/>
          <w:b/>
          <w:bCs/>
          <w:color w:val="1F3864"/>
          <w:sz w:val="24"/>
          <w:szCs w:val="24"/>
        </w:rPr>
        <w:t xml:space="preserve">3. Borrower and Management</w:t>
      </w:r>
    </w:p>
    <w:p>
      <w:pPr>
        <w:spacing w:after="120" w:before="0"/>
      </w:pPr>
      <w:r>
        <w:rPr>
          <w:rFonts w:ascii="Arial" w:cs="Arial" w:eastAsia="Arial" w:hAnsi="Arial"/>
          <w:sz w:val="20"/>
          <w:szCs w:val="20"/>
        </w:rPr>
        <w:t xml:space="preserve">Brazos Bend was founded in 2004 by Daniel Reyes, a certified welding inspector with prior experience at a large Houston fabricator. Angela Brooks joined in 2011 as controller and became COO and a 40% owner in 2018. The company operates from a 48,000 square foot leased facility with 68 employees, about 80% of whom are shop floor staff.</w:t>
      </w:r>
    </w:p>
    <w:p>
      <w:pPr>
        <w:spacing w:after="120" w:before="0"/>
      </w:pPr>
      <w:r>
        <w:rPr>
          <w:rFonts w:ascii="Arial" w:cs="Arial" w:eastAsia="Arial" w:hAnsi="Arial"/>
          <w:sz w:val="20"/>
          <w:szCs w:val="20"/>
        </w:rPr>
        <w:t xml:space="preserve">Revenue mix in FY2025 was 40% commercial construction (structural steel and miscellaneous metals), 35% midstream energy (pipe supports, skids, platforms), and 25% industrial OEM components. The largest customer accounted for 14% of revenue and the top five for 46%. Backlog at September 30, 2026 was $7.9MM, roughly five months of production.</w:t>
      </w:r>
    </w:p>
    <w:p>
      <w:pPr>
        <w:spacing w:after="120" w:before="0"/>
      </w:pPr>
      <w:r>
        <w:rPr>
          <w:rFonts w:ascii="Arial" w:cs="Arial" w:eastAsia="Arial" w:hAnsi="Arial"/>
          <w:sz w:val="20"/>
          <w:szCs w:val="20"/>
        </w:rPr>
        <w:t xml:space="preserve">The relationship began in 2019. The existing term loan and line have been handled as agreed with no covenant waivers, and the company has delivered CPA-reviewed statements on time every year.</w:t>
      </w:r>
    </w:p>
    <w:p>
      <w:pPr>
        <w:pStyle w:val="Heading1"/>
        <w:pBdr>
          <w:bottom w:val="single" w:color="1F3864" w:sz="6" w:space="2"/>
        </w:pBdr>
        <w:spacing w:after="120" w:before="240"/>
      </w:pPr>
      <w:r>
        <w:rPr>
          <w:rFonts w:ascii="Arial" w:cs="Arial" w:eastAsia="Arial" w:hAnsi="Arial"/>
          <w:b/>
          <w:bCs/>
          <w:color w:val="1F3864"/>
          <w:sz w:val="24"/>
          <w:szCs w:val="24"/>
        </w:rPr>
        <w:t xml:space="preserve">4. Financial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in thousands, FYE Dec 31)</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FY2023</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FY2024</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FY2025</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Revenue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$14,200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$15,900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$17,600</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Revenue growth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n/a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10.7%</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Gross margin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27.2%</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EBITDA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$1,562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$1,904</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$2,307</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EBITDA margin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13.1%</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Net income (pre-tax, pass-through)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$722</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$1,028</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$1,415</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Distributions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$400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$480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$700</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Current ratio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1.55x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1.56x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1.57x</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Days sales outstanding</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45.0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45.5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46.7</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Cash conversion cycle (days)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60.3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58.3</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59.8</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Debt to worth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1.61x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1.28x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0.98x</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Funded debt / EBITDA</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2.27x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1.63x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1.14x</w:t>
            </w:r>
          </w:p>
        </w:tc>
      </w:tr>
      <w:tr>
        <w:trPr>
          <w:tblHeader w:val="off"/>
        </w:trPr>
        <w:tc>
          <w:tcPr>
            <w:tcW w:type="dxa" w:w="39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Traditional DSCR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1.58x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1.89x</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2.15x</w:t>
            </w:r>
          </w:p>
        </w:tc>
      </w:tr>
    </w:tbl>
    <w:p>
      <w:pPr>
        <w:spacing w:after="120" w:before="160"/>
      </w:pPr>
      <w:r>
        <w:rPr>
          <w:rFonts w:ascii="Arial" w:cs="Arial" w:eastAsia="Arial" w:hAnsi="Arial"/>
          <w:sz w:val="20"/>
          <w:szCs w:val="20"/>
        </w:rPr>
        <w:t xml:space="preserve">Income statement. Growth has been steady and broad based. Gross margin expanded 120 bps over two years as the company passed higher steel costs through to customers on a job-by-job basis rather than carrying fixed-price exposure. SG&amp;A grew more slowly than revenue, producing operating leverage on the way up. That same leverage is the main downside risk (Section 9).</w:t>
      </w:r>
    </w:p>
    <w:p>
      <w:pPr>
        <w:spacing w:after="120" w:before="0"/>
      </w:pPr>
      <w:r>
        <w:rPr>
          <w:rFonts w:ascii="Arial" w:cs="Arial" w:eastAsia="Arial" w:hAnsi="Arial"/>
          <w:sz w:val="20"/>
          <w:szCs w:val="20"/>
        </w:rPr>
        <w:t xml:space="preserve">Balance sheet. Members' equity grew from $3.0MM to $4.3MM, and debt to worth improved from 1.61x to 0.98x as the company retained about half of its earnings. Liquidity is adequate with a 1.57x current ratio, $1.68MM of working capital, and $720K of current line availability. The equity roll-forward and derived cash flow tie to the reported statements with no unexplained variances.</w:t>
      </w:r>
    </w:p>
    <w:p>
      <w:pPr>
        <w:spacing w:after="120" w:before="0"/>
      </w:pPr>
      <w:r>
        <w:rPr>
          <w:rFonts w:ascii="Arial" w:cs="Arial" w:eastAsia="Arial" w:hAnsi="Arial"/>
          <w:sz w:val="20"/>
          <w:szCs w:val="20"/>
        </w:rPr>
        <w:t xml:space="preserve">Working capital. DSO has crept up from 45.0 to 46.7 days as construction customers stretch payments. This is a watch item but not yet a concern: over-90-day receivables are 6.0% of the total, and inventory and payables days are stable. The line increase gives room to absorb slower collections.</w:t>
      </w:r>
    </w:p>
    <w:p>
      <w:pPr>
        <w:pStyle w:val="Heading1"/>
        <w:pBdr>
          <w:bottom w:val="single" w:color="1F3864" w:sz="6" w:space="2"/>
        </w:pBdr>
        <w:spacing w:after="120" w:before="240"/>
      </w:pPr>
      <w:r>
        <w:rPr>
          <w:rFonts w:ascii="Arial" w:cs="Arial" w:eastAsia="Arial" w:hAnsi="Arial"/>
          <w:b/>
          <w:bCs/>
          <w:color w:val="1F3864"/>
          <w:sz w:val="24"/>
          <w:szCs w:val="24"/>
        </w:rPr>
        <w:t xml:space="preserve">5. Repayment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Debt service coverage</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Amount</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FY2025 net income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$1,415,200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Depreciation and amortization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$690,000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Interest expense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$214,000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 Distributions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($700,000)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Cash flow available for debt service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$1,619,200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Existing term debt P&amp;I</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$665,000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New equipment term loan P&amp;I</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$511,230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RLOC interest ($900K average usage)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$60,750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Total pro forma debt service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$1,236,980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Historical pro forma DSCR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1.31x</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Excess cash flow</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$382,220</w:t>
            </w:r>
          </w:p>
        </w:tc>
      </w:tr>
      <w:tr>
        <w:trPr>
          <w:tblHeader w:val="off"/>
        </w:trPr>
        <w:tc>
          <w:tcPr>
            <w:tcW w:type="dxa" w:w="63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Projected Year 1 DSCR</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1.81x</w:t>
            </w:r>
          </w:p>
        </w:tc>
      </w:tr>
    </w:tbl>
    <w:p>
      <w:pPr>
        <w:spacing w:after="120" w:before="160"/>
      </w:pPr>
      <w:r>
        <w:rPr>
          <w:rFonts w:ascii="Arial" w:cs="Arial" w:eastAsia="Arial" w:hAnsi="Arial"/>
          <w:sz w:val="20"/>
          <w:szCs w:val="20"/>
        </w:rPr>
        <w:t xml:space="preserve">Distributions are deducted because the owners rely on them to pay taxes on K-1 income. Historical pro forma coverage of 1.31x clears policy with a modest cushion and does not credit any benefit from the new equipment.</w:t>
      </w:r>
    </w:p>
    <w:p>
      <w:pPr>
        <w:spacing w:after="120" w:before="0"/>
      </w:pPr>
      <w:r>
        <w:rPr>
          <w:rFonts w:ascii="Arial" w:cs="Arial" w:eastAsia="Arial" w:hAnsi="Arial"/>
          <w:sz w:val="20"/>
          <w:szCs w:val="20"/>
        </w:rPr>
        <w:t xml:space="preserve">The projected Year 1 case assumes 6% revenue growth (below the 11.3% three-year CAGR and supported by backlog), a 1.5% gross margin improvement from in-sourcing, flat officer compensation, 4% SG&amp;A growth, and distributions at 45% of net income. Under those assumptions EBITDA rises to $2.79MM and DSCR to 1.81x. Primary repayment comes from operating cash flow; secondary sources are collateral and the guarantors.</w:t>
      </w:r>
    </w:p>
    <w:p>
      <w:pPr>
        <w:pStyle w:val="Heading1"/>
        <w:pBdr>
          <w:bottom w:val="single" w:color="1F3864" w:sz="6" w:space="2"/>
        </w:pBdr>
        <w:spacing w:after="120" w:before="240"/>
      </w:pPr>
      <w:r>
        <w:rPr>
          <w:rFonts w:ascii="Arial" w:cs="Arial" w:eastAsia="Arial" w:hAnsi="Arial"/>
          <w:b/>
          <w:bCs/>
          <w:color w:val="1F3864"/>
          <w:sz w:val="24"/>
          <w:szCs w:val="24"/>
        </w:rPr>
        <w:t xml:space="preserve">6. Global Cash Flow and Guarantors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 Reyes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 Brooks</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Combined</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W-2 compensation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$460,000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K-1 distributions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$420,000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$280,000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$700,000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Other income (rental NOI)</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$54,000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$54,000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Personal income taxes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($372,198)</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($229,824)</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($602,022)</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Living expenses</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($260,000)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Personal cash available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$211,802</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$140,176</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$351,978</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Personal debt service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$116,000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$57,000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$173,000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Post-closing liquidity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$240,000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$310,000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$550,000</w:t>
            </w:r>
          </w:p>
        </w:tc>
      </w:tr>
      <w:tr>
        <w:trPr>
          <w:tblHeader w:val="off"/>
        </w:trPr>
        <w:tc>
          <w:tcPr>
            <w:tcW w:type="dxa" w:w="33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jc w:val="left"/>
            </w:pPr>
            <w:r>
              <w:rPr>
                <w:rFonts w:ascii="Arial" w:cs="Arial" w:eastAsia="Arial" w:hAnsi="Arial"/>
                <w:b/>
                <w:bCs/>
                <w:sz w:val="18"/>
                <w:szCs w:val="18"/>
              </w:rPr>
              <w:t xml:space="preserve">Adjusted net worth</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$4,100,000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$1,900,000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$6,000,000</w:t>
            </w:r>
          </w:p>
        </w:tc>
      </w:tr>
    </w:tbl>
    <w:p>
      <w:pPr>
        <w:spacing w:after="120" w:before="160"/>
      </w:pPr>
      <w:r>
        <w:rPr>
          <w:rFonts w:ascii="Arial" w:cs="Arial" w:eastAsia="Arial" w:hAnsi="Arial"/>
          <w:sz w:val="20"/>
          <w:szCs w:val="20"/>
        </w:rPr>
        <w:t xml:space="preserve">Personal taxes are applied to K-1 taxable income rather than cash distributed, which is the more conservative treatment. Combining business cash flow after distributions ($1.62MM) with personal cash available ($352K) gives global cash of $1.97MM against $1.41MM of combined business and personal debt service, for a global DSCR of 1.40x.</w:t>
      </w:r>
    </w:p>
    <w:p>
      <w:pPr>
        <w:spacing w:after="120" w:before="0"/>
      </w:pPr>
      <w:r>
        <w:rPr>
          <w:rFonts w:ascii="Arial" w:cs="Arial" w:eastAsia="Arial" w:hAnsi="Arial"/>
          <w:sz w:val="20"/>
          <w:szCs w:val="20"/>
        </w:rPr>
        <w:t xml:space="preserve">Post-closing liquidity of $550K covers about 45% of one year of business debt service. Neither guarantor has contingent liabilities. Both guaranties are unlimited.</w:t>
      </w:r>
    </w:p>
    <w:p>
      <w:pPr>
        <w:pStyle w:val="Heading1"/>
        <w:pBdr>
          <w:bottom w:val="single" w:color="1F3864" w:sz="6" w:space="2"/>
        </w:pBdr>
        <w:spacing w:after="120" w:before="240"/>
      </w:pPr>
      <w:r>
        <w:rPr>
          <w:rFonts w:ascii="Arial" w:cs="Arial" w:eastAsia="Arial" w:hAnsi="Arial"/>
          <w:b/>
          <w:bCs/>
          <w:color w:val="1F3864"/>
          <w:sz w:val="24"/>
          <w:szCs w:val="24"/>
        </w:rPr>
        <w:t xml:space="preserve">7. Collateral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1600"/>
        <w:gridCol w:w="2000"/>
      </w:tblGrid>
      <w:tr>
        <w:trPr>
          <w:tblHeader/>
        </w:trPr>
        <w:tc>
          <w:tcPr>
            <w:tcW w:type="dxa" w:w="37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Collateral</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Book / cost</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Advance</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Lendable value</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Accounts receivable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$2,250,000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$1,800,000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Inventory</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$1,640,000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$820,000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Existing equipment (net book)</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$3,770,000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$1,885,000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New equipment (cost)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$3,500,000</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70%</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$2,450,000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Total lendable value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$6,955,000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Total relationship exposure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$6,140,000</w:t>
            </w:r>
          </w:p>
        </w:tc>
      </w:tr>
      <w:tr>
        <w:trPr>
          <w:tblHeader w:val="off"/>
        </w:trPr>
        <w:tc>
          <w:tcPr>
            <w:tcW w:type="dxa" w:w="37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Collateral coverage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1.13x</w:t>
            </w:r>
          </w:p>
        </w:tc>
      </w:tr>
    </w:tbl>
    <w:p>
      <w:pPr>
        <w:spacing w:after="120" w:before="160"/>
      </w:pPr>
      <w:r>
        <w:rPr>
          <w:rFonts w:ascii="Arial" w:cs="Arial" w:eastAsia="Arial" w:hAnsi="Arial"/>
          <w:sz w:val="20"/>
          <w:szCs w:val="20"/>
        </w:rPr>
        <w:t xml:space="preserve">The new equipment is a first-priority purchase money lien, and fiber lasers from major manufacturers have an active resale market. The borrowing base supports $2.26MM against the $1.5MM commitment, so the line is not constrained by collateral at current levels.</w:t>
      </w:r>
    </w:p>
    <w:p>
      <w:pPr>
        <w:pStyle w:val="Heading1"/>
        <w:pBdr>
          <w:bottom w:val="single" w:color="1F3864" w:sz="6" w:space="2"/>
        </w:pBdr>
        <w:spacing w:after="120" w:before="240"/>
      </w:pPr>
      <w:r>
        <w:rPr>
          <w:rFonts w:ascii="Arial" w:cs="Arial" w:eastAsia="Arial" w:hAnsi="Arial"/>
          <w:b/>
          <w:bCs/>
          <w:color w:val="1F3864"/>
          <w:sz w:val="24"/>
          <w:szCs w:val="24"/>
        </w:rPr>
        <w:t xml:space="preserve">8. Industry and Market</w:t>
      </w:r>
    </w:p>
    <w:p>
      <w:pPr>
        <w:spacing w:after="120" w:before="0"/>
      </w:pPr>
      <w:r>
        <w:rPr>
          <w:rFonts w:ascii="Arial" w:cs="Arial" w:eastAsia="Arial" w:hAnsi="Arial"/>
          <w:sz w:val="20"/>
          <w:szCs w:val="20"/>
        </w:rPr>
        <w:t xml:space="preserve">Demand for Gulf Coast fabricators tracks commercial construction and energy capital spending, both cyclical. Recent conditions are supportive: in August 2026 the Dallas Fed's Texas manufacturing general business activity index rose to 11.6, its highest reading since January 2025, with new orders and future outlook indexes also improving.</w:t>
      </w:r>
    </w:p>
    <w:p>
      <w:pPr>
        <w:spacing w:after="120" w:before="0"/>
      </w:pPr>
      <w:r>
        <w:rPr>
          <w:rFonts w:ascii="Arial" w:cs="Arial" w:eastAsia="Arial" w:hAnsi="Arial"/>
          <w:sz w:val="20"/>
          <w:szCs w:val="20"/>
        </w:rPr>
        <w:t xml:space="preserve">Input costs are the main industry pressure. Section 232 tariffs on steel and aluminum remain at up to 50%, and U.S. steel prices reached a four-year high in October 2026. Fabricators that can pass costs through hold margin; those on fixed-price contracts get squeezed. Brazos Bend quotes most jobs with steel price escalation clauses and holds about 47 days of inventory, which limits exposure. See Industry_Risk_Brief.md for the full analysis and sources.</w:t>
      </w:r>
    </w:p>
    <w:p>
      <w:pPr>
        <w:pStyle w:val="Heading1"/>
        <w:pBdr>
          <w:bottom w:val="single" w:color="1F3864" w:sz="6" w:space="2"/>
        </w:pBdr>
        <w:spacing w:after="120" w:before="240"/>
      </w:pPr>
      <w:r>
        <w:rPr>
          <w:rFonts w:ascii="Arial" w:cs="Arial" w:eastAsia="Arial" w:hAnsi="Arial"/>
          <w:b/>
          <w:bCs/>
          <w:color w:val="1F3864"/>
          <w:sz w:val="24"/>
          <w:szCs w:val="24"/>
        </w:rPr>
        <w:t xml:space="preserve">9.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1400"/>
        <w:gridCol w:w="1600"/>
      </w:tblGrid>
      <w:tr>
        <w:trPr>
          <w:tblHeader/>
        </w:trPr>
        <w:tc>
          <w:tcPr>
            <w:tcW w:type="dxa" w:w="4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Scenario</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Stressed CFADS</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DSCR</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Result</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Base case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$1,619,200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1.31x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Pass</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Revenue down 10%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$1,300,558</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1.05x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Watch</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Revenue down 20%</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$981,916</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0.79x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Fail</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Gross margin down 200 bps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$1,441,310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1.17x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Watch</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Rates up 200 bps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$1,628,103</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1.30x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Pass</w:t>
            </w:r>
          </w:p>
        </w:tc>
      </w:tr>
      <w:tr>
        <w:trPr>
          <w:tblHeader w:val="off"/>
        </w:trPr>
        <w:tc>
          <w:tcPr>
            <w:tcW w:type="dxa" w:w="4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Combined: revenue -10%, margin -100 bps, rates +200 bps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$1,229,411</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0.98x</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Fail</w:t>
            </w:r>
          </w:p>
        </w:tc>
      </w:tr>
    </w:tbl>
    <w:p>
      <w:pPr>
        <w:spacing w:after="120" w:before="160"/>
      </w:pPr>
      <w:r>
        <w:rPr>
          <w:rFonts w:ascii="Arial" w:cs="Arial" w:eastAsia="Arial" w:hAnsi="Arial"/>
          <w:sz w:val="20"/>
          <w:szCs w:val="20"/>
        </w:rPr>
        <w:t xml:space="preserve">About 36 cents of every lost revenue dollar falls through to EBITDA because a meaningful share of labor and overhead is fixed. Distributions are assumed to fall with net income since they are mostly tax distributions. The company can absorb a 12.0% revenue decline before coverage drops below 1.00x, and a 2.3% decline before it breaches the 1.25x covenant.</w:t>
      </w:r>
    </w:p>
    <w:p>
      <w:pPr>
        <w:spacing w:after="120" w:before="0"/>
      </w:pPr>
      <w:r>
        <w:rPr>
          <w:rFonts w:ascii="Arial" w:cs="Arial" w:eastAsia="Arial" w:hAnsi="Arial"/>
          <w:sz w:val="20"/>
          <w:szCs w:val="20"/>
        </w:rPr>
        <w:t xml:space="preserve">Interest rate risk is limited because the new term loan is fixed. The thin cushion against the covenant is the reason for the distribution restriction below, which preserves cash in a downturn instead of paying it out.</w:t>
      </w:r>
    </w:p>
    <w:p>
      <w:pPr>
        <w:pStyle w:val="Heading1"/>
        <w:pBdr>
          <w:bottom w:val="single" w:color="1F3864" w:sz="6" w:space="2"/>
        </w:pBdr>
        <w:spacing w:after="120" w:before="240"/>
      </w:pPr>
      <w:r>
        <w:rPr>
          <w:rFonts w:ascii="Arial" w:cs="Arial" w:eastAsia="Arial" w:hAnsi="Arial"/>
          <w:b/>
          <w:bCs/>
          <w:color w:val="1F3864"/>
          <w:sz w:val="24"/>
          <w:szCs w:val="24"/>
        </w:rPr>
        <w:t xml:space="preserve">10. Strengths, Risks, and Mitigants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Risk</w:t>
            </w:r>
          </w:p>
        </w:tc>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Mitigant</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Thin pro forma covenant cushion (1.31x vs 1.25x)</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Distribution restriction if DSCR falls below 1.35x; projected Year 1 DSCR of 1.81x; $382K excess cash flow</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Operating leverage; 12% revenue decline breaks even</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Five months of backlog; diversified end markets; worst historical decline was 9% (2020); guarantor liquidity of $550K</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Steel price volatility and tariffs</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Escalation clauses on most quotes; job-by-job pricing; stable 47-day inventory</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DSO trending up</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Monthly borrowing base reporting; over-90 receivables excluded; increased line capacity</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In-sourcing savings may not materialize</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Approval does not depend on them: historical pro forma DSCR passes with zero benefit</w:t>
            </w:r>
          </w:p>
        </w:tc>
      </w:tr>
      <w:tr>
        <w:trPr>
          <w:tblHeader w:val="off"/>
        </w:trPr>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Customer concentration (top 5 = 46%)</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Largest customer is 14%; ten-plus year relationships with top three</w:t>
            </w:r>
          </w:p>
        </w:tc>
      </w:tr>
    </w:tbl>
    <w:p>
      <w:pPr>
        <w:spacing w:after="60" w:before="160"/>
      </w:pPr>
      <w:r>
        <w:rPr>
          <w:rFonts w:ascii="Arial" w:cs="Arial" w:eastAsia="Arial" w:hAnsi="Arial"/>
          <w:b/>
          <w:bCs/>
          <w:sz w:val="20"/>
          <w:szCs w:val="20"/>
        </w:rPr>
        <w:t xml:space="preserve">Strengths:</w:t>
      </w:r>
    </w:p>
    <w:p>
      <w:pPr>
        <w:pStyle w:val="ListParagraph"/>
        <w:numPr>
          <w:ilvl w:val="0"/>
          <w:numId w:val="2"/>
        </w:numPr>
        <w:spacing w:after="60"/>
      </w:pPr>
      <w:r>
        <w:rPr>
          <w:rFonts w:ascii="Arial" w:cs="Arial" w:eastAsia="Arial" w:hAnsi="Arial"/>
          <w:sz w:val="20"/>
          <w:szCs w:val="20"/>
        </w:rPr>
        <w:t xml:space="preserve">Consistent growth and margin expansion over three years</w:t>
      </w:r>
    </w:p>
    <w:p>
      <w:pPr>
        <w:pStyle w:val="ListParagraph"/>
        <w:numPr>
          <w:ilvl w:val="0"/>
          <w:numId w:val="2"/>
        </w:numPr>
        <w:spacing w:after="60"/>
      </w:pPr>
      <w:r>
        <w:rPr>
          <w:rFonts w:ascii="Arial" w:cs="Arial" w:eastAsia="Arial" w:hAnsi="Arial"/>
          <w:sz w:val="20"/>
          <w:szCs w:val="20"/>
        </w:rPr>
        <w:t xml:space="preserve">Conservative balance sheet trend: debt to worth improved from 1.61x to 0.98x</w:t>
      </w:r>
    </w:p>
    <w:p>
      <w:pPr>
        <w:pStyle w:val="ListParagraph"/>
        <w:numPr>
          <w:ilvl w:val="0"/>
          <w:numId w:val="2"/>
        </w:numPr>
        <w:spacing w:after="60"/>
      </w:pPr>
      <w:r>
        <w:rPr>
          <w:rFonts w:ascii="Arial" w:cs="Arial" w:eastAsia="Arial" w:hAnsi="Arial"/>
          <w:sz w:val="20"/>
          <w:szCs w:val="20"/>
        </w:rPr>
        <w:t xml:space="preserve">Experienced owners with meaningful cash equity in the deal (20%)</w:t>
      </w:r>
    </w:p>
    <w:p>
      <w:pPr>
        <w:pStyle w:val="ListParagraph"/>
        <w:numPr>
          <w:ilvl w:val="0"/>
          <w:numId w:val="2"/>
        </w:numPr>
        <w:spacing w:after="60"/>
      </w:pPr>
      <w:r>
        <w:rPr>
          <w:rFonts w:ascii="Arial" w:cs="Arial" w:eastAsia="Arial" w:hAnsi="Arial"/>
          <w:sz w:val="20"/>
          <w:szCs w:val="20"/>
        </w:rPr>
        <w:t xml:space="preserve">Satisfactory payment history since 2019 with timely financial reporting</w:t>
      </w:r>
    </w:p>
    <w:p>
      <w:pPr>
        <w:pStyle w:val="Heading1"/>
        <w:pBdr>
          <w:bottom w:val="single" w:color="1F3864" w:sz="6" w:space="2"/>
        </w:pBdr>
        <w:spacing w:after="120" w:before="240"/>
      </w:pPr>
      <w:r>
        <w:rPr>
          <w:rFonts w:ascii="Arial" w:cs="Arial" w:eastAsia="Arial" w:hAnsi="Arial"/>
          <w:b/>
          <w:bCs/>
          <w:color w:val="1F3864"/>
          <w:sz w:val="24"/>
          <w:szCs w:val="24"/>
        </w:rPr>
        <w:t xml:space="preserve">11. Covenants and Conditions</w:t>
      </w:r>
    </w:p>
    <w:p>
      <w:pPr>
        <w:pStyle w:val="ListParagraph"/>
        <w:numPr>
          <w:ilvl w:val="0"/>
          <w:numId w:val="2"/>
        </w:numPr>
        <w:spacing w:after="60"/>
      </w:pPr>
      <w:r>
        <w:rPr>
          <w:rFonts w:ascii="Arial" w:cs="Arial" w:eastAsia="Arial" w:hAnsi="Arial"/>
          <w:sz w:val="20"/>
          <w:szCs w:val="20"/>
        </w:rPr>
        <w:t xml:space="preserve">Minimum DSCR of 1.25x, tested annually on CPA-reviewed statements.</w:t>
      </w:r>
    </w:p>
    <w:p>
      <w:pPr>
        <w:pStyle w:val="ListParagraph"/>
        <w:numPr>
          <w:ilvl w:val="0"/>
          <w:numId w:val="2"/>
        </w:numPr>
        <w:spacing w:after="60"/>
      </w:pPr>
      <w:r>
        <w:rPr>
          <w:rFonts w:ascii="Arial" w:cs="Arial" w:eastAsia="Arial" w:hAnsi="Arial"/>
          <w:sz w:val="20"/>
          <w:szCs w:val="20"/>
        </w:rPr>
        <w:t xml:space="preserve">Maximum funded debt to EBITDA of 3.0x, tested annually.</w:t>
      </w:r>
    </w:p>
    <w:p>
      <w:pPr>
        <w:pStyle w:val="ListParagraph"/>
        <w:numPr>
          <w:ilvl w:val="0"/>
          <w:numId w:val="2"/>
        </w:numPr>
        <w:spacing w:after="60"/>
      </w:pPr>
      <w:r>
        <w:rPr>
          <w:rFonts w:ascii="Arial" w:cs="Arial" w:eastAsia="Arial" w:hAnsi="Arial"/>
          <w:sz w:val="20"/>
          <w:szCs w:val="20"/>
        </w:rPr>
        <w:t xml:space="preserve">Distributions limited to tax distributions if trailing DSCR falls below 1.35x.</w:t>
      </w:r>
    </w:p>
    <w:p>
      <w:pPr>
        <w:pStyle w:val="ListParagraph"/>
        <w:numPr>
          <w:ilvl w:val="0"/>
          <w:numId w:val="2"/>
        </w:numPr>
        <w:spacing w:after="60"/>
      </w:pPr>
      <w:r>
        <w:rPr>
          <w:rFonts w:ascii="Arial" w:cs="Arial" w:eastAsia="Arial" w:hAnsi="Arial"/>
          <w:sz w:val="20"/>
          <w:szCs w:val="20"/>
        </w:rPr>
        <w:t xml:space="preserve">Annual CPA-reviewed statements within 120 days of fiscal year end; compliance certificate with each.</w:t>
      </w:r>
    </w:p>
    <w:p>
      <w:pPr>
        <w:pStyle w:val="ListParagraph"/>
        <w:numPr>
          <w:ilvl w:val="0"/>
          <w:numId w:val="2"/>
        </w:numPr>
        <w:spacing w:after="60"/>
      </w:pPr>
      <w:r>
        <w:rPr>
          <w:rFonts w:ascii="Arial" w:cs="Arial" w:eastAsia="Arial" w:hAnsi="Arial"/>
          <w:sz w:val="20"/>
          <w:szCs w:val="20"/>
        </w:rPr>
        <w:t xml:space="preserve">Monthly borrowing base certificate and A/R aging within 20 days of month end while the line has a balance.</w:t>
      </w:r>
    </w:p>
    <w:p>
      <w:pPr>
        <w:pStyle w:val="ListParagraph"/>
        <w:numPr>
          <w:ilvl w:val="0"/>
          <w:numId w:val="2"/>
        </w:numPr>
        <w:spacing w:after="60"/>
      </w:pPr>
      <w:r>
        <w:rPr>
          <w:rFonts w:ascii="Arial" w:cs="Arial" w:eastAsia="Arial" w:hAnsi="Arial"/>
          <w:sz w:val="20"/>
          <w:szCs w:val="20"/>
        </w:rPr>
        <w:t xml:space="preserve">Annual personal financial statements and tax returns from both guarantors.</w:t>
      </w:r>
    </w:p>
    <w:p>
      <w:pPr>
        <w:pStyle w:val="ListParagraph"/>
        <w:numPr>
          <w:ilvl w:val="0"/>
          <w:numId w:val="2"/>
        </w:numPr>
        <w:spacing w:after="60"/>
      </w:pPr>
      <w:r>
        <w:rPr>
          <w:rFonts w:ascii="Arial" w:cs="Arial" w:eastAsia="Arial" w:hAnsi="Arial"/>
          <w:sz w:val="20"/>
          <w:szCs w:val="20"/>
        </w:rPr>
        <w:t xml:space="preserve">Prior to closing: verification of $700K equity injection, vendor invoices for all equipment, and UCC search confirming lien priority.</w:t>
      </w:r>
    </w:p>
    <w:p>
      <w:pPr>
        <w:pStyle w:val="Heading1"/>
        <w:pBdr>
          <w:bottom w:val="single" w:color="1F3864" w:sz="6" w:space="2"/>
        </w:pBdr>
        <w:spacing w:after="120" w:before="240"/>
      </w:pPr>
      <w:r>
        <w:rPr>
          <w:rFonts w:ascii="Arial" w:cs="Arial" w:eastAsia="Arial" w:hAnsi="Arial"/>
          <w:b/>
          <w:bCs/>
          <w:color w:val="1F3864"/>
          <w:sz w:val="24"/>
          <w:szCs w:val="24"/>
        </w:rPr>
        <w:t xml:space="preserve">12. Risk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200"/>
        <w:gridCol w:w="1500"/>
        <w:gridCol w:w="1500"/>
      </w:tblGrid>
      <w:tr>
        <w:trPr>
          <w:tblHeader/>
        </w:trPr>
        <w:tc>
          <w:tcPr>
            <w:tcW w:type="dxa" w:w="31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Factor</w:t>
            </w:r>
          </w:p>
        </w:tc>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Metric</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Score</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Weight</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Repayment capacity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1.31x pro forma DSCR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30%</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Leverage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2.35x funded debt / EBITDA</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Liquidity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1.57x current ratio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Management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Qualitative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15%</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Industry</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Qualitative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Collateral</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1.13x coverage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Guarantor support</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Qualitative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val="false"/>
                <w:bCs w:val="false"/>
                <w:sz w:val="18"/>
                <w:szCs w:val="18"/>
              </w:rPr>
              <w:t xml:space="preserve">10%</w:t>
            </w:r>
          </w:p>
        </w:tc>
      </w:tr>
      <w:tr>
        <w:trPr>
          <w:tblHeader w:val="off"/>
        </w:trPr>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bCs/>
                <w:sz w:val="18"/>
                <w:szCs w:val="18"/>
              </w:rPr>
              <w:t xml:space="preserve">Composite</w:t>
            </w:r>
          </w:p>
        </w:tc>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4.15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right"/>
            </w:pPr>
            <w:r>
              <w:rPr>
                <w:rFonts w:ascii="Arial" w:cs="Arial" w:eastAsia="Arial" w:hAnsi="Arial"/>
                <w:b/>
                <w:bCs/>
                <w:sz w:val="18"/>
                <w:szCs w:val="18"/>
              </w:rPr>
              <w:t xml:space="preserve">100%</w:t>
            </w:r>
          </w:p>
        </w:tc>
      </w:tr>
    </w:tbl>
    <w:p>
      <w:pPr>
        <w:spacing w:after="120" w:before="160"/>
      </w:pPr>
      <w:r>
        <w:rPr>
          <w:rFonts w:ascii="Arial" w:cs="Arial" w:eastAsia="Arial" w:hAnsi="Arial"/>
          <w:sz w:val="20"/>
          <w:szCs w:val="20"/>
        </w:rPr>
        <w:t xml:space="preserve">The composite score rounds to a 4 (Satisfactory) on the bank's 9-point scale. Repayment capacity carries the most weight and is the weakest factor; the rating would move to 5 if pro forma DSCR fell below 1.25x.</w:t>
      </w:r>
    </w:p>
    <w:p>
      <w:pPr>
        <w:pStyle w:val="Heading1"/>
        <w:pBdr>
          <w:bottom w:val="single" w:color="1F3864" w:sz="6" w:space="2"/>
        </w:pBdr>
        <w:spacing w:after="120" w:before="240"/>
      </w:pPr>
      <w:r>
        <w:rPr>
          <w:rFonts w:ascii="Arial" w:cs="Arial" w:eastAsia="Arial" w:hAnsi="Arial"/>
          <w:b/>
          <w:bCs/>
          <w:color w:val="1F3864"/>
          <w:sz w:val="24"/>
          <w:szCs w:val="24"/>
        </w:rPr>
        <w:t xml:space="preserve">13. Recommendation</w:t>
      </w:r>
    </w:p>
    <w:p>
      <w:pPr>
        <w:spacing w:after="120" w:before="0"/>
      </w:pPr>
      <w:r>
        <w:rPr>
          <w:rFonts w:ascii="Arial" w:cs="Arial" w:eastAsia="Arial" w:hAnsi="Arial"/>
          <w:sz w:val="20"/>
          <w:szCs w:val="20"/>
        </w:rPr>
        <w:t xml:space="preserve">I recommend approval of the $2.8MM equipment term loan and the RLOC increase to $1.5MM, with a risk rating of 4. The request is supported by a three-year record of growth and improving leverage, adequate historical coverage that does not rely on projected savings, solid collateral, and two guarantors with real liquidity. The main risk, operating leverage in a cyclical industry, is addressed through the distribution restriction and borrowing base reporting.</w:t>
      </w:r>
    </w:p>
    <w:p>
      <w:pPr>
        <w:spacing w:after="200" w:before="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Prepared by</w:t>
            </w:r>
          </w:p>
        </w:tc>
        <w:tc>
          <w:tcPr>
            <w:tcW w:type="dxa" w:w="3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Reviewed by</w:t>
            </w:r>
          </w:p>
        </w:tc>
        <w:tc>
          <w:tcPr>
            <w:tcW w:type="dxa" w:w="312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Approved by</w:t>
            </w:r>
          </w:p>
        </w:tc>
      </w:tr>
      <w:tr>
        <w:trPr>
          <w:tblHeader w:val="off"/>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Matthew Dial, Credit Analyst</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Credit Officer</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Senior Credit Officer</w:t>
            </w:r>
          </w:p>
        </w:tc>
      </w:tr>
      <w:tr>
        <w:trPr>
          <w:tblHeader w:val="off"/>
        </w:trPr>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Date: 10/23/2026</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Date:</w:t>
            </w:r>
          </w:p>
        </w:tc>
        <w:tc>
          <w:tcPr>
            <w:tcW w:type="dxa" w:w="3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Date:</w:t>
            </w:r>
          </w:p>
        </w:tc>
      </w:tr>
    </w:tbl>
    <w:sectPr>
      <w:headerReference w:type="default" r:id="rId6"/>
      <w:footerReference w:type="default" r:id="rId7"/>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4"/>
        <w:szCs w:val="14"/>
      </w:rPr>
      <w:t xml:space="preserve">CONFIDENTIAL  |  Brazos Bend Fabrication, LLC  |  Fictional work sample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2026-10-23T22:00:54.606Z</dcterms:created>
  <dcterms:modified xsi:type="dcterms:W3CDTF">2026-10-23T22:00:54.614Z</dcterms:modified>
</cp:coreProperties>
</file>

<file path=docProps/custom.xml><?xml version="1.0" encoding="utf-8"?>
<Properties xmlns="http://schemas.openxmlformats.org/officeDocument/2006/custom-properties" xmlns:vt="http://schemas.openxmlformats.org/officeDocument/2006/docPropsVTypes"/>
</file>