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February 20,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Changelog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Changed Name of </w:t>
      </w:r>
      <w:r w:rsidDel="00000000" w:rsidR="00000000" w:rsidRPr="00000000">
        <w:rPr>
          <w:i w:val="1"/>
          <w:rtl w:val="0"/>
        </w:rPr>
        <w:t xml:space="preserve">Other Resources</w:t>
      </w:r>
      <w:r w:rsidDel="00000000" w:rsidR="00000000" w:rsidRPr="00000000">
        <w:rPr>
          <w:rtl w:val="0"/>
        </w:rPr>
        <w:t xml:space="preserve"> Folder to </w:t>
      </w:r>
      <w:r w:rsidDel="00000000" w:rsidR="00000000" w:rsidRPr="00000000">
        <w:rPr>
          <w:i w:val="1"/>
          <w:rtl w:val="0"/>
        </w:rPr>
        <w:t xml:space="preserve">Tools and Resources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The Full Deck Method</w:t>
      </w:r>
      <w:r w:rsidDel="00000000" w:rsidR="00000000" w:rsidRPr="00000000">
        <w:rPr>
          <w:rtl w:val="0"/>
        </w:rPr>
        <w:t xml:space="preserve"> by Bebarce to </w:t>
      </w:r>
      <w:r w:rsidDel="00000000" w:rsidR="00000000" w:rsidRPr="00000000">
        <w:rPr>
          <w:i w:val="1"/>
          <w:rtl w:val="0"/>
        </w:rPr>
        <w:t xml:space="preserve">Tools and Resources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The Buddy System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Tools and Resources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ligraffitti">
    <w:embedRegular w:fontKey="{00000000-0000-0000-0000-000000000000}" r:id="rId1" w:subsetted="0"/>
  </w:font>
  <w:font w:name="Homemade Appl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Homemade Apple" w:cs="Homemade Apple" w:eastAsia="Homemade Apple" w:hAnsi="Homemade Apple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rFonts w:ascii="Calligraffitti" w:cs="Calligraffitti" w:eastAsia="Calligraffitti" w:hAnsi="Calligraffitti"/>
      <w:b w:val="1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ligraffitti-regular.ttf"/><Relationship Id="rId2" Type="http://schemas.openxmlformats.org/officeDocument/2006/relationships/font" Target="fonts/HomemadeAppl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