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pPr>
      <w:r>
        <w:rPr>
          <w:rFonts w:ascii="Calibri" w:cs="Calibri" w:eastAsia="Calibri" w:hAnsi="Calibri"/>
          <w:b/>
          <w:bCs/>
          <w:color w:val="0B0B0B"/>
          <w:sz w:val="64"/>
          <w:szCs w:val="64"/>
        </w:rPr>
        <w:t xml:space="preserve">gnn-sar</w:t>
      </w:r>
    </w:p>
    <w:p>
      <w:pPr>
        <w:spacing w:after="60"/>
      </w:pPr>
      <w:r>
        <w:rPr>
          <w:rFonts w:ascii="Calibri" w:cs="Calibri" w:eastAsia="Calibri" w:hAnsi="Calibri"/>
          <w:color w:val="2A78D6"/>
          <w:sz w:val="32"/>
          <w:szCs w:val="32"/>
        </w:rPr>
        <w:t xml:space="preserve">Report sperimentale: simulazioni, procedure e risultati</w:t>
      </w:r>
    </w:p>
    <w:p>
      <w:pPr>
        <w:spacing w:after="700"/>
      </w:pPr>
      <w:r>
        <w:rPr>
          <w:rFonts w:ascii="Calibri" w:cs="Calibri" w:eastAsia="Calibri" w:hAnsi="Calibri"/>
          <w:i/>
          <w:iCs/>
          <w:color w:val="52514E"/>
          <w:sz w:val="21"/>
          <w:szCs w:val="21"/>
        </w:rPr>
        <w:t xml:space="preserve">Reti neurali su grafo spazio-temporali per il monitoraggio sub-annuale del consumo di suolo da serie Sentinel-1 SAR</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2891"/>
        <w:gridCol w:w="6747"/>
      </w:tblGrid>
      <w:tr>
        <w:trPr>
          <w:tblHeader/>
        </w:trPr>
        <w:tc>
          <w:tcPr>
            <w:tcW w:type="dxa" w:w="2891"/>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Voce</w:t>
            </w:r>
          </w:p>
        </w:tc>
        <w:tc>
          <w:tcPr>
            <w:tcW w:type="dxa" w:w="6747"/>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Valore</w:t>
            </w:r>
          </w:p>
        </w:tc>
      </w:tr>
      <w:tr>
        <w:tc>
          <w:tcPr>
            <w:tcW w:type="dxa" w:w="2891"/>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Progetto</w:t>
            </w:r>
          </w:p>
        </w:tc>
        <w:tc>
          <w:tcPr>
            <w:tcW w:type="dxa" w:w="674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gnn-sar — matteo-campana/gnn-sar</w:t>
            </w:r>
          </w:p>
        </w:tc>
      </w:tr>
      <w:tr>
        <w:tc>
          <w:tcPr>
            <w:tcW w:type="dxa" w:w="2891"/>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Ramo</w:t>
            </w:r>
          </w:p>
        </w:tc>
        <w:tc>
          <w:tcPr>
            <w:tcW w:type="dxa" w:w="674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claude/complete-work-8q5pzw</w:t>
            </w:r>
          </w:p>
        </w:tc>
      </w:tr>
      <w:tr>
        <w:tc>
          <w:tcPr>
            <w:tcW w:type="dxa" w:w="2891"/>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Commit di riferimento</w:t>
            </w:r>
          </w:p>
        </w:tc>
        <w:tc>
          <w:tcPr>
            <w:tcW w:type="dxa" w:w="674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a521805</w:t>
            </w:r>
          </w:p>
        </w:tc>
      </w:tr>
      <w:tr>
        <w:tc>
          <w:tcPr>
            <w:tcW w:type="dxa" w:w="2891"/>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Data di esecuzione</w:t>
            </w:r>
          </w:p>
        </w:tc>
        <w:tc>
          <w:tcPr>
            <w:tcW w:type="dxa" w:w="674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17 settembre 2026</w:t>
            </w:r>
          </w:p>
        </w:tc>
      </w:tr>
      <w:tr>
        <w:tc>
          <w:tcPr>
            <w:tcW w:type="dxa" w:w="2891"/>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Natura dei dati</w:t>
            </w:r>
          </w:p>
        </w:tc>
        <w:tc>
          <w:tcPr>
            <w:tcW w:type="dxa" w:w="674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esclusivamente sintetici (generatore incluso nel repository)</w:t>
            </w:r>
          </w:p>
        </w:tc>
      </w:tr>
      <w:tr>
        <w:tc>
          <w:tcPr>
            <w:tcW w:type="dxa" w:w="2891"/>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Dati reali impiegati</w:t>
            </w:r>
          </w:p>
        </w:tc>
        <w:tc>
          <w:tcPr>
            <w:tcW w:type="dxa" w:w="674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nessuno — né Sentinel-1 né cartografia ISPRA/SNPA</w:t>
            </w:r>
          </w:p>
        </w:tc>
      </w:tr>
    </w:tbl>
    <w:p>
      <w:r>
        <w:br w:type="page"/>
      </w:r>
    </w:p>
    <w:p>
      <w:pPr>
        <w:pStyle w:val="Heading1"/>
        <w:spacing w:after="140" w:before="280"/>
      </w:pPr>
      <w:r>
        <w:rPr>
          <w:rFonts w:ascii="Calibri" w:cs="Calibri" w:eastAsia="Calibri" w:hAnsi="Calibri"/>
        </w:rP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rFonts w:ascii="Calibri" w:cs="Calibri" w:eastAsia="Calibri" w:hAnsi="Calibri"/>
        </w:rPr>
        <w:t xml:space="preserve">1. Sintesi esecutiva</w:t>
      </w:r>
    </w:p>
    <w:p>
      <w:pPr>
        <w:spacing w:after="120" w:line="276"/>
      </w:pPr>
      <w:r>
        <w:rPr>
          <w:rFonts w:ascii="Calibri" w:cs="Calibri" w:eastAsia="Calibri" w:hAnsi="Calibri"/>
          <w:color w:val="0B0B0B"/>
          <w:sz w:val="20"/>
          <w:szCs w:val="20"/>
        </w:rPr>
        <w:t xml:space="preserve">Questo report documenta in dettaglio le simulazioni eseguite sul progetto gnn-sar: il generatore di scenari sintetici, le procedure sperimentali, i sei esperimenti condotti e i loro esiti. Tutti i risultati riguardano dati sintetici; nessuna conclusione qui contenuta è un'affermazione sul territorio italiano o sulla cartografia ISPRA/SNPA.</w:t>
      </w:r>
    </w:p>
    <w:p>
      <w:pPr>
        <w:spacing w:after="120" w:line="276"/>
      </w:pPr>
      <w:r>
        <w:rPr>
          <w:rFonts w:ascii="Calibri" w:cs="Calibri" w:eastAsia="Calibri" w:hAnsi="Calibri"/>
          <w:b/>
          <w:bCs/>
          <w:color w:val="0B0B0B"/>
          <w:sz w:val="20"/>
          <w:szCs w:val="20"/>
        </w:rPr>
        <w:t xml:space="preserve">I risultati principali sono cinque.</w:t>
      </w:r>
    </w:p>
    <w:p>
      <w:pPr>
        <w:pStyle w:val="ListParagraph"/>
        <w:numPr>
          <w:ilvl w:val="0"/>
          <w:numId w:val="2"/>
        </w:numPr>
        <w:spacing w:after="80" w:line="276"/>
      </w:pPr>
      <w:r>
        <w:rPr>
          <w:rFonts w:ascii="Calibri" w:cs="Calibri" w:eastAsia="Calibri" w:hAnsi="Calibri"/>
          <w:color w:val="0B0B0B"/>
          <w:sz w:val="20"/>
          <w:szCs w:val="20"/>
        </w:rPr>
        <w:t xml:space="preserve">La pipeline completa — costruzione del grafo, weak supervision da etichette annuali, addestramento, valutazione sub-annuale — funziona end-to-end e produce mappe e date di rilevazione coerenti.</w:t>
      </w:r>
    </w:p>
    <w:p>
      <w:pPr>
        <w:pStyle w:val="ListParagraph"/>
        <w:numPr>
          <w:ilvl w:val="0"/>
          <w:numId w:val="2"/>
        </w:numPr>
        <w:spacing w:after="80" w:line="276"/>
      </w:pPr>
      <w:r>
        <w:rPr>
          <w:rFonts w:ascii="Calibri" w:cs="Calibri" w:eastAsia="Calibri" w:hAnsi="Calibri"/>
          <w:color w:val="0B0B0B"/>
          <w:sz w:val="20"/>
          <w:szCs w:val="20"/>
        </w:rPr>
        <w:t xml:space="preserve">Su cinque semi indipendenti, l'ablazione senza grafo (Temporal) supera il modello a grafo completo (ST-GNN) in F1 annuale: 0,901 ± 0,045 contro 0,796 ± 0,086. La direzione è la stessa in ogni seme.</w:t>
      </w:r>
    </w:p>
    <w:p>
      <w:pPr>
        <w:pStyle w:val="ListParagraph"/>
        <w:numPr>
          <w:ilvl w:val="0"/>
          <w:numId w:val="2"/>
        </w:numPr>
        <w:spacing w:after="80" w:line="276"/>
      </w:pPr>
      <w:r>
        <w:rPr>
          <w:rFonts w:ascii="Calibri" w:cs="Calibri" w:eastAsia="Calibri" w:hAnsi="Calibri"/>
          <w:color w:val="0B0B0B"/>
          <w:sz w:val="20"/>
          <w:szCs w:val="20"/>
        </w:rPr>
        <w:t xml:space="preserve">Il contributo che paga è il contesto temporale, non quello relazionale: il modello privo sia di grafo sia di memoria (MLP) resta a 0,713 ± 0,116.</w:t>
      </w:r>
    </w:p>
    <w:p>
      <w:pPr>
        <w:pStyle w:val="ListParagraph"/>
        <w:numPr>
          <w:ilvl w:val="0"/>
          <w:numId w:val="2"/>
        </w:numPr>
        <w:spacing w:after="80" w:line="276"/>
      </w:pPr>
      <w:r>
        <w:rPr>
          <w:rFonts w:ascii="Calibri" w:cs="Calibri" w:eastAsia="Calibri" w:hAnsi="Calibri"/>
          <w:color w:val="0B0B0B"/>
          <w:sz w:val="20"/>
          <w:szCs w:val="20"/>
        </w:rPr>
        <w:t xml:space="preserve">Un'ablazione mirata ha identificato un difetto reale dell'implementazione — una normalizzazione applicata lungo l'asse dei canali che cancellava il livello assoluto di backscatter. La sua rimozione è la singola modifica con l'effetto più grande misurato in tutta la campagna.</w:t>
      </w:r>
    </w:p>
    <w:p>
      <w:pPr>
        <w:pStyle w:val="ListParagraph"/>
        <w:numPr>
          <w:ilvl w:val="0"/>
          <w:numId w:val="2"/>
        </w:numPr>
        <w:spacing w:after="80" w:line="276"/>
      </w:pPr>
      <w:r>
        <w:rPr>
          <w:rFonts w:ascii="Calibri" w:cs="Calibri" w:eastAsia="Calibri" w:hAnsi="Calibri"/>
          <w:color w:val="0B0B0B"/>
          <w:sz w:val="20"/>
          <w:szCs w:val="20"/>
        </w:rPr>
        <w:t xml:space="preserve">I blocchi di feature opzionali del §5.2 (tessitura GLCM, attributi geometrici, prossimità) migliorano il modello non relazionale e non recuperano quello a grafo.</w:t>
      </w:r>
    </w:p>
    <w:p>
      <w:pPr>
        <w:spacing w:after="120" w:line="276"/>
      </w:pPr>
      <w:r>
        <w:rPr>
          <w:rFonts w:ascii="Calibri" w:cs="Calibri" w:eastAsia="Calibri" w:hAnsi="Calibri"/>
          <w:b/>
          <w:bCs/>
          <w:color w:val="0B0B0B"/>
          <w:sz w:val="20"/>
          <w:szCs w:val="20"/>
        </w:rPr>
        <w:t xml:space="preserve">Lettura complessiva. </w:t>
      </w:r>
      <w:r>
        <w:rPr>
          <w:rFonts w:ascii="Calibri" w:cs="Calibri" w:eastAsia="Calibri" w:hAnsi="Calibri"/>
          <w:color w:val="0B0B0B"/>
          <w:sz w:val="20"/>
          <w:szCs w:val="20"/>
        </w:rPr>
        <w:t xml:space="preserve">Il banco di prova è corretto e riproducibile; il risultato che produce sul simulatore è che l'ipotesi relazionale non è ancora confermata. Questo è precisamente l'esito che il </w:t>
      </w:r>
      <w:r>
        <w:rPr>
          <w:rFonts w:ascii="Calibri" w:cs="Calibri" w:eastAsia="Calibri" w:hAnsi="Calibri"/>
          <w:i/>
          <w:iCs/>
          <w:color w:val="0B0B0B"/>
          <w:sz w:val="20"/>
          <w:szCs w:val="20"/>
        </w:rPr>
        <w:t xml:space="preserve">gate di fattibilità</w:t>
      </w:r>
      <w:r>
        <w:rPr>
          <w:rFonts w:ascii="Calibri" w:cs="Calibri" w:eastAsia="Calibri" w:hAnsi="Calibri"/>
          <w:color w:val="0B0B0B"/>
          <w:sz w:val="20"/>
          <w:szCs w:val="20"/>
        </w:rPr>
        <w:t xml:space="preserve"> del primo anno previsto dalla proposta di dottorato deve poter restituire. Non è una smentita dell'ipotesi: è l'osservazione che il simulatore attuale non contiene abbastanza struttura relazionale perché il grafo possa dimostrarsi utile.</w:t>
      </w:r>
    </w:p>
    <w:p>
      <w:pPr>
        <w:pStyle w:val="Heading1"/>
        <w:spacing w:after="140" w:before="280"/>
      </w:pPr>
      <w:r>
        <w:rPr>
          <w:rFonts w:ascii="Calibri" w:cs="Calibri" w:eastAsia="Calibri" w:hAnsi="Calibri"/>
        </w:rPr>
        <w:t xml:space="preserve">2. Oggetto, perimetro e limiti</w:t>
      </w:r>
    </w:p>
    <w:p>
      <w:pPr>
        <w:spacing w:after="120" w:line="276"/>
      </w:pPr>
      <w:r>
        <w:rPr>
          <w:rFonts w:ascii="Calibri" w:cs="Calibri" w:eastAsia="Calibri" w:hAnsi="Calibri"/>
          <w:color w:val="0B0B0B"/>
          <w:sz w:val="20"/>
          <w:szCs w:val="20"/>
        </w:rPr>
        <w:t xml:space="preserve">Il termine «simulazione» in questo report indica l'esecuzione della pipeline su scenari generati da un modello sintetico incluso nel repository, non l'elaborazione di acquisizioni Sentinel-1. È una distinzione sostanziale e va tenuta presente in ogni lettura dei risultati.</w:t>
      </w:r>
    </w:p>
    <w:p>
      <w:pPr>
        <w:pStyle w:val="Heading2"/>
        <w:spacing w:after="140" w:before="280"/>
      </w:pPr>
      <w:r>
        <w:rPr>
          <w:rFonts w:ascii="Calibri" w:cs="Calibri" w:eastAsia="Calibri" w:hAnsi="Calibri"/>
        </w:rPr>
        <w:t xml:space="preserve">2.1 Cosa è stato eseguito</w:t>
      </w:r>
    </w:p>
    <w:p>
      <w:pPr>
        <w:pStyle w:val="ListParagraph"/>
        <w:numPr>
          <w:ilvl w:val="0"/>
          <w:numId w:val="2"/>
        </w:numPr>
        <w:spacing w:after="80" w:line="276"/>
      </w:pPr>
      <w:r>
        <w:rPr>
          <w:rFonts w:ascii="Calibri" w:cs="Calibri" w:eastAsia="Calibri" w:hAnsi="Calibri"/>
          <w:color w:val="0B0B0B"/>
          <w:sz w:val="20"/>
          <w:szCs w:val="20"/>
        </w:rPr>
        <w:t xml:space="preserve">Sei esperimenti di addestramento e valutazione su scenari sintetici, per un totale di 45 esecuzioni complete di addestramento e valutazione.</w:t>
      </w:r>
    </w:p>
    <w:p>
      <w:pPr>
        <w:pStyle w:val="ListParagraph"/>
        <w:numPr>
          <w:ilvl w:val="0"/>
          <w:numId w:val="2"/>
        </w:numPr>
        <w:spacing w:after="80" w:line="276"/>
      </w:pPr>
      <w:r>
        <w:rPr>
          <w:rFonts w:ascii="Calibri" w:cs="Calibri" w:eastAsia="Calibri" w:hAnsi="Calibri"/>
          <w:color w:val="0B0B0B"/>
          <w:sz w:val="20"/>
          <w:szCs w:val="20"/>
        </w:rPr>
        <w:t xml:space="preserve">Una suite di 184 test automatici che verifica proprietà formali dell'implementazione (causalità, monotonia, invarianza dell'obiettivo debole, accordo numerico con scikit-learn).</w:t>
      </w:r>
    </w:p>
    <w:p>
      <w:pPr>
        <w:pStyle w:val="Heading2"/>
        <w:spacing w:after="140" w:before="280"/>
      </w:pPr>
      <w:r>
        <w:rPr>
          <w:rFonts w:ascii="Calibri" w:cs="Calibri" w:eastAsia="Calibri" w:hAnsi="Calibri"/>
        </w:rPr>
        <w:t xml:space="preserve">2.2 Cosa NON è stato eseguito</w:t>
      </w:r>
    </w:p>
    <w:p>
      <w:pPr>
        <w:pStyle w:val="ListParagraph"/>
        <w:numPr>
          <w:ilvl w:val="0"/>
          <w:numId w:val="2"/>
        </w:numPr>
        <w:spacing w:after="80" w:line="276"/>
      </w:pPr>
      <w:r>
        <w:rPr>
          <w:rFonts w:ascii="Calibri" w:cs="Calibri" w:eastAsia="Calibri" w:hAnsi="Calibri"/>
          <w:color w:val="0B0B0B"/>
          <w:sz w:val="20"/>
          <w:szCs w:val="20"/>
        </w:rPr>
        <w:t xml:space="preserve">Nessuna ingestione di dati Sentinel-1: né download da Copernicus Data Space, né calibrazione, terrain correction, despeckling o calcolo della coerenza InSAR.</w:t>
      </w:r>
    </w:p>
    <w:p>
      <w:pPr>
        <w:pStyle w:val="ListParagraph"/>
        <w:numPr>
          <w:ilvl w:val="0"/>
          <w:numId w:val="2"/>
        </w:numPr>
        <w:spacing w:after="80" w:line="276"/>
      </w:pPr>
      <w:r>
        <w:rPr>
          <w:rFonts w:ascii="Calibri" w:cs="Calibri" w:eastAsia="Calibri" w:hAnsi="Calibri"/>
          <w:color w:val="0B0B0B"/>
          <w:sz w:val="20"/>
          <w:szCs w:val="20"/>
        </w:rPr>
        <w:t xml:space="preserve">Nessun confronto con la cartografia ISPRA/SNPA. Il contratto di etichetta annuale è implementato, i dati non sono collegati.</w:t>
      </w:r>
    </w:p>
    <w:p>
      <w:pPr>
        <w:pStyle w:val="ListParagraph"/>
        <w:numPr>
          <w:ilvl w:val="0"/>
          <w:numId w:val="2"/>
        </w:numPr>
        <w:spacing w:after="80" w:line="276"/>
      </w:pPr>
      <w:r>
        <w:rPr>
          <w:rFonts w:ascii="Calibri" w:cs="Calibri" w:eastAsia="Calibri" w:hAnsi="Calibri"/>
          <w:color w:val="0B0B0B"/>
          <w:sz w:val="20"/>
          <w:szCs w:val="20"/>
        </w:rPr>
        <w:t xml:space="preserve">Nessuna esecuzione sulle aree pilota (Lazio, Pianura Padana).</w:t>
      </w:r>
    </w:p>
    <w:p>
      <w:pPr>
        <w:pStyle w:val="ListParagraph"/>
        <w:numPr>
          <w:ilvl w:val="0"/>
          <w:numId w:val="2"/>
        </w:numPr>
        <w:spacing w:after="80" w:line="276"/>
      </w:pPr>
      <w:r>
        <w:rPr>
          <w:rFonts w:ascii="Calibri" w:cs="Calibri" w:eastAsia="Calibri" w:hAnsi="Calibri"/>
          <w:color w:val="0B0B0B"/>
          <w:sz w:val="20"/>
          <w:szCs w:val="20"/>
        </w:rPr>
        <w:t xml:space="preserve">Nessuna ottimizzazione degli iperparametri: tutti i modelli usano gli stessi valori di default, non messi a punto per nessuno di essi.</w:t>
      </w:r>
    </w:p>
    <w:p>
      <w:pPr>
        <w:spacing w:after="200" w:line="276"/>
      </w:pPr>
      <w:r>
        <w:rPr>
          <w:rFonts w:ascii="Calibri" w:cs="Calibri" w:eastAsia="Calibri" w:hAnsi="Calibri"/>
          <w:b/>
          <w:bCs/>
          <w:color w:val="0B0B0B"/>
          <w:sz w:val="20"/>
          <w:szCs w:val="20"/>
        </w:rPr>
        <w:t xml:space="preserve">Conseguenza. </w:t>
      </w:r>
      <w:r>
        <w:rPr>
          <w:rFonts w:ascii="Calibri" w:cs="Calibri" w:eastAsia="Calibri" w:hAnsi="Calibri"/>
          <w:color w:val="0B0B0B"/>
          <w:sz w:val="20"/>
          <w:szCs w:val="20"/>
        </w:rPr>
        <w:t xml:space="preserve">I risultati stabiliscono che il banco di prova funziona ed è riproducibile, e misurano il comportamento relativo dei modelli </w:t>
      </w:r>
      <w:r>
        <w:rPr>
          <w:rFonts w:ascii="Calibri" w:cs="Calibri" w:eastAsia="Calibri" w:hAnsi="Calibri"/>
          <w:i/>
          <w:iCs/>
          <w:color w:val="0B0B0B"/>
          <w:sz w:val="20"/>
          <w:szCs w:val="20"/>
        </w:rPr>
        <w:t xml:space="preserve">su questo simulatore</w:t>
      </w:r>
      <w:r>
        <w:rPr>
          <w:rFonts w:ascii="Calibri" w:cs="Calibri" w:eastAsia="Calibri" w:hAnsi="Calibri"/>
          <w:color w:val="0B0B0B"/>
          <w:sz w:val="20"/>
          <w:szCs w:val="20"/>
        </w:rPr>
        <w:t xml:space="preserve">. Non stabiliscono nulla sull'accuratezza raggiungibile su dati reali, né confermano né smentiscono l'ipotesi relazionale della proposta.</w:t>
      </w:r>
    </w:p>
    <w:p>
      <w:pPr>
        <w:pStyle w:val="Heading1"/>
        <w:spacing w:after="140" w:before="280"/>
      </w:pPr>
      <w:r>
        <w:rPr>
          <w:rFonts w:ascii="Calibri" w:cs="Calibri" w:eastAsia="Calibri" w:hAnsi="Calibri"/>
        </w:rPr>
        <w:t xml:space="preserve">3. Ambiente sperimentale</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3662"/>
        <w:gridCol w:w="5976"/>
      </w:tblGrid>
      <w:tr>
        <w:trPr>
          <w:tblHeader/>
        </w:trPr>
        <w:tc>
          <w:tcPr>
            <w:tcW w:type="dxa" w:w="3662"/>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Componente</w:t>
            </w:r>
          </w:p>
        </w:tc>
        <w:tc>
          <w:tcPr>
            <w:tcW w:type="dxa" w:w="5976"/>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Versione / valore</w:t>
            </w:r>
          </w:p>
        </w:tc>
      </w:tr>
      <w:tr>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Sistema operativo</w:t>
            </w:r>
          </w:p>
        </w:tc>
        <w:tc>
          <w:tcPr>
            <w:tcW w:type="dxa" w:w="5976"/>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Linux 6.18.44 (container, CPU soltanto)</w:t>
            </w:r>
          </w:p>
        </w:tc>
      </w:tr>
      <w:tr>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Python</w:t>
            </w:r>
          </w:p>
        </w:tc>
        <w:tc>
          <w:tcPr>
            <w:tcW w:type="dxa" w:w="5976"/>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3.11.15</w:t>
            </w:r>
          </w:p>
        </w:tc>
      </w:tr>
      <w:tr>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PyTorch</w:t>
            </w:r>
          </w:p>
        </w:tc>
        <w:tc>
          <w:tcPr>
            <w:tcW w:type="dxa" w:w="5976"/>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2.6.0+cu124, eseguito su CPU (versione fissata in pyproject.toml)</w:t>
            </w:r>
          </w:p>
        </w:tc>
      </w:tr>
      <w:tr>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PyTorch Geometric</w:t>
            </w:r>
          </w:p>
        </w:tc>
        <w:tc>
          <w:tcPr>
            <w:tcW w:type="dxa" w:w="5976"/>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2.8.0.post1</w:t>
            </w:r>
          </w:p>
        </w:tc>
      </w:tr>
      <w:tr>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PyTorch Lightning</w:t>
            </w:r>
          </w:p>
        </w:tc>
        <w:tc>
          <w:tcPr>
            <w:tcW w:type="dxa" w:w="5976"/>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2.5.0</w:t>
            </w:r>
          </w:p>
        </w:tc>
      </w:tr>
      <w:tr>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TorchMetrics</w:t>
            </w:r>
          </w:p>
        </w:tc>
        <w:tc>
          <w:tcPr>
            <w:tcW w:type="dxa" w:w="5976"/>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1.9.0</w:t>
            </w:r>
          </w:p>
        </w:tc>
      </w:tr>
      <w:tr>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NumPy / SciPy / scikit-learn</w:t>
            </w:r>
          </w:p>
        </w:tc>
        <w:tc>
          <w:tcPr>
            <w:tcW w:type="dxa" w:w="5976"/>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 2.0 / ≥ 1.13 / ≥ 1.5</w:t>
            </w:r>
          </w:p>
        </w:tc>
      </w:tr>
      <w:tr>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Acceleratore</w:t>
            </w:r>
          </w:p>
        </w:tc>
        <w:tc>
          <w:tcPr>
            <w:tcW w:type="dxa" w:w="5976"/>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CPU (accelerator="cpu", devices=1)</w:t>
            </w:r>
          </w:p>
        </w:tc>
      </w:tr>
      <w:tr>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Tempo di calcolo totale (studio multi-seme)</w:t>
            </w:r>
          </w:p>
        </w:tc>
        <w:tc>
          <w:tcPr>
            <w:tcW w:type="dxa" w:w="5976"/>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171 s per 30 esecuzioni complete</w:t>
            </w:r>
          </w:p>
        </w:tc>
      </w:tr>
    </w:tbl>
    <w:p>
      <w:pPr>
        <w:spacing w:after="220"/>
        <w:jc w:val="left"/>
      </w:pPr>
      <w:r>
        <w:rPr>
          <w:rFonts w:ascii="Calibri" w:cs="Calibri" w:eastAsia="Calibri" w:hAnsi="Calibri"/>
          <w:i/>
          <w:iCs/>
          <w:color w:val="52514E"/>
          <w:sz w:val="17"/>
          <w:szCs w:val="17"/>
        </w:rPr>
        <w:t xml:space="preserve">Tabella 1 — Ambiente di esecuzione. L'intera campagna gira su CPU in pochi minuti: le dimensioni sono quelle di un banco di prova, non di un addestramento su scala nazionale.</w:t>
      </w:r>
    </w:p>
    <w:p>
      <w:pPr>
        <w:pStyle w:val="Heading1"/>
        <w:spacing w:after="140" w:before="280"/>
      </w:pPr>
      <w:r>
        <w:rPr>
          <w:rFonts w:ascii="Calibri" w:cs="Calibri" w:eastAsia="Calibri" w:hAnsi="Calibri"/>
        </w:rPr>
        <w:t xml:space="preserve">4. Il simulatore di scenari di consumo di suolo</w:t>
      </w:r>
    </w:p>
    <w:p>
      <w:pPr>
        <w:spacing w:after="120" w:line="276"/>
      </w:pPr>
      <w:r>
        <w:rPr>
          <w:rFonts w:ascii="Calibri" w:cs="Calibri" w:eastAsia="Calibri" w:hAnsi="Calibri"/>
          <w:color w:val="0B0B0B"/>
          <w:sz w:val="20"/>
          <w:szCs w:val="20"/>
        </w:rPr>
        <w:t xml:space="preserve">Il generatore (gnn_sar.data.synthetic) non simula la fisica del radar. Riproduce deliberatamente le tre sole proprietà da cui dipende il metodo, e nient'altro: propagazione topologica, firma distribuita nel tempo, etichettatura debole annuale.</w:t>
      </w:r>
    </w:p>
    <w:p>
      <w:pPr>
        <w:pStyle w:val="Heading2"/>
        <w:spacing w:after="140" w:before="280"/>
      </w:pPr>
      <w:r>
        <w:rPr>
          <w:rFonts w:ascii="Calibri" w:cs="Calibri" w:eastAsia="Calibri" w:hAnsi="Calibri"/>
        </w:rPr>
        <w:t xml:space="preserve">4.1 Processo di consumo di suolo</w:t>
      </w:r>
    </w:p>
    <w:p>
      <w:pPr>
        <w:spacing w:after="120" w:line="276"/>
      </w:pPr>
      <w:r>
        <w:rPr>
          <w:rFonts w:ascii="Calibri" w:cs="Calibri" w:eastAsia="Calibri" w:hAnsi="Calibri"/>
          <w:color w:val="0B0B0B"/>
          <w:sz w:val="20"/>
          <w:szCs w:val="20"/>
        </w:rPr>
        <w:t xml:space="preserve">Il consumo è modellato come un processo di contagio sul grafo. A ogni composito t, ciascun nodo non ancora sigillato viene sigillato con probabilità (hazard):</w:t>
      </w:r>
    </w:p>
    <w:p>
      <w:pPr>
        <w:pBdr>
          <w:left w:val="single" w:color="D8D8D2" w:sz="12" w:space="6"/>
        </w:pBdr>
        <w:shd w:fill="F4F4F1" w:val="clear"/>
        <w:spacing w:after="140" w:before="100"/>
      </w:pPr>
      <w:r>
        <w:rPr>
          <w:rFonts w:ascii="Consolas" w:cs="Consolas" w:eastAsia="Consolas" w:hAnsi="Consolas"/>
          <w:color w:val="1F1F1F"/>
          <w:sz w:val="17"/>
          <w:szCs w:val="17"/>
        </w:rPr>
        <w:t xml:space="preserve">h(i, t) = base_hazard</w:t>
      </w:r>
      <w:r>
        <w:br/>
      </w:r>
      <w:r>
        <w:rPr>
          <w:rFonts w:ascii="Consolas" w:cs="Consolas" w:eastAsia="Consolas" w:hAnsi="Consolas"/>
          <w:color w:val="1F1F1F"/>
          <w:sz w:val="17"/>
          <w:szCs w:val="17"/>
        </w:rPr>
        <w:t xml:space="preserve">         + neighbor_hazard · (vicini_sigillati(i, t) / grado(i))</w:t>
      </w:r>
      <w:r>
        <w:br/>
      </w:r>
      <w:r>
        <w:rPr>
          <w:rFonts w:ascii="Consolas" w:cs="Consolas" w:eastAsia="Consolas" w:hAnsi="Consolas"/>
          <w:color w:val="1F1F1F"/>
          <w:sz w:val="17"/>
          <w:szCs w:val="17"/>
        </w:rPr>
        <w:t xml:space="preserve">         + corridor_hazard · 1[i ∈ corridoio]</w:t>
      </w:r>
    </w:p>
    <w:p>
      <w:pPr>
        <w:spacing w:after="120" w:line="276"/>
      </w:pPr>
      <w:r>
        <w:rPr>
          <w:rFonts w:ascii="Calibri" w:cs="Calibri" w:eastAsia="Calibri" w:hAnsi="Calibri"/>
          <w:color w:val="0B0B0B"/>
          <w:sz w:val="20"/>
          <w:szCs w:val="20"/>
        </w:rPr>
        <w:t xml:space="preserve">Il termine centrale è ciò che rende il processo relazionale: la probabilità che un'unità venga consumata cresce con la frazione dei suoi vicini già consumati. Il terzo termine rappresenta la pressione lungo l'infrastruttura. Il processo parte da un numero fissato di nuclei edificati.</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2120"/>
        <w:gridCol w:w="1928"/>
        <w:gridCol w:w="5590"/>
      </w:tblGrid>
      <w:tr>
        <w:trPr>
          <w:tblHeader/>
        </w:trPr>
        <w:tc>
          <w:tcPr>
            <w:tcW w:type="dxa" w:w="2120"/>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Parametro</w:t>
            </w:r>
          </w:p>
        </w:tc>
        <w:tc>
          <w:tcPr>
            <w:tcW w:type="dxa" w:w="1928"/>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Valore di riferimento</w:t>
            </w:r>
          </w:p>
        </w:tc>
        <w:tc>
          <w:tcPr>
            <w:tcW w:type="dxa" w:w="5590"/>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Significato</w:t>
            </w:r>
          </w:p>
        </w:tc>
      </w:tr>
      <w:tr>
        <w:tc>
          <w:tcPr>
            <w:tcW w:type="dxa" w:w="212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base_hazard</w:t>
            </w:r>
          </w:p>
        </w:tc>
        <w:tc>
          <w:tcPr>
            <w:tcW w:type="dxa" w:w="192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0,002</w:t>
            </w:r>
          </w:p>
        </w:tc>
        <w:tc>
          <w:tcPr>
            <w:tcW w:type="dxa" w:w="559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probabilità per composito che un nodo isolato venga consumato</w:t>
            </w:r>
          </w:p>
        </w:tc>
      </w:tr>
      <w:tr>
        <w:tc>
          <w:tcPr>
            <w:tcW w:type="dxa" w:w="212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neighbor_hazard</w:t>
            </w:r>
          </w:p>
        </w:tc>
        <w:tc>
          <w:tcPr>
            <w:tcW w:type="dxa" w:w="192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0,12</w:t>
            </w:r>
          </w:p>
        </w:tc>
        <w:tc>
          <w:tcPr>
            <w:tcW w:type="dxa" w:w="559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hazard aggiuntivo a saturazione dei vicini già consumati</w:t>
            </w:r>
          </w:p>
        </w:tc>
      </w:tr>
      <w:tr>
        <w:tc>
          <w:tcPr>
            <w:tcW w:type="dxa" w:w="212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corridor_hazard</w:t>
            </w:r>
          </w:p>
        </w:tc>
        <w:tc>
          <w:tcPr>
            <w:tcW w:type="dxa" w:w="192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0,03</w:t>
            </w:r>
          </w:p>
        </w:tc>
        <w:tc>
          <w:tcPr>
            <w:tcW w:type="dxa" w:w="559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hazard aggiuntivo per i nodi sul corridoio infrastrutturale</w:t>
            </w:r>
          </w:p>
        </w:tc>
      </w:tr>
      <w:tr>
        <w:tc>
          <w:tcPr>
            <w:tcW w:type="dxa" w:w="212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n_seeds</w:t>
            </w:r>
          </w:p>
        </w:tc>
        <w:tc>
          <w:tcPr>
            <w:tcW w:type="dxa" w:w="192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3</w:t>
            </w:r>
          </w:p>
        </w:tc>
        <w:tc>
          <w:tcPr>
            <w:tcW w:type="dxa" w:w="559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nuclei edificati iniziali da cui l'espansione parte</w:t>
            </w:r>
          </w:p>
        </w:tc>
      </w:tr>
      <w:tr>
        <w:tc>
          <w:tcPr>
            <w:tcW w:type="dxa" w:w="212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construction_periods</w:t>
            </w:r>
          </w:p>
        </w:tc>
        <w:tc>
          <w:tcPr>
            <w:tcW w:type="dxa" w:w="192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2</w:t>
            </w:r>
          </w:p>
        </w:tc>
        <w:tc>
          <w:tcPr>
            <w:tcW w:type="dxa" w:w="559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durata della fase di cantiere che precede la sigillazione</w:t>
            </w:r>
          </w:p>
        </w:tc>
      </w:tr>
    </w:tbl>
    <w:p>
      <w:pPr>
        <w:spacing w:after="220"/>
        <w:jc w:val="left"/>
      </w:pPr>
      <w:r>
        <w:rPr>
          <w:rFonts w:ascii="Calibri" w:cs="Calibri" w:eastAsia="Calibri" w:hAnsi="Calibri"/>
          <w:i/>
          <w:iCs/>
          <w:color w:val="52514E"/>
          <w:sz w:val="17"/>
          <w:szCs w:val="17"/>
        </w:rPr>
        <w:t xml:space="preserve">Tabella 2 — Parametri del processo di contagio.</w:t>
      </w:r>
    </w:p>
    <w:p>
      <w:pPr>
        <w:pStyle w:val="Heading2"/>
        <w:spacing w:after="140" w:before="280"/>
      </w:pPr>
      <w:r>
        <w:rPr>
          <w:rFonts w:ascii="Calibri" w:cs="Calibri" w:eastAsia="Calibri" w:hAnsi="Calibri"/>
        </w:rPr>
        <w:t xml:space="preserve">4.2 Firma radiometrica</w:t>
      </w:r>
    </w:p>
    <w:p>
      <w:pPr>
        <w:spacing w:after="120" w:line="276"/>
      </w:pPr>
      <w:r>
        <w:rPr>
          <w:rFonts w:ascii="Calibri" w:cs="Calibri" w:eastAsia="Calibri" w:hAnsi="Calibri"/>
          <w:color w:val="0B0B0B"/>
          <w:sz w:val="20"/>
          <w:szCs w:val="20"/>
        </w:rPr>
        <w:t xml:space="preserve">Ogni nodo attraversa tre fasi — naturale, cantiere, sigillato — a cui corrispondono livelli distinti di backscatter e coerenza. La fase di cantiere è ciò che rende possibile l'anticipazione: è visibile prima della transizione vera e propria.</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3855"/>
        <w:gridCol w:w="1928"/>
        <w:gridCol w:w="1928"/>
        <w:gridCol w:w="1928"/>
      </w:tblGrid>
      <w:tr>
        <w:trPr>
          <w:tblHeader/>
        </w:trPr>
        <w:tc>
          <w:tcPr>
            <w:tcW w:type="dxa" w:w="3855"/>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Fase</w:t>
            </w:r>
          </w:p>
        </w:tc>
        <w:tc>
          <w:tcPr>
            <w:tcW w:type="dxa" w:w="1928"/>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VV (dB)</w:t>
            </w:r>
          </w:p>
        </w:tc>
        <w:tc>
          <w:tcPr>
            <w:tcW w:type="dxa" w:w="1928"/>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VH (dB)</w:t>
            </w:r>
          </w:p>
        </w:tc>
        <w:tc>
          <w:tcPr>
            <w:tcW w:type="dxa" w:w="1928"/>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Coerenza</w:t>
            </w:r>
          </w:p>
        </w:tc>
      </w:tr>
      <w:tr>
        <w:tc>
          <w:tcPr>
            <w:tcW w:type="dxa" w:w="3855"/>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Naturale / agricolo</w:t>
            </w:r>
          </w:p>
        </w:tc>
        <w:tc>
          <w:tcPr>
            <w:tcW w:type="dxa" w:w="1928"/>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−15,0</w:t>
            </w:r>
          </w:p>
        </w:tc>
        <w:tc>
          <w:tcPr>
            <w:tcW w:type="dxa" w:w="1928"/>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−22,0</w:t>
            </w:r>
          </w:p>
        </w:tc>
        <w:tc>
          <w:tcPr>
            <w:tcW w:type="dxa" w:w="1928"/>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0,72</w:t>
            </w:r>
          </w:p>
        </w:tc>
      </w:tr>
      <w:tr>
        <w:tc>
          <w:tcPr>
            <w:tcW w:type="dxa" w:w="3855"/>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Cantiere</w:t>
            </w:r>
          </w:p>
        </w:tc>
        <w:tc>
          <w:tcPr>
            <w:tcW w:type="dxa" w:w="1928"/>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−12,0</w:t>
            </w:r>
          </w:p>
        </w:tc>
        <w:tc>
          <w:tcPr>
            <w:tcW w:type="dxa" w:w="1928"/>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−20,0</w:t>
            </w:r>
          </w:p>
        </w:tc>
        <w:tc>
          <w:tcPr>
            <w:tcW w:type="dxa" w:w="1928"/>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0,18</w:t>
            </w:r>
          </w:p>
        </w:tc>
      </w:tr>
      <w:tr>
        <w:tc>
          <w:tcPr>
            <w:tcW w:type="dxa" w:w="3855"/>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Sigillato</w:t>
            </w:r>
          </w:p>
        </w:tc>
        <w:tc>
          <w:tcPr>
            <w:tcW w:type="dxa" w:w="1928"/>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−7,0</w:t>
            </w:r>
          </w:p>
        </w:tc>
        <w:tc>
          <w:tcPr>
            <w:tcW w:type="dxa" w:w="1928"/>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−14,0</w:t>
            </w:r>
          </w:p>
        </w:tc>
        <w:tc>
          <w:tcPr>
            <w:tcW w:type="dxa" w:w="1928"/>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0,85</w:t>
            </w:r>
          </w:p>
        </w:tc>
      </w:tr>
    </w:tbl>
    <w:p>
      <w:pPr>
        <w:spacing w:after="220"/>
        <w:jc w:val="left"/>
      </w:pPr>
      <w:r>
        <w:rPr>
          <w:rFonts w:ascii="Calibri" w:cs="Calibri" w:eastAsia="Calibri" w:hAnsi="Calibri"/>
          <w:i/>
          <w:iCs/>
          <w:color w:val="52514E"/>
          <w:sz w:val="17"/>
          <w:szCs w:val="17"/>
        </w:rPr>
        <w:t xml:space="preserve">Tabella 3 — Livelli della firma a contrasto pieno. Il crollo della coerenza in fase di cantiere e la sua risalita a struttura costruita riproducono il comportamento che la letteratura InSAR attribuisce a questo tipo di transizione.</w:t>
      </w:r>
    </w:p>
    <w:p>
      <w:pPr>
        <w:pStyle w:val="Heading2"/>
        <w:spacing w:after="140" w:before="280"/>
      </w:pPr>
      <w:r>
        <w:rPr>
          <w:rFonts w:ascii="Calibri" w:cs="Calibri" w:eastAsia="Calibri" w:hAnsi="Calibri"/>
        </w:rPr>
        <w:t xml:space="preserve">4.3 Rumore e difficoltà</w:t>
      </w:r>
    </w:p>
    <w:p>
      <w:pPr>
        <w:pStyle w:val="ListParagraph"/>
        <w:numPr>
          <w:ilvl w:val="0"/>
          <w:numId w:val="2"/>
        </w:numPr>
        <w:spacing w:after="80" w:line="276"/>
      </w:pPr>
      <w:r>
        <w:rPr>
          <w:rFonts w:ascii="Calibri" w:cs="Calibri" w:eastAsia="Calibri" w:hAnsi="Calibri"/>
          <w:color w:val="0B0B0B"/>
          <w:sz w:val="20"/>
          <w:szCs w:val="20"/>
        </w:rPr>
        <w:t xml:space="preserve">Speckle moltiplicativo: rumore Gamma con L = 4 look equivalenti, applicato alla potenza lineare prima della conversione in dB.</w:t>
      </w:r>
    </w:p>
    <w:p>
      <w:pPr>
        <w:pStyle w:val="ListParagraph"/>
        <w:numPr>
          <w:ilvl w:val="0"/>
          <w:numId w:val="2"/>
        </w:numPr>
        <w:spacing w:after="80" w:line="276"/>
      </w:pPr>
      <w:r>
        <w:rPr>
          <w:rFonts w:ascii="Calibri" w:cs="Calibri" w:eastAsia="Calibri" w:hAnsi="Calibri"/>
          <w:color w:val="0B0B0B"/>
          <w:sz w:val="20"/>
          <w:szCs w:val="20"/>
        </w:rPr>
        <w:t xml:space="preserve">Eterogeneità di copertura: offset per nodo, costante nel tempo, con deviazione standard 1,2 dB. Essendo costante non può essere scambiato per un segnale di cambiamento, ma lo nasconde.</w:t>
      </w:r>
    </w:p>
    <w:p>
      <w:pPr>
        <w:pStyle w:val="ListParagraph"/>
        <w:numPr>
          <w:ilvl w:val="0"/>
          <w:numId w:val="2"/>
        </w:numPr>
        <w:spacing w:after="80" w:line="276"/>
      </w:pPr>
      <w:r>
        <w:rPr>
          <w:rFonts w:ascii="Calibri" w:cs="Calibri" w:eastAsia="Calibri" w:hAnsi="Calibri"/>
          <w:color w:val="0B0B0B"/>
          <w:sz w:val="20"/>
          <w:szCs w:val="20"/>
        </w:rPr>
        <w:t xml:space="preserve">Parametro contrast: scala la distanza fra la firma di cambiamento e quella naturale. A 1,0 il caso è facilmente separabile; a 0,3 la firma finisce dentro lo speckle.</w:t>
      </w:r>
    </w:p>
    <w:p>
      <w:pPr>
        <w:spacing w:after="120" w:line="276"/>
      </w:pPr>
      <w:r>
        <w:rPr>
          <w:rFonts w:ascii="Calibri" w:cs="Calibri" w:eastAsia="Calibri" w:hAnsi="Calibri"/>
          <w:color w:val="0B0B0B"/>
          <w:sz w:val="20"/>
          <w:szCs w:val="20"/>
        </w:rPr>
        <w:t xml:space="preserve">Il valore di riferimento adottato per tutti gli esperimenti comparativi è </w:t>
      </w:r>
      <w:r>
        <w:rPr>
          <w:rFonts w:ascii="Consolas" w:cs="Consolas" w:eastAsia="Consolas" w:hAnsi="Consolas"/>
          <w:color w:val="0B0B0B"/>
          <w:sz w:val="18"/>
          <w:szCs w:val="18"/>
        </w:rPr>
        <w:t xml:space="preserve">contrast = 0,3</w:t>
      </w:r>
      <w:r>
        <w:rPr>
          <w:rFonts w:ascii="Calibri" w:cs="Calibri" w:eastAsia="Calibri" w:hAnsi="Calibri"/>
          <w:color w:val="0B0B0B"/>
          <w:sz w:val="20"/>
          <w:szCs w:val="20"/>
        </w:rPr>
        <w:t xml:space="preserve">. A questo livello la separazione fra classi sul canale VV medio è di 2,34 dB contro una deviazione standard entro-classe di 1,35 dB — circa 1,7 σ, un regime in cui il problema è genuinamente difficile e i modelli si differenziano.</w:t>
      </w:r>
    </w:p>
    <w:p>
      <w:pPr>
        <w:pStyle w:val="Heading2"/>
        <w:spacing w:after="140" w:before="280"/>
      </w:pPr>
      <w:r>
        <w:rPr>
          <w:rFonts w:ascii="Calibri" w:cs="Calibri" w:eastAsia="Calibri" w:hAnsi="Calibri"/>
        </w:rPr>
        <w:t xml:space="preserve">4.4 Etichettatura debole</w:t>
      </w:r>
    </w:p>
    <w:p>
      <w:pPr>
        <w:spacing w:after="120" w:line="276"/>
      </w:pPr>
      <w:r>
        <w:rPr>
          <w:rFonts w:ascii="Calibri" w:cs="Calibri" w:eastAsia="Calibri" w:hAnsi="Calibri"/>
          <w:color w:val="0B0B0B"/>
          <w:sz w:val="20"/>
          <w:szCs w:val="20"/>
        </w:rPr>
        <w:t xml:space="preserve">La data esatta di transizione è generata ma NON viene consegnata al modello. Ciò che il grafo espone è la sola etichetta annuale — 1 se il nodo è stato consumato in quell'anno — esattamente come nella cartografia ufficiale. La verità sub-annuale è conservata separatamente e usata solo in valutazione, come metro di misura.</w:t>
      </w:r>
    </w:p>
    <w:p>
      <w:pPr>
        <w:pStyle w:val="Heading2"/>
        <w:spacing w:after="140" w:before="280"/>
      </w:pPr>
      <w:r>
        <w:rPr>
          <w:rFonts w:ascii="Calibri" w:cs="Calibri" w:eastAsia="Calibri" w:hAnsi="Calibri"/>
        </w:rPr>
        <w:t xml:space="preserve">4.5 Statistiche descrittive degli scenari</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1051"/>
        <w:gridCol w:w="1227"/>
        <w:gridCol w:w="2103"/>
        <w:gridCol w:w="1402"/>
        <w:gridCol w:w="1402"/>
        <w:gridCol w:w="2453"/>
      </w:tblGrid>
      <w:tr>
        <w:trPr>
          <w:tblHeader/>
        </w:trPr>
        <w:tc>
          <w:tcPr>
            <w:tcW w:type="dxa" w:w="1051"/>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Seme</w:t>
            </w:r>
          </w:p>
        </w:tc>
        <w:tc>
          <w:tcPr>
            <w:tcW w:type="dxa" w:w="1227"/>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Nodi</w:t>
            </w:r>
          </w:p>
        </w:tc>
        <w:tc>
          <w:tcPr>
            <w:tcW w:type="dxa" w:w="2103"/>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Consumati (tot.)</w:t>
            </w:r>
          </w:p>
        </w:tc>
        <w:tc>
          <w:tcPr>
            <w:tcW w:type="dxa" w:w="1402"/>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Anno 1</w:t>
            </w:r>
          </w:p>
        </w:tc>
        <w:tc>
          <w:tcPr>
            <w:tcW w:type="dxa" w:w="1402"/>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Anno 2</w:t>
            </w:r>
          </w:p>
        </w:tc>
        <w:tc>
          <w:tcPr>
            <w:tcW w:type="dxa" w:w="2453"/>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Consumati nel test</w:t>
            </w:r>
          </w:p>
        </w:tc>
      </w:tr>
      <w:tr>
        <w:tc>
          <w:tcPr>
            <w:tcW w:type="dxa" w:w="1051"/>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0</w:t>
            </w:r>
          </w:p>
        </w:tc>
        <w:tc>
          <w:tcPr>
            <w:tcW w:type="dxa" w:w="1227"/>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400</w:t>
            </w:r>
          </w:p>
        </w:tc>
        <w:tc>
          <w:tcPr>
            <w:tcW w:type="dxa" w:w="2103"/>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110</w:t>
            </w:r>
          </w:p>
        </w:tc>
        <w:tc>
          <w:tcPr>
            <w:tcW w:type="dxa" w:w="140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41</w:t>
            </w:r>
          </w:p>
        </w:tc>
        <w:tc>
          <w:tcPr>
            <w:tcW w:type="dxa" w:w="140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69</w:t>
            </w:r>
          </w:p>
        </w:tc>
        <w:tc>
          <w:tcPr>
            <w:tcW w:type="dxa" w:w="2453"/>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28</w:t>
            </w:r>
          </w:p>
        </w:tc>
      </w:tr>
      <w:tr>
        <w:tc>
          <w:tcPr>
            <w:tcW w:type="dxa" w:w="1051"/>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1</w:t>
            </w:r>
          </w:p>
        </w:tc>
        <w:tc>
          <w:tcPr>
            <w:tcW w:type="dxa" w:w="1227"/>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400</w:t>
            </w:r>
          </w:p>
        </w:tc>
        <w:tc>
          <w:tcPr>
            <w:tcW w:type="dxa" w:w="2103"/>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57</w:t>
            </w:r>
          </w:p>
        </w:tc>
        <w:tc>
          <w:tcPr>
            <w:tcW w:type="dxa" w:w="140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17</w:t>
            </w:r>
          </w:p>
        </w:tc>
        <w:tc>
          <w:tcPr>
            <w:tcW w:type="dxa" w:w="140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40</w:t>
            </w:r>
          </w:p>
        </w:tc>
        <w:tc>
          <w:tcPr>
            <w:tcW w:type="dxa" w:w="2453"/>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9</w:t>
            </w:r>
          </w:p>
        </w:tc>
      </w:tr>
      <w:tr>
        <w:tc>
          <w:tcPr>
            <w:tcW w:type="dxa" w:w="1051"/>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2</w:t>
            </w:r>
          </w:p>
        </w:tc>
        <w:tc>
          <w:tcPr>
            <w:tcW w:type="dxa" w:w="1227"/>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400</w:t>
            </w:r>
          </w:p>
        </w:tc>
        <w:tc>
          <w:tcPr>
            <w:tcW w:type="dxa" w:w="2103"/>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85</w:t>
            </w:r>
          </w:p>
        </w:tc>
        <w:tc>
          <w:tcPr>
            <w:tcW w:type="dxa" w:w="140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22</w:t>
            </w:r>
          </w:p>
        </w:tc>
        <w:tc>
          <w:tcPr>
            <w:tcW w:type="dxa" w:w="140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63</w:t>
            </w:r>
          </w:p>
        </w:tc>
        <w:tc>
          <w:tcPr>
            <w:tcW w:type="dxa" w:w="2453"/>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15</w:t>
            </w:r>
          </w:p>
        </w:tc>
      </w:tr>
      <w:tr>
        <w:tc>
          <w:tcPr>
            <w:tcW w:type="dxa" w:w="1051"/>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3</w:t>
            </w:r>
          </w:p>
        </w:tc>
        <w:tc>
          <w:tcPr>
            <w:tcW w:type="dxa" w:w="1227"/>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400</w:t>
            </w:r>
          </w:p>
        </w:tc>
        <w:tc>
          <w:tcPr>
            <w:tcW w:type="dxa" w:w="2103"/>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92</w:t>
            </w:r>
          </w:p>
        </w:tc>
        <w:tc>
          <w:tcPr>
            <w:tcW w:type="dxa" w:w="140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28</w:t>
            </w:r>
          </w:p>
        </w:tc>
        <w:tc>
          <w:tcPr>
            <w:tcW w:type="dxa" w:w="140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64</w:t>
            </w:r>
          </w:p>
        </w:tc>
        <w:tc>
          <w:tcPr>
            <w:tcW w:type="dxa" w:w="2453"/>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12</w:t>
            </w:r>
          </w:p>
        </w:tc>
      </w:tr>
      <w:tr>
        <w:tc>
          <w:tcPr>
            <w:tcW w:type="dxa" w:w="1051"/>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4</w:t>
            </w:r>
          </w:p>
        </w:tc>
        <w:tc>
          <w:tcPr>
            <w:tcW w:type="dxa" w:w="1227"/>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400</w:t>
            </w:r>
          </w:p>
        </w:tc>
        <w:tc>
          <w:tcPr>
            <w:tcW w:type="dxa" w:w="2103"/>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78</w:t>
            </w:r>
          </w:p>
        </w:tc>
        <w:tc>
          <w:tcPr>
            <w:tcW w:type="dxa" w:w="140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26</w:t>
            </w:r>
          </w:p>
        </w:tc>
        <w:tc>
          <w:tcPr>
            <w:tcW w:type="dxa" w:w="140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52</w:t>
            </w:r>
          </w:p>
        </w:tc>
        <w:tc>
          <w:tcPr>
            <w:tcW w:type="dxa" w:w="2453"/>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11</w:t>
            </w:r>
          </w:p>
        </w:tc>
      </w:tr>
    </w:tbl>
    <w:p>
      <w:pPr>
        <w:spacing w:after="220"/>
        <w:jc w:val="left"/>
      </w:pPr>
      <w:r>
        <w:rPr>
          <w:rFonts w:ascii="Calibri" w:cs="Calibri" w:eastAsia="Calibri" w:hAnsi="Calibri"/>
          <w:i/>
          <w:iCs/>
          <w:color w:val="52514E"/>
          <w:sz w:val="17"/>
          <w:szCs w:val="17"/>
        </w:rPr>
        <w:t xml:space="preserve">Tabella 4 — Scenari di riferimento (80×80 px, blocco 4, T = 24, 12 compositi/anno, contrast 0,3). La colonna più importante è l'ultima: il numero di positivi nello split di test varia da 9 a 28, ed è la principale fonte di rumore nelle stime di F1.</w:t>
      </w:r>
    </w:p>
    <w:p>
      <w:r>
        <w:br w:type="page"/>
      </w:r>
    </w:p>
    <w:p>
      <w:pPr>
        <w:pStyle w:val="Heading1"/>
        <w:spacing w:after="140" w:before="280"/>
      </w:pPr>
      <w:r>
        <w:rPr>
          <w:rFonts w:ascii="Calibri" w:cs="Calibri" w:eastAsia="Calibri" w:hAnsi="Calibri"/>
        </w:rPr>
        <w:t xml:space="preserve">5. Procedura sperimentale comune</w:t>
      </w:r>
    </w:p>
    <w:p>
      <w:pPr>
        <w:spacing w:after="120" w:line="276"/>
      </w:pPr>
      <w:r>
        <w:rPr>
          <w:rFonts w:ascii="Calibri" w:cs="Calibri" w:eastAsia="Calibri" w:hAnsi="Calibri"/>
          <w:color w:val="0B0B0B"/>
          <w:sz w:val="20"/>
          <w:szCs w:val="20"/>
        </w:rPr>
        <w:t xml:space="preserve">Tutti gli esperimenti condividono la procedura descritta qui. L'unica variabile fra un modello e l'altro è l'oggetto modello: ciclo, obiettivo, metriche e split sono identici, perché altrimenti la differenza misurata non sarebbe attribuibile all'architettura.</w:t>
      </w:r>
    </w:p>
    <w:p>
      <w:pPr>
        <w:pStyle w:val="Heading2"/>
        <w:spacing w:after="140" w:before="280"/>
      </w:pPr>
      <w:r>
        <w:rPr>
          <w:rFonts w:ascii="Calibri" w:cs="Calibri" w:eastAsia="Calibri" w:hAnsi="Calibri"/>
        </w:rPr>
        <w:t xml:space="preserve">5.1 Dal raster al grafo</w:t>
      </w:r>
    </w:p>
    <w:p>
      <w:pPr>
        <w:spacing w:after="120" w:line="276"/>
      </w:pPr>
      <w:r>
        <w:rPr>
          <w:rFonts w:ascii="Calibri" w:cs="Calibri" w:eastAsia="Calibri" w:hAnsi="Calibri"/>
          <w:color w:val="0B0B0B"/>
          <w:sz w:val="20"/>
          <w:szCs w:val="20"/>
        </w:rPr>
        <w:t xml:space="preserve">Il dominio 80×80 pixel è partizionato una sola volta in celle 4×4, ottenendo 400 nodi fissi per l'intera serie. Le feature variano nel tempo, la topologia no: è la mitigazione dell'instabilità dei super-pixel indotta dallo speckle.</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5590"/>
        <w:gridCol w:w="4048"/>
      </w:tblGrid>
      <w:tr>
        <w:trPr>
          <w:tblHeader/>
        </w:trPr>
        <w:tc>
          <w:tcPr>
            <w:tcW w:type="dxa" w:w="5590"/>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Grandezza</w:t>
            </w:r>
          </w:p>
        </w:tc>
        <w:tc>
          <w:tcPr>
            <w:tcW w:type="dxa" w:w="4048"/>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Valore</w:t>
            </w:r>
          </w:p>
        </w:tc>
      </w:tr>
      <w:tr>
        <w:tc>
          <w:tcPr>
            <w:tcW w:type="dxa" w:w="559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Nodi</w:t>
            </w:r>
          </w:p>
        </w:tc>
        <w:tc>
          <w:tcPr>
            <w:tcW w:type="dxa" w:w="404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400 (tiling regolare 20×20 su 80×80 px)</w:t>
            </w:r>
          </w:p>
        </w:tc>
      </w:tr>
      <w:tr>
        <w:tc>
          <w:tcPr>
            <w:tcW w:type="dxa" w:w="559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Archi spaziali totali</w:t>
            </w:r>
          </w:p>
        </w:tc>
        <w:tc>
          <w:tcPr>
            <w:tcW w:type="dxa" w:w="404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1 606 (diretti, grafo simmetrizzato)</w:t>
            </w:r>
          </w:p>
        </w:tc>
      </w:tr>
      <w:tr>
        <w:tc>
          <w:tcPr>
            <w:tcW w:type="dxa" w:w="559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 di cui adiacenza (bordo condiviso)</w:t>
            </w:r>
          </w:p>
        </w:tc>
        <w:tc>
          <w:tcPr>
            <w:tcW w:type="dxa" w:w="404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1 520</w:t>
            </w:r>
          </w:p>
        </w:tc>
      </w:tr>
      <w:tr>
        <w:tc>
          <w:tcPr>
            <w:tcW w:type="dxa" w:w="559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 di cui connettività (k-NN su corridoio, k = 4)</w:t>
            </w:r>
          </w:p>
        </w:tc>
        <w:tc>
          <w:tcPr>
            <w:tcW w:type="dxa" w:w="404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86</w:t>
            </w:r>
          </w:p>
        </w:tc>
      </w:tr>
      <w:tr>
        <w:tc>
          <w:tcPr>
            <w:tcW w:type="dxa" w:w="559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Nodi sul corridoio infrastrutturale</w:t>
            </w:r>
          </w:p>
        </w:tc>
        <w:tc>
          <w:tcPr>
            <w:tcW w:type="dxa" w:w="404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20</w:t>
            </w:r>
          </w:p>
        </w:tc>
      </w:tr>
      <w:tr>
        <w:tc>
          <w:tcPr>
            <w:tcW w:type="dxa" w:w="559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Archi del super-grafo spazio-temporale (ordine 1)</w:t>
            </w:r>
          </w:p>
        </w:tc>
        <w:tc>
          <w:tcPr>
            <w:tcW w:type="dxa" w:w="404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47 744</w:t>
            </w:r>
          </w:p>
        </w:tc>
      </w:tr>
      <w:tr>
        <w:tc>
          <w:tcPr>
            <w:tcW w:type="dxa" w:w="559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Compositi per serie (T)</w:t>
            </w:r>
          </w:p>
        </w:tc>
        <w:tc>
          <w:tcPr>
            <w:tcW w:type="dxa" w:w="404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24, di cui 12 per anno → 2 anni</w:t>
            </w:r>
          </w:p>
        </w:tc>
      </w:tr>
      <w:tr>
        <w:tc>
          <w:tcPr>
            <w:tcW w:type="dxa" w:w="559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Canali di feature (solo radar)</w:t>
            </w:r>
          </w:p>
        </w:tc>
        <w:tc>
          <w:tcPr>
            <w:tcW w:type="dxa" w:w="404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6 — media e deviazione standard di VV, VH, coerenza</w:t>
            </w:r>
          </w:p>
        </w:tc>
      </w:tr>
      <w:tr>
        <w:tc>
          <w:tcPr>
            <w:tcW w:type="dxa" w:w="559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Canali di feature (con blocchi opzionali)</w:t>
            </w:r>
          </w:p>
        </w:tc>
        <w:tc>
          <w:tcPr>
            <w:tcW w:type="dxa" w:w="404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12 — + 2 GLCM + 3 forma + 1 prossimità</w:t>
            </w:r>
          </w:p>
        </w:tc>
      </w:tr>
    </w:tbl>
    <w:p>
      <w:pPr>
        <w:spacing w:after="220"/>
        <w:jc w:val="left"/>
      </w:pPr>
      <w:r>
        <w:rPr>
          <w:rFonts w:ascii="Calibri" w:cs="Calibri" w:eastAsia="Calibri" w:hAnsi="Calibri"/>
          <w:i/>
          <w:iCs/>
          <w:color w:val="52514E"/>
          <w:sz w:val="17"/>
          <w:szCs w:val="17"/>
        </w:rPr>
        <w:t xml:space="preserve">Tabella 5 — Struttura del grafo di riferimento. Le due famiglie di archi sono disgiunte per costruzione: l'adiacenza prevale su ogni arco che entrambe produrrebbero.</w:t>
      </w:r>
    </w:p>
    <w:p>
      <w:pPr>
        <w:pStyle w:val="Heading2"/>
        <w:spacing w:after="140" w:before="280"/>
      </w:pPr>
      <w:r>
        <w:rPr>
          <w:rFonts w:ascii="Calibri" w:cs="Calibri" w:eastAsia="Calibri" w:hAnsi="Calibri"/>
        </w:rPr>
        <w:t xml:space="preserve">5.2 Split spaziale</w:t>
      </w:r>
    </w:p>
    <w:p>
      <w:pPr>
        <w:spacing w:after="120" w:line="276"/>
      </w:pPr>
      <w:r>
        <w:rPr>
          <w:rFonts w:ascii="Calibri" w:cs="Calibri" w:eastAsia="Calibri" w:hAnsi="Calibri"/>
          <w:color w:val="0B0B0B"/>
          <w:sz w:val="20"/>
          <w:szCs w:val="20"/>
        </w:rPr>
        <w:t xml:space="preserve">I nodi sono ordinati per coordinata del centroide e tagliati in bande geografiche: 240 train / 80 validation / 80 test (60/20/20 %). Un campionamento casuale metterebbe i vicini immediati di un nodo di test nel training, e il modello è costruito proprio per scambiare messaggi fra quei vicini: la fuga avverrebbe attraverso il meccanismo sotto esame.</w:t>
      </w:r>
    </w:p>
    <w:p>
      <w:pPr>
        <w:spacing w:after="120" w:line="276"/>
      </w:pPr>
      <w:r>
        <w:rPr>
          <w:rFonts w:ascii="Calibri" w:cs="Calibri" w:eastAsia="Calibri" w:hAnsi="Calibri"/>
          <w:color w:val="0B0B0B"/>
          <w:sz w:val="20"/>
          <w:szCs w:val="20"/>
        </w:rPr>
        <w:t xml:space="preserve">Per la stessa ragione la standardizzazione per canale è stimata sui soli nodi di training e poi applicata a tutti.</w:t>
      </w:r>
    </w:p>
    <w:p>
      <w:pPr>
        <w:pStyle w:val="Heading2"/>
        <w:spacing w:after="140" w:before="280"/>
      </w:pPr>
      <w:r>
        <w:rPr>
          <w:rFonts w:ascii="Calibri" w:cs="Calibri" w:eastAsia="Calibri" w:hAnsi="Calibri"/>
        </w:rPr>
        <w:t xml:space="preserve">5.3 Modelli confrontati</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1157"/>
        <w:gridCol w:w="3277"/>
        <w:gridCol w:w="867"/>
        <w:gridCol w:w="867"/>
        <w:gridCol w:w="3470"/>
      </w:tblGrid>
      <w:tr>
        <w:trPr>
          <w:tblHeader/>
        </w:trPr>
        <w:tc>
          <w:tcPr>
            <w:tcW w:type="dxa" w:w="1157"/>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Sigla</w:t>
            </w:r>
          </w:p>
        </w:tc>
        <w:tc>
          <w:tcPr>
            <w:tcW w:type="dxa" w:w="3277"/>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Modello</w:t>
            </w:r>
          </w:p>
        </w:tc>
        <w:tc>
          <w:tcPr>
            <w:tcW w:type="dxa" w:w="867"/>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Grafo</w:t>
            </w:r>
          </w:p>
        </w:tc>
        <w:tc>
          <w:tcPr>
            <w:tcW w:type="dxa" w:w="867"/>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Tempo</w:t>
            </w:r>
          </w:p>
        </w:tc>
        <w:tc>
          <w:tcPr>
            <w:tcW w:type="dxa" w:w="3470"/>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Ruolo nel confronto</w:t>
            </w:r>
          </w:p>
        </w:tc>
      </w:tr>
      <w:tr>
        <w:tc>
          <w:tcPr>
            <w:tcW w:type="dxa" w:w="115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ST-GNN</w:t>
            </w:r>
          </w:p>
        </w:tc>
        <w:tc>
          <w:tcPr>
            <w:tcW w:type="dxa" w:w="327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SpatioTemporalGNN</w:t>
            </w:r>
          </w:p>
          <w:p>
            <w:pPr>
              <w:spacing w:after="0" w:line="240"/>
            </w:pPr>
            <w:r>
              <w:rPr>
                <w:rFonts w:ascii="Calibri" w:cs="Calibri" w:eastAsia="Calibri" w:hAnsi="Calibri"/>
                <w:color w:val="0B0B0B"/>
                <w:sz w:val="18"/>
                <w:szCs w:val="18"/>
              </w:rPr>
              <w:t xml:space="preserve">2× SAGEConv + LSTM</w:t>
            </w:r>
          </w:p>
        </w:tc>
        <w:tc>
          <w:tcPr>
            <w:tcW w:type="dxa" w:w="86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sì</w:t>
            </w:r>
          </w:p>
        </w:tc>
        <w:tc>
          <w:tcPr>
            <w:tcW w:type="dxa" w:w="86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sì</w:t>
            </w:r>
          </w:p>
        </w:tc>
        <w:tc>
          <w:tcPr>
            <w:tcW w:type="dxa" w:w="347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il modello proposto</w:t>
            </w:r>
          </w:p>
        </w:tc>
      </w:tr>
      <w:tr>
        <w:tc>
          <w:tcPr>
            <w:tcW w:type="dxa" w:w="115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Temporal</w:t>
            </w:r>
          </w:p>
        </w:tc>
        <w:tc>
          <w:tcPr>
            <w:tcW w:type="dxa" w:w="327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TemporalBaseline</w:t>
            </w:r>
          </w:p>
          <w:p>
            <w:pPr>
              <w:spacing w:after="0" w:line="240"/>
            </w:pPr>
            <w:r>
              <w:rPr>
                <w:rFonts w:ascii="Calibri" w:cs="Calibri" w:eastAsia="Calibri" w:hAnsi="Calibri"/>
                <w:color w:val="0B0B0B"/>
                <w:sz w:val="18"/>
                <w:szCs w:val="18"/>
              </w:rPr>
              <w:t xml:space="preserve">stesso encoder e teste, senza message passing</w:t>
            </w:r>
          </w:p>
        </w:tc>
        <w:tc>
          <w:tcPr>
            <w:tcW w:type="dxa" w:w="86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no</w:t>
            </w:r>
          </w:p>
        </w:tc>
        <w:tc>
          <w:tcPr>
            <w:tcW w:type="dxa" w:w="86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sì</w:t>
            </w:r>
          </w:p>
        </w:tc>
        <w:tc>
          <w:tcPr>
            <w:tcW w:type="dxa" w:w="347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ablazione che isola il contributo del grafo</w:t>
            </w:r>
          </w:p>
        </w:tc>
      </w:tr>
      <w:tr>
        <w:tc>
          <w:tcPr>
            <w:tcW w:type="dxa" w:w="115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MLP</w:t>
            </w:r>
          </w:p>
        </w:tc>
        <w:tc>
          <w:tcPr>
            <w:tcW w:type="dxa" w:w="327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MLPBaseline</w:t>
            </w:r>
          </w:p>
          <w:p>
            <w:pPr>
              <w:spacing w:after="0" w:line="240"/>
            </w:pPr>
            <w:r>
              <w:rPr>
                <w:rFonts w:ascii="Calibri" w:cs="Calibri" w:eastAsia="Calibri" w:hAnsi="Calibri"/>
                <w:color w:val="0B0B0B"/>
                <w:sz w:val="18"/>
                <w:szCs w:val="18"/>
              </w:rPr>
              <w:t xml:space="preserve">nessun contesto</w:t>
            </w:r>
          </w:p>
        </w:tc>
        <w:tc>
          <w:tcPr>
            <w:tcW w:type="dxa" w:w="86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no</w:t>
            </w:r>
          </w:p>
        </w:tc>
        <w:tc>
          <w:tcPr>
            <w:tcW w:type="dxa" w:w="86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no</w:t>
            </w:r>
          </w:p>
        </w:tc>
        <w:tc>
          <w:tcPr>
            <w:tcW w:type="dxa" w:w="347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analogo a nodo di un classificatore per-pixel</w:t>
            </w:r>
          </w:p>
        </w:tc>
      </w:tr>
      <w:tr>
        <w:tc>
          <w:tcPr>
            <w:tcW w:type="dxa" w:w="115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RF</w:t>
            </w:r>
          </w:p>
        </w:tc>
        <w:tc>
          <w:tcPr>
            <w:tcW w:type="dxa" w:w="327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RandomForestBaseline</w:t>
            </w:r>
          </w:p>
          <w:p>
            <w:pPr>
              <w:spacing w:after="0" w:line="240"/>
            </w:pPr>
            <w:r>
              <w:rPr>
                <w:rFonts w:ascii="Calibri" w:cs="Calibri" w:eastAsia="Calibri" w:hAnsi="Calibri"/>
                <w:color w:val="0B0B0B"/>
                <w:sz w:val="18"/>
                <w:szCs w:val="18"/>
              </w:rPr>
              <w:t xml:space="preserve">300 alberi su sintesi annuali</w:t>
            </w:r>
          </w:p>
        </w:tc>
        <w:tc>
          <w:tcPr>
            <w:tcW w:type="dxa" w:w="86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no</w:t>
            </w:r>
          </w:p>
        </w:tc>
        <w:tc>
          <w:tcPr>
            <w:tcW w:type="dxa" w:w="867"/>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aggregato</w:t>
            </w:r>
          </w:p>
        </w:tc>
        <w:tc>
          <w:tcPr>
            <w:tcW w:type="dxa" w:w="3470"/>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riferimento classico non neurale</w:t>
            </w:r>
          </w:p>
        </w:tc>
      </w:tr>
    </w:tbl>
    <w:p>
      <w:pPr>
        <w:spacing w:after="220"/>
        <w:jc w:val="left"/>
      </w:pPr>
      <w:r>
        <w:rPr>
          <w:rFonts w:ascii="Calibri" w:cs="Calibri" w:eastAsia="Calibri" w:hAnsi="Calibri"/>
          <w:i/>
          <w:iCs/>
          <w:color w:val="52514E"/>
          <w:sz w:val="17"/>
          <w:szCs w:val="17"/>
        </w:rPr>
        <w:t xml:space="preserve">Tabella 6 — I quattro modelli. Temporal è ST-GNN con il solo message passing rimosso: la differenza fra i due è attribuibile al grafo e non a capacità, ottimizzatore o supervisione.</w:t>
      </w:r>
    </w:p>
    <w:p>
      <w:pPr>
        <w:pStyle w:val="Heading2"/>
        <w:spacing w:after="140" w:before="280"/>
      </w:pPr>
      <w:r>
        <w:rPr>
          <w:rFonts w:ascii="Calibri" w:cs="Calibri" w:eastAsia="Calibri" w:hAnsi="Calibri"/>
        </w:rPr>
        <w:t xml:space="preserve">5.4 Funzione obiettivo</w:t>
      </w:r>
    </w:p>
    <w:p>
      <w:pPr>
        <w:spacing w:after="120" w:line="276"/>
      </w:pPr>
      <w:r>
        <w:rPr>
          <w:rFonts w:ascii="Calibri" w:cs="Calibri" w:eastAsia="Calibri" w:hAnsi="Calibri"/>
          <w:color w:val="0B0B0B"/>
          <w:sz w:val="20"/>
          <w:szCs w:val="20"/>
        </w:rPr>
        <w:t xml:space="preserve">La testa di detection non predice lo stato «sigillato al tempo t», ma la probabilità di insorgenza q(t) per composito. Lo stato è il loro noisy-OR cumulato:</w:t>
      </w:r>
    </w:p>
    <w:p>
      <w:pPr>
        <w:pBdr>
          <w:left w:val="single" w:color="D8D8D2" w:sz="12" w:space="6"/>
        </w:pBdr>
        <w:shd w:fill="F4F4F1" w:val="clear"/>
        <w:spacing w:after="140" w:before="100"/>
      </w:pPr>
      <w:r>
        <w:rPr>
          <w:rFonts w:ascii="Consolas" w:cs="Consolas" w:eastAsia="Consolas" w:hAnsi="Consolas"/>
          <w:color w:val="1F1F1F"/>
          <w:sz w:val="17"/>
          <w:szCs w:val="17"/>
        </w:rPr>
        <w:t xml:space="preserve">p(t) = 1 − Π_{s ≤ t} (1 − q(s))</w:t>
      </w:r>
    </w:p>
    <w:p>
      <w:pPr>
        <w:spacing w:after="120" w:line="276"/>
      </w:pPr>
      <w:r>
        <w:rPr>
          <w:rFonts w:ascii="Calibri" w:cs="Calibri" w:eastAsia="Calibri" w:hAnsi="Calibri"/>
          <w:color w:val="0B0B0B"/>
          <w:sz w:val="20"/>
          <w:szCs w:val="20"/>
        </w:rPr>
        <w:t xml:space="preserve">Questa parametrizzazione rende l'irreversibilità della sigillazione una proprietà del modello anziché una penalità, e fornisce direttamente il ponte verso l'etichetta annuale: la probabilità che il consumo sia avvenuto in un anno è lo stesso noisy-OR ristretto ai compositi di quell'anno.</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1928"/>
        <w:gridCol w:w="1060"/>
        <w:gridCol w:w="6650"/>
      </w:tblGrid>
      <w:tr>
        <w:trPr>
          <w:tblHeader/>
        </w:trPr>
        <w:tc>
          <w:tcPr>
            <w:tcW w:type="dxa" w:w="1928"/>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Termine</w:t>
            </w:r>
          </w:p>
        </w:tc>
        <w:tc>
          <w:tcPr>
            <w:tcW w:type="dxa" w:w="1060"/>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Peso</w:t>
            </w:r>
          </w:p>
        </w:tc>
        <w:tc>
          <w:tcPr>
            <w:tcW w:type="dxa" w:w="6650"/>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Funzione</w:t>
            </w:r>
          </w:p>
        </w:tc>
      </w:tr>
      <w:tr>
        <w:tc>
          <w:tcPr>
            <w:tcW w:type="dxa" w:w="192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weak_annual</w:t>
            </w:r>
          </w:p>
        </w:tc>
        <w:tc>
          <w:tcPr>
            <w:tcW w:type="dxa" w:w="106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1,00</w:t>
            </w:r>
          </w:p>
        </w:tc>
        <w:tc>
          <w:tcPr>
            <w:tcW w:type="dxa" w:w="665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entropia incrociata a istanze multiple; una «borsa» per coppia (nodo, anno)</w:t>
            </w:r>
          </w:p>
        </w:tc>
      </w:tr>
      <w:tr>
        <w:tc>
          <w:tcPr>
            <w:tcW w:type="dxa" w:w="192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smoothness</w:t>
            </w:r>
          </w:p>
        </w:tc>
        <w:tc>
          <w:tcPr>
            <w:tcW w:type="dxa" w:w="106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0,05</w:t>
            </w:r>
          </w:p>
        </w:tc>
        <w:tc>
          <w:tcPr>
            <w:tcW w:type="dxa" w:w="665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energia di Dirichlet di q(t) sugli archi spaziali: diffonde dalle aree certe a quelle incerte</w:t>
            </w:r>
          </w:p>
        </w:tc>
      </w:tr>
      <w:tr>
        <w:tc>
          <w:tcPr>
            <w:tcW w:type="dxa" w:w="192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sparsity</w:t>
            </w:r>
          </w:p>
        </w:tc>
        <w:tc>
          <w:tcPr>
            <w:tcW w:type="dxa" w:w="106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0,05</w:t>
            </w:r>
          </w:p>
        </w:tc>
        <w:tc>
          <w:tcPr>
            <w:tcW w:type="dxa" w:w="665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relu(Σ q(t) − 1): al più una insorgenza per nodo sull'intera serie</w:t>
            </w:r>
          </w:p>
        </w:tc>
      </w:tr>
      <w:tr>
        <w:tc>
          <w:tcPr>
            <w:tcW w:type="dxa" w:w="192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horizon</w:t>
            </w:r>
          </w:p>
        </w:tc>
        <w:tc>
          <w:tcPr>
            <w:tcW w:type="dxa" w:w="106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0,50</w:t>
            </w:r>
          </w:p>
        </w:tc>
        <w:tc>
          <w:tcPr>
            <w:tcW w:type="dxa" w:w="665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entropia incrociata della testa di preallarme</w:t>
            </w:r>
          </w:p>
        </w:tc>
      </w:tr>
      <w:tr>
        <w:tc>
          <w:tcPr>
            <w:tcW w:type="dxa" w:w="192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supervised</w:t>
            </w:r>
          </w:p>
        </w:tc>
        <w:tc>
          <w:tcPr>
            <w:tcW w:type="dxa" w:w="106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1,00</w:t>
            </w:r>
          </w:p>
        </w:tc>
        <w:tc>
          <w:tcPr>
            <w:tcW w:type="dxa" w:w="665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termine forte, attivo solo dove la data esatta è nota (mai negli esperimenti qui riportati)</w:t>
            </w:r>
          </w:p>
        </w:tc>
      </w:tr>
    </w:tbl>
    <w:p>
      <w:pPr>
        <w:spacing w:after="220"/>
        <w:jc w:val="left"/>
      </w:pPr>
      <w:r>
        <w:rPr>
          <w:rFonts w:ascii="Calibri" w:cs="Calibri" w:eastAsia="Calibri" w:hAnsi="Calibri"/>
          <w:i/>
          <w:iCs/>
          <w:color w:val="52514E"/>
          <w:sz w:val="17"/>
          <w:szCs w:val="17"/>
        </w:rPr>
        <w:t xml:space="preserve">Tabella 7 — Composizione dell'obiettivo. L'aggregazione annuale usata è noisy_or. Il valore −1 indica «ignoto» ovunque e viene saltato, mai trattato come negativo.</w:t>
      </w:r>
    </w:p>
    <w:p>
      <w:pPr>
        <w:pStyle w:val="Heading2"/>
        <w:spacing w:after="140" w:before="280"/>
      </w:pPr>
      <w:r>
        <w:rPr>
          <w:rFonts w:ascii="Calibri" w:cs="Calibri" w:eastAsia="Calibri" w:hAnsi="Calibri"/>
        </w:rPr>
        <w:t xml:space="preserve">5.5 Protocollo di addestramento</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3084"/>
        <w:gridCol w:w="6554"/>
      </w:tblGrid>
      <w:tr>
        <w:trPr>
          <w:tblHeader/>
        </w:trPr>
        <w:tc>
          <w:tcPr>
            <w:tcW w:type="dxa" w:w="3084"/>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Iperparametro</w:t>
            </w:r>
          </w:p>
        </w:tc>
        <w:tc>
          <w:tcPr>
            <w:tcW w:type="dxa" w:w="6554"/>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Valore</w:t>
            </w:r>
          </w:p>
        </w:tc>
      </w:tr>
      <w:tr>
        <w:tc>
          <w:tcPr>
            <w:tcW w:type="dxa" w:w="308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Ottimizzatore</w:t>
            </w:r>
          </w:p>
        </w:tc>
        <w:tc>
          <w:tcPr>
            <w:tcW w:type="dxa" w:w="655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AdamW, learning rate 1×10⁻³, weight decay 1×10⁻⁴</w:t>
            </w:r>
          </w:p>
        </w:tc>
      </w:tr>
      <w:tr>
        <w:tc>
          <w:tcPr>
            <w:tcW w:type="dxa" w:w="308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Clipping del gradiente</w:t>
            </w:r>
          </w:p>
        </w:tc>
        <w:tc>
          <w:tcPr>
            <w:tcW w:type="dxa" w:w="655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1,0</w:t>
            </w:r>
          </w:p>
        </w:tc>
      </w:tr>
      <w:tr>
        <w:tc>
          <w:tcPr>
            <w:tcW w:type="dxa" w:w="308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Epoche</w:t>
            </w:r>
          </w:p>
        </w:tc>
        <w:tc>
          <w:tcPr>
            <w:tcW w:type="dxa" w:w="655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120 (40 nel solo E1)</w:t>
            </w:r>
          </w:p>
        </w:tc>
      </w:tr>
      <w:tr>
        <w:tc>
          <w:tcPr>
            <w:tcW w:type="dxa" w:w="308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Batch</w:t>
            </w:r>
          </w:p>
        </w:tc>
        <w:tc>
          <w:tcPr>
            <w:tcW w:type="dxa" w:w="655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full-batch — l'area di studio è un unico grafo; gli split sono maschere sui nodi</w:t>
            </w:r>
          </w:p>
        </w:tc>
      </w:tr>
      <w:tr>
        <w:tc>
          <w:tcPr>
            <w:tcW w:type="dxa" w:w="308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Canali nascosti</w:t>
            </w:r>
          </w:p>
        </w:tc>
        <w:tc>
          <w:tcPr>
            <w:tcW w:type="dxa" w:w="655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64</w:t>
            </w:r>
          </w:p>
        </w:tc>
      </w:tr>
      <w:tr>
        <w:tc>
          <w:tcPr>
            <w:tcW w:type="dxa" w:w="308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Strati spaziali / temporali</w:t>
            </w:r>
          </w:p>
        </w:tc>
        <w:tc>
          <w:tcPr>
            <w:tcW w:type="dxa" w:w="655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2 SAGEConv / 1 LSTM unidirezionale</w:t>
            </w:r>
          </w:p>
        </w:tc>
      </w:tr>
      <w:tr>
        <w:tc>
          <w:tcPr>
            <w:tcW w:type="dxa" w:w="308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Dropout</w:t>
            </w:r>
          </w:p>
        </w:tc>
        <w:tc>
          <w:tcPr>
            <w:tcW w:type="dxa" w:w="655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0,1</w:t>
            </w:r>
          </w:p>
        </w:tc>
      </w:tr>
      <w:tr>
        <w:tc>
          <w:tcPr>
            <w:tcW w:type="dxa" w:w="308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Orizzonte di preallarme</w:t>
            </w:r>
          </w:p>
        </w:tc>
        <w:tc>
          <w:tcPr>
            <w:tcW w:type="dxa" w:w="655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2 compositi</w:t>
            </w:r>
          </w:p>
        </w:tc>
      </w:tr>
      <w:tr>
        <w:tc>
          <w:tcPr>
            <w:tcW w:type="dxa" w:w="308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Soglia di decisione</w:t>
            </w:r>
          </w:p>
        </w:tc>
        <w:tc>
          <w:tcPr>
            <w:tcW w:type="dxa" w:w="6554"/>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0,5</w:t>
            </w:r>
          </w:p>
        </w:tc>
      </w:tr>
    </w:tbl>
    <w:p>
      <w:pPr>
        <w:spacing w:after="220"/>
        <w:jc w:val="left"/>
      </w:pPr>
      <w:r>
        <w:rPr>
          <w:rFonts w:ascii="Calibri" w:cs="Calibri" w:eastAsia="Calibri" w:hAnsi="Calibri"/>
          <w:i/>
          <w:iCs/>
          <w:color w:val="52514E"/>
          <w:sz w:val="17"/>
          <w:szCs w:val="17"/>
        </w:rPr>
        <w:t xml:space="preserve">Tabella 8 — Iperparametri, identici per tutti i modelli neurali e non messi a punto per nessuno.</w:t>
      </w:r>
    </w:p>
    <w:p>
      <w:pPr>
        <w:pStyle w:val="Heading2"/>
        <w:spacing w:after="140" w:before="280"/>
      </w:pPr>
      <w:r>
        <w:rPr>
          <w:rFonts w:ascii="Calibri" w:cs="Calibri" w:eastAsia="Calibri" w:hAnsi="Calibri"/>
        </w:rPr>
        <w:t xml:space="preserve">5.6 Metriche</w:t>
      </w:r>
    </w:p>
    <w:p>
      <w:pPr>
        <w:spacing w:after="120" w:line="276"/>
      </w:pPr>
      <w:r>
        <w:rPr>
          <w:rFonts w:ascii="Calibri" w:cs="Calibri" w:eastAsia="Calibri" w:hAnsi="Calibri"/>
          <w:color w:val="0B0B0B"/>
          <w:sz w:val="20"/>
          <w:szCs w:val="20"/>
        </w:rPr>
        <w:t xml:space="preserve">La valutazione è deliberatamente riportata su due livelli distinti.</w:t>
      </w:r>
    </w:p>
    <w:p>
      <w:pPr>
        <w:spacing w:after="120" w:line="276"/>
      </w:pPr>
      <w:r>
        <w:rPr>
          <w:rFonts w:ascii="Calibri" w:cs="Calibri" w:eastAsia="Calibri" w:hAnsi="Calibri"/>
          <w:b/>
          <w:bCs/>
          <w:color w:val="0B0B0B"/>
          <w:sz w:val="20"/>
          <w:szCs w:val="20"/>
        </w:rPr>
        <w:t xml:space="preserve">Livello annuale. </w:t>
      </w:r>
      <w:r>
        <w:rPr>
          <w:rFonts w:ascii="Calibri" w:cs="Calibri" w:eastAsia="Calibri" w:hAnsi="Calibri"/>
          <w:color w:val="0B0B0B"/>
          <w:sz w:val="20"/>
          <w:szCs w:val="20"/>
        </w:rPr>
        <w:t xml:space="preserve">Overall accuracy, F1, IoU e kappa sulla probabilità annuale aggregata contro l'etichetta annuale. È l'unico confronto onesto con una cartografia annuale, ed è il numero di riferimento.</w:t>
      </w:r>
    </w:p>
    <w:p>
      <w:pPr>
        <w:spacing w:after="120" w:line="276"/>
      </w:pPr>
      <w:r>
        <w:rPr>
          <w:rFonts w:ascii="Calibri" w:cs="Calibri" w:eastAsia="Calibri" w:hAnsi="Calibri"/>
          <w:b/>
          <w:bCs/>
          <w:color w:val="0B0B0B"/>
          <w:sz w:val="20"/>
          <w:szCs w:val="20"/>
        </w:rPr>
        <w:t xml:space="preserve">Livello sub-annuale. </w:t>
      </w:r>
      <w:r>
        <w:rPr>
          <w:rFonts w:ascii="Calibri" w:cs="Calibri" w:eastAsia="Calibri" w:hAnsi="Calibri"/>
          <w:color w:val="0B0B0B"/>
          <w:sz w:val="20"/>
          <w:szCs w:val="20"/>
        </w:rPr>
        <w:t xml:space="preserve">Ritardo di rilevazione rispetto alla data vera di insorgenza, tasso di rilevazione, tasso di falso allarme. Riportato solo perché su dati sintetici la data esatta esiste. Un F1 sub-annuale calcolato contro etichette annuali misurerebbe il modello contro un bersaglio inesistente, e il codice infatti non lo produce.</w:t>
      </w:r>
    </w:p>
    <w:p>
      <w:pPr>
        <w:spacing w:after="120" w:line="276"/>
      </w:pPr>
      <w:r>
        <w:rPr>
          <w:rFonts w:ascii="Calibri" w:cs="Calibri" w:eastAsia="Calibri" w:hAnsi="Calibri"/>
          <w:color w:val="0B0B0B"/>
          <w:sz w:val="20"/>
          <w:szCs w:val="20"/>
        </w:rPr>
        <w:t xml:space="preserve">Il ritardo è firmato e misurato in compositi: positivo significa in ritardo, negativo significa che la rilevazione precede la transizione (il cantiere è già visibile). Un nodo consumato ma mai rilevato viene conteggiato come mancato e addebitato del ritardo residuo, così che il silenzio sui casi difficili non faccia apparire puntuale un modello.</w:t>
      </w:r>
    </w:p>
    <w:p>
      <w:r>
        <w:br w:type="page"/>
      </w:r>
    </w:p>
    <w:p>
      <w:pPr>
        <w:pStyle w:val="Heading1"/>
        <w:spacing w:after="140" w:before="280"/>
      </w:pPr>
      <w:r>
        <w:rPr>
          <w:rFonts w:ascii="Calibri" w:cs="Calibri" w:eastAsia="Calibri" w:hAnsi="Calibri"/>
        </w:rPr>
        <w:t xml:space="preserve">6. Gli esperimenti</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771"/>
        <w:gridCol w:w="3855"/>
        <w:gridCol w:w="964"/>
        <w:gridCol w:w="1157"/>
        <w:gridCol w:w="2891"/>
      </w:tblGrid>
      <w:tr>
        <w:trPr>
          <w:tblHeader/>
        </w:trPr>
        <w:tc>
          <w:tcPr>
            <w:tcW w:type="dxa" w:w="771"/>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ID</w:t>
            </w:r>
          </w:p>
        </w:tc>
        <w:tc>
          <w:tcPr>
            <w:tcW w:type="dxa" w:w="3855"/>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Esperimento</w:t>
            </w:r>
          </w:p>
        </w:tc>
        <w:tc>
          <w:tcPr>
            <w:tcW w:type="dxa" w:w="964"/>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Semi</w:t>
            </w:r>
          </w:p>
        </w:tc>
        <w:tc>
          <w:tcPr>
            <w:tcW w:type="dxa" w:w="1157"/>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Modelli</w:t>
            </w:r>
          </w:p>
        </w:tc>
        <w:tc>
          <w:tcPr>
            <w:tcW w:type="dxa" w:w="2891"/>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Scopo</w:t>
            </w:r>
          </w:p>
        </w:tc>
      </w:tr>
      <w:tr>
        <w:tc>
          <w:tcPr>
            <w:tcW w:type="dxa" w:w="771"/>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E1</w:t>
            </w:r>
          </w:p>
        </w:tc>
        <w:tc>
          <w:tcPr>
            <w:tcW w:type="dxa" w:w="3855"/>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Verifica di funzionamento</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1</w:t>
            </w:r>
          </w:p>
        </w:tc>
        <w:tc>
          <w:tcPr>
            <w:tcW w:type="dxa" w:w="1157"/>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2</w:t>
            </w:r>
          </w:p>
        </w:tc>
        <w:tc>
          <w:tcPr>
            <w:tcW w:type="dxa" w:w="289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la pipeline gira end-to-end</w:t>
            </w:r>
          </w:p>
        </w:tc>
      </w:tr>
      <w:tr>
        <w:tc>
          <w:tcPr>
            <w:tcW w:type="dxa" w:w="771"/>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E2</w:t>
            </w:r>
          </w:p>
        </w:tc>
        <w:tc>
          <w:tcPr>
            <w:tcW w:type="dxa" w:w="3855"/>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Primo confronto in regime difficile</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1</w:t>
            </w:r>
          </w:p>
        </w:tc>
        <w:tc>
          <w:tcPr>
            <w:tcW w:type="dxa" w:w="1157"/>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3</w:t>
            </w:r>
          </w:p>
        </w:tc>
        <w:tc>
          <w:tcPr>
            <w:tcW w:type="dxa" w:w="289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i modelli si differenziano?</w:t>
            </w:r>
          </w:p>
        </w:tc>
      </w:tr>
      <w:tr>
        <w:tc>
          <w:tcPr>
            <w:tcW w:type="dxa" w:w="771"/>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E3</w:t>
            </w:r>
          </w:p>
        </w:tc>
        <w:tc>
          <w:tcPr>
            <w:tcW w:type="dxa" w:w="3855"/>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Ablazione della normalizzazione d'ingresso</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3</w:t>
            </w:r>
          </w:p>
        </w:tc>
        <w:tc>
          <w:tcPr>
            <w:tcW w:type="dxa" w:w="1157"/>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2</w:t>
            </w:r>
          </w:p>
        </w:tc>
        <w:tc>
          <w:tcPr>
            <w:tcW w:type="dxa" w:w="289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diagnosi di un difetto sospetto</w:t>
            </w:r>
          </w:p>
        </w:tc>
      </w:tr>
      <w:tr>
        <w:tc>
          <w:tcPr>
            <w:tcW w:type="dxa" w:w="771"/>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E4</w:t>
            </w:r>
          </w:p>
        </w:tc>
        <w:tc>
          <w:tcPr>
            <w:tcW w:type="dxa" w:w="3855"/>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Confronto di riferimento</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1</w:t>
            </w:r>
          </w:p>
        </w:tc>
        <w:tc>
          <w:tcPr>
            <w:tcW w:type="dxa" w:w="1157"/>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4</w:t>
            </w:r>
          </w:p>
        </w:tc>
        <w:tc>
          <w:tcPr>
            <w:tcW w:type="dxa" w:w="289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quadro completo su uno scenario</w:t>
            </w:r>
          </w:p>
        </w:tc>
      </w:tr>
      <w:tr>
        <w:tc>
          <w:tcPr>
            <w:tcW w:type="dxa" w:w="771"/>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E5</w:t>
            </w:r>
          </w:p>
        </w:tc>
        <w:tc>
          <w:tcPr>
            <w:tcW w:type="dxa" w:w="3855"/>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Replica multi-seme</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5</w:t>
            </w:r>
          </w:p>
        </w:tc>
        <w:tc>
          <w:tcPr>
            <w:tcW w:type="dxa" w:w="1157"/>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4</w:t>
            </w:r>
          </w:p>
        </w:tc>
        <w:tc>
          <w:tcPr>
            <w:tcW w:type="dxa" w:w="289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il risultato regge alla variabilità?</w:t>
            </w:r>
          </w:p>
        </w:tc>
      </w:tr>
      <w:tr>
        <w:tc>
          <w:tcPr>
            <w:tcW w:type="dxa" w:w="771"/>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E6</w:t>
            </w:r>
          </w:p>
        </w:tc>
        <w:tc>
          <w:tcPr>
            <w:tcW w:type="dxa" w:w="3855"/>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Blocchi di feature §5.2</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5</w:t>
            </w:r>
          </w:p>
        </w:tc>
        <w:tc>
          <w:tcPr>
            <w:tcW w:type="dxa" w:w="1157"/>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2</w:t>
            </w:r>
          </w:p>
        </w:tc>
        <w:tc>
          <w:tcPr>
            <w:tcW w:type="dxa" w:w="289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tessitura e attributi aiutano?</w:t>
            </w:r>
          </w:p>
        </w:tc>
      </w:tr>
    </w:tbl>
    <w:p>
      <w:pPr>
        <w:spacing w:after="220"/>
        <w:jc w:val="left"/>
      </w:pPr>
      <w:r>
        <w:rPr>
          <w:rFonts w:ascii="Calibri" w:cs="Calibri" w:eastAsia="Calibri" w:hAnsi="Calibri"/>
          <w:i/>
          <w:iCs/>
          <w:color w:val="52514E"/>
          <w:sz w:val="17"/>
          <w:szCs w:val="17"/>
        </w:rPr>
        <w:t xml:space="preserve">Tabella 9 — Le sei campagne, in ordine cronologico di esecuzione.</w:t>
      </w:r>
    </w:p>
    <w:p>
      <w:pPr>
        <w:pStyle w:val="Heading2"/>
        <w:spacing w:after="140" w:before="280"/>
      </w:pPr>
      <w:r>
        <w:rPr>
          <w:rFonts w:ascii="Calibri" w:cs="Calibri" w:eastAsia="Calibri" w:hAnsi="Calibri"/>
        </w:rPr>
        <w:t xml:space="preserve">6.1 E1 — Verifica di funzionamento</w:t>
      </w:r>
    </w:p>
    <w:p>
      <w:pPr>
        <w:spacing w:after="120" w:line="276"/>
      </w:pPr>
      <w:r>
        <w:rPr>
          <w:rFonts w:ascii="Calibri" w:cs="Calibri" w:eastAsia="Calibri" w:hAnsi="Calibri"/>
          <w:b/>
          <w:bCs/>
          <w:color w:val="0B0B0B"/>
          <w:sz w:val="20"/>
          <w:szCs w:val="20"/>
        </w:rPr>
        <w:t xml:space="preserve">Obiettivo. </w:t>
      </w:r>
      <w:r>
        <w:rPr>
          <w:rFonts w:ascii="Calibri" w:cs="Calibri" w:eastAsia="Calibri" w:hAnsi="Calibri"/>
          <w:color w:val="0B0B0B"/>
          <w:sz w:val="20"/>
          <w:szCs w:val="20"/>
        </w:rPr>
        <w:t xml:space="preserve">Stabilire che costruzione del grafo, weak supervision, addestramento e valutazione girano senza errori e che il segnale è apprendibile quando è facile.</w:t>
      </w:r>
    </w:p>
    <w:p>
      <w:pPr>
        <w:spacing w:after="120" w:line="276"/>
      </w:pPr>
      <w:r>
        <w:rPr>
          <w:rFonts w:ascii="Calibri" w:cs="Calibri" w:eastAsia="Calibri" w:hAnsi="Calibri"/>
          <w:b/>
          <w:bCs/>
          <w:color w:val="0B0B0B"/>
          <w:sz w:val="20"/>
          <w:szCs w:val="20"/>
        </w:rPr>
        <w:t xml:space="preserve">Configurazione. </w:t>
      </w:r>
      <w:r>
        <w:rPr>
          <w:rFonts w:ascii="Calibri" w:cs="Calibri" w:eastAsia="Calibri" w:hAnsi="Calibri"/>
          <w:color w:val="0B0B0B"/>
          <w:sz w:val="20"/>
          <w:szCs w:val="20"/>
        </w:rPr>
        <w:t xml:space="preserve">144 nodi (48×48 px), T = 24, contrast = 1,0 (firma ben separata), 40 epoche, modelli ST-GNN e Temporal.</w:t>
      </w:r>
    </w:p>
    <w:p>
      <w:pPr>
        <w:spacing w:after="120" w:line="276"/>
      </w:pPr>
      <w:r>
        <w:rPr>
          <w:rFonts w:ascii="Calibri" w:cs="Calibri" w:eastAsia="Calibri" w:hAnsi="Calibri"/>
          <w:b/>
          <w:bCs/>
          <w:color w:val="0B0B0B"/>
          <w:sz w:val="20"/>
          <w:szCs w:val="20"/>
        </w:rPr>
        <w:t xml:space="preserve">Risultato. </w:t>
      </w:r>
      <w:r>
        <w:rPr>
          <w:rFonts w:ascii="Calibri" w:cs="Calibri" w:eastAsia="Calibri" w:hAnsi="Calibri"/>
          <w:color w:val="0B0B0B"/>
          <w:sz w:val="20"/>
          <w:szCs w:val="20"/>
        </w:rPr>
        <w:t xml:space="preserve">Entrambi i modelli raggiungono F1 annuale = 1,000, kappa = 1,000, con tasso di rilevazione 1,000 e zero falsi allarmi. Il ritardo medio è −1,6 compositi (mediana −2,0): la rilevazione precede sistematicamente la transizione.</w:t>
      </w:r>
    </w:p>
    <w:p>
      <w:pPr>
        <w:spacing w:after="120" w:line="276"/>
      </w:pPr>
      <w:r>
        <w:rPr>
          <w:rFonts w:ascii="Calibri" w:cs="Calibri" w:eastAsia="Calibri" w:hAnsi="Calibri"/>
          <w:b/>
          <w:bCs/>
          <w:color w:val="0B0B0B"/>
          <w:sz w:val="20"/>
          <w:szCs w:val="20"/>
        </w:rPr>
        <w:t xml:space="preserve">Lettura. </w:t>
      </w:r>
      <w:r>
        <w:rPr>
          <w:rFonts w:ascii="Calibri" w:cs="Calibri" w:eastAsia="Calibri" w:hAnsi="Calibri"/>
          <w:color w:val="0B0B0B"/>
          <w:sz w:val="20"/>
          <w:szCs w:val="20"/>
        </w:rPr>
        <w:t xml:space="preserve">La saturazione a 1,000 rende l'esperimento inutile come confronto — ed è la ragione per cui tutti i successivi usano contrast = 0,3. Il dato interessante è il ritardo negativo: il modello impara a reagire alla fase di cantiere, cioè al crollo di coerenza che precede la sigillazione, che è esattamente la capacità predittiva che la proposta chiede.</w:t>
      </w:r>
    </w:p>
    <w:p>
      <w:pPr>
        <w:pStyle w:val="Heading2"/>
        <w:spacing w:after="140" w:before="280"/>
      </w:pPr>
      <w:r>
        <w:rPr>
          <w:rFonts w:ascii="Calibri" w:cs="Calibri" w:eastAsia="Calibri" w:hAnsi="Calibri"/>
        </w:rPr>
        <w:t xml:space="preserve">6.2 E2 — Primo confronto in regime difficile</w:t>
      </w:r>
    </w:p>
    <w:p>
      <w:pPr>
        <w:spacing w:after="120" w:line="276"/>
      </w:pPr>
      <w:r>
        <w:rPr>
          <w:rFonts w:ascii="Calibri" w:cs="Calibri" w:eastAsia="Calibri" w:hAnsi="Calibri"/>
          <w:b/>
          <w:bCs/>
          <w:color w:val="0B0B0B"/>
          <w:sz w:val="20"/>
          <w:szCs w:val="20"/>
        </w:rPr>
        <w:t xml:space="preserve">Obiettivo. </w:t>
      </w:r>
      <w:r>
        <w:rPr>
          <w:rFonts w:ascii="Calibri" w:cs="Calibri" w:eastAsia="Calibri" w:hAnsi="Calibri"/>
          <w:color w:val="0B0B0B"/>
          <w:sz w:val="20"/>
          <w:szCs w:val="20"/>
        </w:rPr>
        <w:t xml:space="preserve">Portare il problema in un regime dove i modelli si differenzino, e osservare l'ordinamento.</w:t>
      </w:r>
    </w:p>
    <w:p>
      <w:pPr>
        <w:spacing w:after="120" w:line="276"/>
      </w:pPr>
      <w:r>
        <w:rPr>
          <w:rFonts w:ascii="Calibri" w:cs="Calibri" w:eastAsia="Calibri" w:hAnsi="Calibri"/>
          <w:b/>
          <w:bCs/>
          <w:color w:val="0B0B0B"/>
          <w:sz w:val="20"/>
          <w:szCs w:val="20"/>
        </w:rPr>
        <w:t xml:space="preserve">Configurazione. </w:t>
      </w:r>
      <w:r>
        <w:rPr>
          <w:rFonts w:ascii="Calibri" w:cs="Calibri" w:eastAsia="Calibri" w:hAnsi="Calibri"/>
          <w:color w:val="0B0B0B"/>
          <w:sz w:val="20"/>
          <w:szCs w:val="20"/>
        </w:rPr>
        <w:t xml:space="preserve">400 nodi, contrast = 0,3, 120 epoche, seme 0. Tre modelli.</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2313"/>
        <w:gridCol w:w="1831"/>
        <w:gridCol w:w="1831"/>
        <w:gridCol w:w="1831"/>
        <w:gridCol w:w="1831"/>
      </w:tblGrid>
      <w:tr>
        <w:trPr>
          <w:tblHeader/>
        </w:trPr>
        <w:tc>
          <w:tcPr>
            <w:tcW w:type="dxa" w:w="2313"/>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Modello</w:t>
            </w:r>
          </w:p>
        </w:tc>
        <w:tc>
          <w:tcPr>
            <w:tcW w:type="dxa" w:w="1831"/>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F1 annuale</w:t>
            </w:r>
          </w:p>
        </w:tc>
        <w:tc>
          <w:tcPr>
            <w:tcW w:type="dxa" w:w="1831"/>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kappa</w:t>
            </w:r>
          </w:p>
        </w:tc>
        <w:tc>
          <w:tcPr>
            <w:tcW w:type="dxa" w:w="1831"/>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Ritardo medio</w:t>
            </w:r>
          </w:p>
        </w:tc>
        <w:tc>
          <w:tcPr>
            <w:tcW w:type="dxa" w:w="1831"/>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Tasso di rilevazione</w:t>
            </w:r>
          </w:p>
        </w:tc>
      </w:tr>
      <w:tr>
        <w:tc>
          <w:tcPr>
            <w:tcW w:type="dxa" w:w="231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ST-GNN</w:t>
            </w:r>
          </w:p>
        </w:tc>
        <w:tc>
          <w:tcPr>
            <w:tcW w:type="dxa" w:w="183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0,723</w:t>
            </w:r>
          </w:p>
        </w:tc>
        <w:tc>
          <w:tcPr>
            <w:tcW w:type="dxa" w:w="183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0,678</w:t>
            </w:r>
          </w:p>
        </w:tc>
        <w:tc>
          <w:tcPr>
            <w:tcW w:type="dxa" w:w="183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4,89</w:t>
            </w:r>
          </w:p>
        </w:tc>
        <w:tc>
          <w:tcPr>
            <w:tcW w:type="dxa" w:w="183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0,679</w:t>
            </w:r>
          </w:p>
        </w:tc>
      </w:tr>
      <w:tr>
        <w:tc>
          <w:tcPr>
            <w:tcW w:type="dxa" w:w="231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Temporal</w:t>
            </w:r>
          </w:p>
        </w:tc>
        <w:tc>
          <w:tcPr>
            <w:tcW w:type="dxa" w:w="183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0,889</w:t>
            </w:r>
          </w:p>
        </w:tc>
        <w:tc>
          <w:tcPr>
            <w:tcW w:type="dxa" w:w="183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0,866</w:t>
            </w:r>
          </w:p>
        </w:tc>
        <w:tc>
          <w:tcPr>
            <w:tcW w:type="dxa" w:w="183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2,36</w:t>
            </w:r>
          </w:p>
        </w:tc>
        <w:tc>
          <w:tcPr>
            <w:tcW w:type="dxa" w:w="183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0,857</w:t>
            </w:r>
          </w:p>
        </w:tc>
      </w:tr>
      <w:tr>
        <w:tc>
          <w:tcPr>
            <w:tcW w:type="dxa" w:w="231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MLP</w:t>
            </w:r>
          </w:p>
        </w:tc>
        <w:tc>
          <w:tcPr>
            <w:tcW w:type="dxa" w:w="183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0,000</w:t>
            </w:r>
          </w:p>
        </w:tc>
        <w:tc>
          <w:tcPr>
            <w:tcW w:type="dxa" w:w="183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-0,012</w:t>
            </w:r>
          </w:p>
        </w:tc>
        <w:tc>
          <w:tcPr>
            <w:tcW w:type="dxa" w:w="183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9,61</w:t>
            </w:r>
          </w:p>
        </w:tc>
        <w:tc>
          <w:tcPr>
            <w:tcW w:type="dxa" w:w="183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0,179</w:t>
            </w:r>
          </w:p>
        </w:tc>
      </w:tr>
    </w:tbl>
    <w:p>
      <w:pPr>
        <w:spacing w:after="220"/>
        <w:jc w:val="left"/>
      </w:pPr>
      <w:r>
        <w:rPr>
          <w:rFonts w:ascii="Calibri" w:cs="Calibri" w:eastAsia="Calibri" w:hAnsi="Calibri"/>
          <w:i/>
          <w:iCs/>
          <w:color w:val="52514E"/>
          <w:sz w:val="17"/>
          <w:szCs w:val="17"/>
        </w:rPr>
        <w:t xml:space="preserve">Tabella 10 — E2, prima del difetto corretto in E3. I valori NON sono da confrontare con quelli successivi.</w:t>
      </w:r>
    </w:p>
    <w:p>
      <w:pPr>
        <w:spacing w:after="120" w:line="276"/>
      </w:pPr>
      <w:r>
        <w:rPr>
          <w:rFonts w:ascii="Calibri" w:cs="Calibri" w:eastAsia="Calibri" w:hAnsi="Calibri"/>
          <w:b/>
          <w:bCs/>
          <w:color w:val="0B0B0B"/>
          <w:sz w:val="20"/>
          <w:szCs w:val="20"/>
        </w:rPr>
        <w:t xml:space="preserve">Lettura. </w:t>
      </w:r>
      <w:r>
        <w:rPr>
          <w:rFonts w:ascii="Calibri" w:cs="Calibri" w:eastAsia="Calibri" w:hAnsi="Calibri"/>
          <w:color w:val="0B0B0B"/>
          <w:sz w:val="20"/>
          <w:szCs w:val="20"/>
        </w:rPr>
        <w:t xml:space="preserve">Due segnali. Primo: l'ablazione senza grafo supera il modello a grafo, un esito inatteso che richiede verifica prima di essere riportato. Secondo, più sospetto: l'MLP collassa a F1 = 0,000 — non predice mai la classe positiva. Un fallimento così totale suggerisce un difetto di implementazione più che un limite del modello, e ha motivato E3.</w:t>
      </w:r>
    </w:p>
    <w:p>
      <w:pPr>
        <w:pStyle w:val="Heading2"/>
        <w:spacing w:after="140" w:before="280"/>
      </w:pPr>
      <w:r>
        <w:rPr>
          <w:rFonts w:ascii="Calibri" w:cs="Calibri" w:eastAsia="Calibri" w:hAnsi="Calibri"/>
        </w:rPr>
        <w:t xml:space="preserve">6.3 E3 — Ablazione della normalizzazione d'ingresso</w:t>
      </w:r>
    </w:p>
    <w:p>
      <w:pPr>
        <w:spacing w:after="120" w:line="276"/>
      </w:pPr>
      <w:r>
        <w:rPr>
          <w:rFonts w:ascii="Calibri" w:cs="Calibri" w:eastAsia="Calibri" w:hAnsi="Calibri"/>
          <w:b/>
          <w:bCs/>
          <w:color w:val="0B0B0B"/>
          <w:sz w:val="20"/>
          <w:szCs w:val="20"/>
        </w:rPr>
        <w:t xml:space="preserve">Obiettivo. </w:t>
      </w:r>
      <w:r>
        <w:rPr>
          <w:rFonts w:ascii="Calibri" w:cs="Calibri" w:eastAsia="Calibri" w:hAnsi="Calibri"/>
          <w:color w:val="0B0B0B"/>
          <w:sz w:val="20"/>
          <w:szCs w:val="20"/>
        </w:rPr>
        <w:t xml:space="preserve">Verificare l'ipotesi che il collasso dell'MLP e la debolezza generale derivino dalla normalizzazione applicata in ingresso.</w:t>
      </w:r>
    </w:p>
    <w:p>
      <w:pPr>
        <w:spacing w:after="120" w:line="276"/>
      </w:pPr>
      <w:r>
        <w:rPr>
          <w:rFonts w:ascii="Calibri" w:cs="Calibri" w:eastAsia="Calibri" w:hAnsi="Calibri"/>
          <w:b/>
          <w:bCs/>
          <w:color w:val="0B0B0B"/>
          <w:sz w:val="20"/>
          <w:szCs w:val="20"/>
        </w:rPr>
        <w:t xml:space="preserve">Ipotesi diagnostica. </w:t>
      </w:r>
      <w:r>
        <w:rPr>
          <w:rFonts w:ascii="Calibri" w:cs="Calibri" w:eastAsia="Calibri" w:hAnsi="Calibri"/>
          <w:color w:val="0B0B0B"/>
          <w:sz w:val="20"/>
          <w:szCs w:val="20"/>
        </w:rPr>
        <w:t xml:space="preserve">Il modello applicava un LayerNorm lungo l'asse dei canali. Questo centra il vettore di feature di ciascun nodo-composito rispetto ai propri canali, cancellando il livello assoluto di backscatter — che è gran parte di ciò che separa il suolo sigillato da quello naturale. La standardizzazione per canale era già eseguita dal datamodule, quindi il layer non solo era superfluo: era distruttivo.</w:t>
      </w:r>
    </w:p>
    <w:p>
      <w:pPr>
        <w:spacing w:after="120" w:line="276"/>
      </w:pPr>
      <w:r>
        <w:rPr>
          <w:rFonts w:ascii="Calibri" w:cs="Calibri" w:eastAsia="Calibri" w:hAnsi="Calibri"/>
          <w:b/>
          <w:bCs/>
          <w:color w:val="0B0B0B"/>
          <w:sz w:val="20"/>
          <w:szCs w:val="20"/>
        </w:rPr>
        <w:t xml:space="preserve">Procedura. </w:t>
      </w:r>
      <w:r>
        <w:rPr>
          <w:rFonts w:ascii="Calibri" w:cs="Calibri" w:eastAsia="Calibri" w:hAnsi="Calibri"/>
          <w:color w:val="0B0B0B"/>
          <w:sz w:val="20"/>
          <w:szCs w:val="20"/>
        </w:rPr>
        <w:t xml:space="preserve">La normalizzazione è stata rimossa dal modello e dalle baseline, e l'effetto misurato per differenza. Per questo report l'ablazione è stata replicata su tre semi reintroducendo il layer tramite un wrapper che riproduce fedelmente il comportamento precedente.</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1542"/>
        <w:gridCol w:w="2891"/>
        <w:gridCol w:w="2891"/>
        <w:gridCol w:w="2313"/>
      </w:tblGrid>
      <w:tr>
        <w:trPr>
          <w:tblHeader/>
        </w:trPr>
        <w:tc>
          <w:tcPr>
            <w:tcW w:type="dxa" w:w="1542"/>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Modello</w:t>
            </w:r>
          </w:p>
        </w:tc>
        <w:tc>
          <w:tcPr>
            <w:tcW w:type="dxa" w:w="2891"/>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Con LayerNorm sui canali</w:t>
            </w:r>
          </w:p>
          <w:p>
            <w:pPr>
              <w:spacing w:after="0" w:line="240"/>
            </w:pPr>
            <w:r>
              <w:rPr>
                <w:rFonts w:ascii="Calibri" w:cs="Calibri" w:eastAsia="Calibri" w:hAnsi="Calibri"/>
                <w:b/>
                <w:bCs/>
                <w:color w:val="0B0B0B"/>
                <w:sz w:val="17"/>
                <w:szCs w:val="17"/>
              </w:rPr>
              <w:t xml:space="preserve">(F1 annuale, media ± sd, n = 3)</w:t>
            </w:r>
          </w:p>
        </w:tc>
        <w:tc>
          <w:tcPr>
            <w:tcW w:type="dxa" w:w="2891"/>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Senza — versione attuale</w:t>
            </w:r>
          </w:p>
          <w:p>
            <w:pPr>
              <w:spacing w:after="0" w:line="240"/>
            </w:pPr>
            <w:r>
              <w:rPr>
                <w:rFonts w:ascii="Calibri" w:cs="Calibri" w:eastAsia="Calibri" w:hAnsi="Calibri"/>
                <w:b/>
                <w:bCs/>
                <w:color w:val="0B0B0B"/>
                <w:sz w:val="17"/>
                <w:szCs w:val="17"/>
              </w:rPr>
              <w:t xml:space="preserve">(F1 annuale, media ± sd, n = 5)</w:t>
            </w:r>
          </w:p>
        </w:tc>
        <w:tc>
          <w:tcPr>
            <w:tcW w:type="dxa" w:w="2313"/>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Differenza</w:t>
            </w:r>
          </w:p>
        </w:tc>
      </w:tr>
      <w:tr>
        <w:tc>
          <w:tcPr>
            <w:tcW w:type="dxa" w:w="154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ST-GNN</w:t>
            </w:r>
          </w:p>
        </w:tc>
        <w:tc>
          <w:tcPr>
            <w:tcW w:type="dxa" w:w="289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0,589 ± 0,244</w:t>
            </w:r>
          </w:p>
        </w:tc>
        <w:tc>
          <w:tcPr>
            <w:tcW w:type="dxa" w:w="289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0,796 ± 0,086</w:t>
            </w:r>
          </w:p>
        </w:tc>
        <w:tc>
          <w:tcPr>
            <w:tcW w:type="dxa" w:w="2313"/>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+0,207</w:t>
            </w:r>
          </w:p>
        </w:tc>
      </w:tr>
      <w:tr>
        <w:tc>
          <w:tcPr>
            <w:tcW w:type="dxa" w:w="154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Temporal</w:t>
            </w:r>
          </w:p>
        </w:tc>
        <w:tc>
          <w:tcPr>
            <w:tcW w:type="dxa" w:w="289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0,644 ± 0,101</w:t>
            </w:r>
          </w:p>
        </w:tc>
        <w:tc>
          <w:tcPr>
            <w:tcW w:type="dxa" w:w="289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0,901 ± 0,045</w:t>
            </w:r>
          </w:p>
        </w:tc>
        <w:tc>
          <w:tcPr>
            <w:tcW w:type="dxa" w:w="2313"/>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+0,257</w:t>
            </w:r>
          </w:p>
        </w:tc>
      </w:tr>
    </w:tbl>
    <w:p>
      <w:pPr>
        <w:spacing w:after="220"/>
        <w:jc w:val="left"/>
      </w:pPr>
      <w:r>
        <w:rPr>
          <w:rFonts w:ascii="Calibri" w:cs="Calibri" w:eastAsia="Calibri" w:hAnsi="Calibri"/>
          <w:i/>
          <w:iCs/>
          <w:color w:val="52514E"/>
          <w:sz w:val="17"/>
          <w:szCs w:val="17"/>
        </w:rPr>
        <w:t xml:space="preserve">Tabella 11 — Effetto della normalizzazione lungo i canali. Il confronto è fra campagne con numerosità diversa (3 contro 5 semi) e va letto come ordine di grandezza.</w:t>
      </w:r>
    </w:p>
    <w:p>
      <w:pPr>
        <w:spacing w:after="120" w:line="276"/>
      </w:pPr>
      <w:r>
        <w:rPr>
          <w:rFonts w:ascii="Calibri" w:cs="Calibri" w:eastAsia="Calibri" w:hAnsi="Calibri"/>
          <w:b/>
          <w:bCs/>
          <w:color w:val="0B0B0B"/>
          <w:sz w:val="20"/>
          <w:szCs w:val="20"/>
        </w:rPr>
        <w:t xml:space="preserve">Risultato. </w:t>
      </w:r>
      <w:r>
        <w:rPr>
          <w:rFonts w:ascii="Calibri" w:cs="Calibri" w:eastAsia="Calibri" w:hAnsi="Calibri"/>
          <w:color w:val="0B0B0B"/>
          <w:sz w:val="20"/>
          <w:szCs w:val="20"/>
        </w:rPr>
        <w:t xml:space="preserve">L'ipotesi è confermata su entrambi i modelli e su tutti i semi. La rimozione del layer è la singola modifica con l'effetto più grande misurato nell'intera campagna, e la deviazione standard elevata di ST-GNN con il layer attivo (± 0,24) indica che il difetto rendeva l'addestramento anche instabile, non solo peggiore.</w:t>
      </w:r>
    </w:p>
    <w:p>
      <w:pPr>
        <w:spacing w:after="120" w:line="276"/>
      </w:pPr>
      <w:r>
        <w:rPr>
          <w:rFonts w:ascii="Calibri" w:cs="Calibri" w:eastAsia="Calibri" w:hAnsi="Calibri"/>
          <w:b/>
          <w:bCs/>
          <w:color w:val="0B0B0B"/>
          <w:sz w:val="20"/>
          <w:szCs w:val="20"/>
        </w:rPr>
        <w:t xml:space="preserve">Nota metodologica. </w:t>
      </w:r>
      <w:r>
        <w:rPr>
          <w:rFonts w:ascii="Calibri" w:cs="Calibri" w:eastAsia="Calibri" w:hAnsi="Calibri"/>
          <w:color w:val="0B0B0B"/>
          <w:sz w:val="20"/>
          <w:szCs w:val="20"/>
        </w:rPr>
        <w:t xml:space="preserve">Questo è l'unico esperimento che ha modificato il codice sorgente anziché limitarsi a misurarlo. Va registrato che si tratta della correzione di un difetto individuato per via diagnostica, non di una messa a punto scelta perché migliorava i numeri: la giustificazione è indipendente dal risultato.</w:t>
      </w:r>
    </w:p>
    <w:p>
      <w:pPr>
        <w:pStyle w:val="Heading2"/>
        <w:spacing w:after="140" w:before="280"/>
      </w:pPr>
      <w:r>
        <w:rPr>
          <w:rFonts w:ascii="Calibri" w:cs="Calibri" w:eastAsia="Calibri" w:hAnsi="Calibri"/>
        </w:rPr>
        <w:t xml:space="preserve">6.4 E4 — Confronto di riferimento</w:t>
      </w:r>
    </w:p>
    <w:p>
      <w:pPr>
        <w:spacing w:after="120" w:line="276"/>
      </w:pPr>
      <w:r>
        <w:rPr>
          <w:rFonts w:ascii="Calibri" w:cs="Calibri" w:eastAsia="Calibri" w:hAnsi="Calibri"/>
          <w:b/>
          <w:bCs/>
          <w:color w:val="0B0B0B"/>
          <w:sz w:val="20"/>
          <w:szCs w:val="20"/>
        </w:rPr>
        <w:t xml:space="preserve">Obiettivo. </w:t>
      </w:r>
      <w:r>
        <w:rPr>
          <w:rFonts w:ascii="Calibri" w:cs="Calibri" w:eastAsia="Calibri" w:hAnsi="Calibri"/>
          <w:color w:val="0B0B0B"/>
          <w:sz w:val="20"/>
          <w:szCs w:val="20"/>
        </w:rPr>
        <w:t xml:space="preserve">Quadro completo su un singolo scenario, con tutti e quattro i modelli e tutte le metriche.</w:t>
      </w:r>
    </w:p>
    <w:p>
      <w:pPr>
        <w:spacing w:after="120" w:line="276"/>
      </w:pPr>
      <w:r>
        <w:rPr>
          <w:rFonts w:ascii="Calibri" w:cs="Calibri" w:eastAsia="Calibri" w:hAnsi="Calibri"/>
          <w:b/>
          <w:bCs/>
          <w:color w:val="0B0B0B"/>
          <w:sz w:val="20"/>
          <w:szCs w:val="20"/>
        </w:rPr>
        <w:t xml:space="preserve">Configurazione. </w:t>
      </w:r>
      <w:r>
        <w:rPr>
          <w:rFonts w:ascii="Calibri" w:cs="Calibri" w:eastAsia="Calibri" w:hAnsi="Calibri"/>
          <w:color w:val="0B0B0B"/>
          <w:sz w:val="20"/>
          <w:szCs w:val="20"/>
        </w:rPr>
        <w:t xml:space="preserve">400 nodi, contrast = 0,3, 120 epoche, seme 0, codice corretto.</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1638"/>
        <w:gridCol w:w="964"/>
        <w:gridCol w:w="964"/>
        <w:gridCol w:w="964"/>
        <w:gridCol w:w="1060"/>
        <w:gridCol w:w="1060"/>
        <w:gridCol w:w="964"/>
        <w:gridCol w:w="1060"/>
        <w:gridCol w:w="964"/>
      </w:tblGrid>
      <w:tr>
        <w:trPr>
          <w:tblHeader/>
        </w:trPr>
        <w:tc>
          <w:tcPr>
            <w:tcW w:type="dxa" w:w="1638"/>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Modello</w:t>
            </w:r>
          </w:p>
        </w:tc>
        <w:tc>
          <w:tcPr>
            <w:tcW w:type="dxa" w:w="964"/>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OA</w:t>
            </w:r>
          </w:p>
        </w:tc>
        <w:tc>
          <w:tcPr>
            <w:tcW w:type="dxa" w:w="964"/>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F1</w:t>
            </w:r>
          </w:p>
        </w:tc>
        <w:tc>
          <w:tcPr>
            <w:tcW w:type="dxa" w:w="964"/>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IoU</w:t>
            </w:r>
          </w:p>
        </w:tc>
        <w:tc>
          <w:tcPr>
            <w:tcW w:type="dxa" w:w="1060"/>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kappa</w:t>
            </w:r>
          </w:p>
        </w:tc>
        <w:tc>
          <w:tcPr>
            <w:tcW w:type="dxa" w:w="1060"/>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Ritardo</w:t>
            </w:r>
          </w:p>
        </w:tc>
        <w:tc>
          <w:tcPr>
            <w:tcW w:type="dxa" w:w="964"/>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Rilev.</w:t>
            </w:r>
          </w:p>
        </w:tc>
        <w:tc>
          <w:tcPr>
            <w:tcW w:type="dxa" w:w="1060"/>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Falsi all.</w:t>
            </w:r>
          </w:p>
        </w:tc>
        <w:tc>
          <w:tcPr>
            <w:tcW w:type="dxa" w:w="964"/>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Mancati</w:t>
            </w:r>
          </w:p>
        </w:tc>
      </w:tr>
      <w:tr>
        <w:tc>
          <w:tcPr>
            <w:tcW w:type="dxa" w:w="163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ST-GNN</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0,931</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0,800</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0,667</w:t>
            </w:r>
          </w:p>
        </w:tc>
        <w:tc>
          <w:tcPr>
            <w:tcW w:type="dxa" w:w="106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0,759</w:t>
            </w:r>
          </w:p>
        </w:tc>
        <w:tc>
          <w:tcPr>
            <w:tcW w:type="dxa" w:w="106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1,86</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0,86</w:t>
            </w:r>
          </w:p>
        </w:tc>
        <w:tc>
          <w:tcPr>
            <w:tcW w:type="dxa" w:w="106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0,038</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4</w:t>
            </w:r>
          </w:p>
        </w:tc>
      </w:tr>
      <w:tr>
        <w:tc>
          <w:tcPr>
            <w:tcW w:type="dxa" w:w="163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Temporal</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0,981</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0,945</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0,897</w:t>
            </w:r>
          </w:p>
        </w:tc>
        <w:tc>
          <w:tcPr>
            <w:tcW w:type="dxa" w:w="106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0,934</w:t>
            </w:r>
          </w:p>
        </w:tc>
        <w:tc>
          <w:tcPr>
            <w:tcW w:type="dxa" w:w="106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0,82</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0,96</w:t>
            </w:r>
          </w:p>
        </w:tc>
        <w:tc>
          <w:tcPr>
            <w:tcW w:type="dxa" w:w="106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0,000</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1</w:t>
            </w:r>
          </w:p>
        </w:tc>
      </w:tr>
      <w:tr>
        <w:tc>
          <w:tcPr>
            <w:tcW w:type="dxa" w:w="163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MLP</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0,913</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0,696</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0,533</w:t>
            </w:r>
          </w:p>
        </w:tc>
        <w:tc>
          <w:tcPr>
            <w:tcW w:type="dxa" w:w="106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0,647</w:t>
            </w:r>
          </w:p>
        </w:tc>
        <w:tc>
          <w:tcPr>
            <w:tcW w:type="dxa" w:w="106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3,57</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0,64</w:t>
            </w:r>
          </w:p>
        </w:tc>
        <w:tc>
          <w:tcPr>
            <w:tcW w:type="dxa" w:w="106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0,000</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10</w:t>
            </w:r>
          </w:p>
        </w:tc>
      </w:tr>
      <w:tr>
        <w:tc>
          <w:tcPr>
            <w:tcW w:type="dxa" w:w="163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RF</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0,969</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0,909</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0,833</w:t>
            </w:r>
          </w:p>
        </w:tc>
        <w:tc>
          <w:tcPr>
            <w:tcW w:type="dxa" w:w="106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0,890</w:t>
            </w:r>
          </w:p>
        </w:tc>
        <w:tc>
          <w:tcPr>
            <w:tcW w:type="dxa" w:w="106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w:t>
            </w:r>
          </w:p>
        </w:tc>
        <w:tc>
          <w:tcPr>
            <w:tcW w:type="dxa" w:w="106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w:t>
            </w:r>
          </w:p>
        </w:tc>
        <w:tc>
          <w:tcPr>
            <w:tcW w:type="dxa" w:w="964"/>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w:t>
            </w:r>
          </w:p>
        </w:tc>
      </w:tr>
    </w:tbl>
    <w:p>
      <w:pPr>
        <w:spacing w:after="220"/>
        <w:jc w:val="left"/>
      </w:pPr>
      <w:r>
        <w:rPr>
          <w:rFonts w:ascii="Calibri" w:cs="Calibri" w:eastAsia="Calibri" w:hAnsi="Calibri"/>
          <w:i/>
          <w:iCs/>
          <w:color w:val="52514E"/>
          <w:sz w:val="17"/>
          <w:szCs w:val="17"/>
        </w:rPr>
        <w:t xml:space="preserve">Tabella 12 — E4, seme 0. Su 28 nodi consumati nello split di test, ST-GNN ne manca 4, Temporal 1, MLP 10. Il random forest non produce una data, quindi non ha metriche di ritardo.</w:t>
      </w:r>
    </w:p>
    <w:p>
      <w:pPr>
        <w:spacing w:after="120" w:line="276"/>
      </w:pPr>
      <w:r>
        <w:rPr>
          <w:rFonts w:ascii="Calibri" w:cs="Calibri" w:eastAsia="Calibri" w:hAnsi="Calibri"/>
          <w:b/>
          <w:bCs/>
          <w:color w:val="0B0B0B"/>
          <w:sz w:val="20"/>
          <w:szCs w:val="20"/>
        </w:rPr>
        <w:t xml:space="preserve">Lettura. </w:t>
      </w:r>
      <w:r>
        <w:rPr>
          <w:rFonts w:ascii="Calibri" w:cs="Calibri" w:eastAsia="Calibri" w:hAnsi="Calibri"/>
          <w:color w:val="0B0B0B"/>
          <w:sz w:val="20"/>
          <w:szCs w:val="20"/>
        </w:rPr>
        <w:t xml:space="preserve">Ordinamento Temporal &gt; RF &gt; ST-GNN &gt; MLP. Il modello relazionale supera nettamente il modello privo di memoria, ma resta dietro alla propria ablazione e persino dietro al random forest. Su un solo seme non si può concludere nulla, il che ha motivato E5.</w:t>
      </w:r>
    </w:p>
    <w:p>
      <w:pPr>
        <w:pStyle w:val="Heading2"/>
        <w:spacing w:after="140" w:before="280"/>
      </w:pPr>
      <w:r>
        <w:rPr>
          <w:rFonts w:ascii="Calibri" w:cs="Calibri" w:eastAsia="Calibri" w:hAnsi="Calibri"/>
        </w:rPr>
        <w:t xml:space="preserve">6.4.1 Un difetto di riproducibilità individuato in questa fase</w:t>
      </w:r>
    </w:p>
    <w:p>
      <w:pPr>
        <w:spacing w:after="120" w:line="276"/>
      </w:pPr>
      <w:r>
        <w:rPr>
          <w:rFonts w:ascii="Calibri" w:cs="Calibri" w:eastAsia="Calibri" w:hAnsi="Calibri"/>
          <w:color w:val="0B0B0B"/>
          <w:sz w:val="20"/>
          <w:szCs w:val="20"/>
        </w:rPr>
        <w:t xml:space="preserve">Confrontando E4 con la replica multi-seme è emersa una discrepanza: allo stesso seme, il modello Temporal otteneva 0,909 dal comando CLI e 0,945 dallo script di studio. La causa è che run_demo inizializzava il generatore pseudo-casuale una sola volta prima del ciclo sui modelli: il secondo modello ereditava lo stato lasciato dal primo, quindi il suo punteggio dipendeva dall'ordine in cui i modelli erano elencati in --models.</w:t>
      </w:r>
    </w:p>
    <w:p>
      <w:pPr>
        <w:spacing w:after="120" w:line="276"/>
      </w:pPr>
      <w:r>
        <w:rPr>
          <w:rFonts w:ascii="Calibri" w:cs="Calibri" w:eastAsia="Calibri" w:hAnsi="Calibri"/>
          <w:color w:val="0B0B0B"/>
          <w:sz w:val="20"/>
          <w:szCs w:val="20"/>
        </w:rPr>
        <w:t xml:space="preserve">Il difetto è stato corretto reinizializzando il seme prima di ciascun modello, ed è ora coperto da un test di regressione che esegue la stessa coppia di modelli nei due ordini e verifica l'identità dei risultati. Tutti i numeri riportati in E4 sono post-correzione e coincidono con quelli del seme 0 di E5.</w:t>
      </w:r>
    </w:p>
    <w:p>
      <w:r>
        <w:br w:type="page"/>
      </w:r>
    </w:p>
    <w:p>
      <w:pPr>
        <w:pStyle w:val="Heading2"/>
        <w:spacing w:after="140" w:before="280"/>
      </w:pPr>
      <w:r>
        <w:rPr>
          <w:rFonts w:ascii="Calibri" w:cs="Calibri" w:eastAsia="Calibri" w:hAnsi="Calibri"/>
        </w:rPr>
        <w:t xml:space="preserve">6.5 E5 — Replica multi-seme</w:t>
      </w:r>
    </w:p>
    <w:p>
      <w:pPr>
        <w:spacing w:after="120" w:line="276"/>
      </w:pPr>
      <w:r>
        <w:rPr>
          <w:rFonts w:ascii="Calibri" w:cs="Calibri" w:eastAsia="Calibri" w:hAnsi="Calibri"/>
          <w:b/>
          <w:bCs/>
          <w:color w:val="0B0B0B"/>
          <w:sz w:val="20"/>
          <w:szCs w:val="20"/>
        </w:rPr>
        <w:t xml:space="preserve">Obiettivo. </w:t>
      </w:r>
      <w:r>
        <w:rPr>
          <w:rFonts w:ascii="Calibri" w:cs="Calibri" w:eastAsia="Calibri" w:hAnsi="Calibri"/>
          <w:color w:val="0B0B0B"/>
          <w:sz w:val="20"/>
          <w:szCs w:val="20"/>
        </w:rPr>
        <w:t xml:space="preserve">Stabilire se l'ordinamento osservato su un singolo scenario sia un fatto o rumore.</w:t>
      </w:r>
    </w:p>
    <w:p>
      <w:pPr>
        <w:spacing w:after="120" w:line="276"/>
      </w:pPr>
      <w:r>
        <w:rPr>
          <w:rFonts w:ascii="Calibri" w:cs="Calibri" w:eastAsia="Calibri" w:hAnsi="Calibri"/>
          <w:b/>
          <w:bCs/>
          <w:color w:val="0B0B0B"/>
          <w:sz w:val="20"/>
          <w:szCs w:val="20"/>
        </w:rPr>
        <w:t xml:space="preserve">Configurazione. </w:t>
      </w:r>
      <w:r>
        <w:rPr>
          <w:rFonts w:ascii="Calibri" w:cs="Calibri" w:eastAsia="Calibri" w:hAnsi="Calibri"/>
          <w:color w:val="0B0B0B"/>
          <w:sz w:val="20"/>
          <w:szCs w:val="20"/>
        </w:rPr>
        <w:t xml:space="preserve">Cinque semi indipendenti (0–4). Ciascun seme genera uno scenario diverso E una diversa inizializzazione dei pesi, quindi è una replica completa, non solo un rimescolamento dei dati. 400 nodi, contrast = 0,3, 120 epoche, quattro modelli, 20 esecuzioni.</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1546"/>
        <w:gridCol w:w="2000"/>
        <w:gridCol w:w="2000"/>
        <w:gridCol w:w="1818"/>
        <w:gridCol w:w="2273"/>
      </w:tblGrid>
      <w:tr>
        <w:trPr>
          <w:tblHeader/>
        </w:trPr>
        <w:tc>
          <w:tcPr>
            <w:tcW w:type="dxa" w:w="1546"/>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Modello</w:t>
            </w:r>
          </w:p>
        </w:tc>
        <w:tc>
          <w:tcPr>
            <w:tcW w:type="dxa" w:w="2000"/>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F1 annuale</w:t>
            </w:r>
          </w:p>
        </w:tc>
        <w:tc>
          <w:tcPr>
            <w:tcW w:type="dxa" w:w="2000"/>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kappa</w:t>
            </w:r>
          </w:p>
        </w:tc>
        <w:tc>
          <w:tcPr>
            <w:tcW w:type="dxa" w:w="1818"/>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IoU</w:t>
            </w:r>
          </w:p>
        </w:tc>
        <w:tc>
          <w:tcPr>
            <w:tcW w:type="dxa" w:w="2273"/>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Ritardo medio (compositi)</w:t>
            </w:r>
          </w:p>
        </w:tc>
      </w:tr>
      <w:tr>
        <w:tc>
          <w:tcPr>
            <w:tcW w:type="dxa" w:w="1546"/>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ST-GNN</w:t>
            </w:r>
          </w:p>
        </w:tc>
        <w:tc>
          <w:tcPr>
            <w:tcW w:type="dxa" w:w="200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0,796 ± 0,086</w:t>
            </w:r>
          </w:p>
        </w:tc>
        <w:tc>
          <w:tcPr>
            <w:tcW w:type="dxa" w:w="200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0,776 ± 0,093</w:t>
            </w:r>
          </w:p>
        </w:tc>
        <w:tc>
          <w:tcPr>
            <w:tcW w:type="dxa" w:w="1818"/>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0,668 ± 0,116</w:t>
            </w:r>
          </w:p>
        </w:tc>
        <w:tc>
          <w:tcPr>
            <w:tcW w:type="dxa" w:w="2273"/>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1,38 ± 0,74</w:t>
            </w:r>
          </w:p>
        </w:tc>
      </w:tr>
      <w:tr>
        <w:tc>
          <w:tcPr>
            <w:tcW w:type="dxa" w:w="1546"/>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Temporal</w:t>
            </w:r>
          </w:p>
        </w:tc>
        <w:tc>
          <w:tcPr>
            <w:tcW w:type="dxa" w:w="200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0,901 ± 0,045</w:t>
            </w:r>
          </w:p>
        </w:tc>
        <w:tc>
          <w:tcPr>
            <w:tcW w:type="dxa" w:w="200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0,892 ± 0,046</w:t>
            </w:r>
          </w:p>
        </w:tc>
        <w:tc>
          <w:tcPr>
            <w:tcW w:type="dxa" w:w="1818"/>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0,822 ± 0,074</w:t>
            </w:r>
          </w:p>
        </w:tc>
        <w:tc>
          <w:tcPr>
            <w:tcW w:type="dxa" w:w="2273"/>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0,98 ± 0,61</w:t>
            </w:r>
          </w:p>
        </w:tc>
      </w:tr>
      <w:tr>
        <w:tc>
          <w:tcPr>
            <w:tcW w:type="dxa" w:w="1546"/>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MLP</w:t>
            </w:r>
          </w:p>
        </w:tc>
        <w:tc>
          <w:tcPr>
            <w:tcW w:type="dxa" w:w="200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0,713 ± 0,116</w:t>
            </w:r>
          </w:p>
        </w:tc>
        <w:tc>
          <w:tcPr>
            <w:tcW w:type="dxa" w:w="200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0,689 ± 0,126</w:t>
            </w:r>
          </w:p>
        </w:tc>
        <w:tc>
          <w:tcPr>
            <w:tcW w:type="dxa" w:w="1818"/>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0,564 ± 0,130</w:t>
            </w:r>
          </w:p>
        </w:tc>
        <w:tc>
          <w:tcPr>
            <w:tcW w:type="dxa" w:w="2273"/>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2,27 ± 1,46</w:t>
            </w:r>
          </w:p>
        </w:tc>
      </w:tr>
      <w:tr>
        <w:tc>
          <w:tcPr>
            <w:tcW w:type="dxa" w:w="1546"/>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RF</w:t>
            </w:r>
          </w:p>
        </w:tc>
        <w:tc>
          <w:tcPr>
            <w:tcW w:type="dxa" w:w="200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0,904 ± 0,019</w:t>
            </w:r>
          </w:p>
        </w:tc>
        <w:tc>
          <w:tcPr>
            <w:tcW w:type="dxa" w:w="200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0,895 ± 0,019</w:t>
            </w:r>
          </w:p>
        </w:tc>
        <w:tc>
          <w:tcPr>
            <w:tcW w:type="dxa" w:w="1818"/>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0,826 ± 0,032</w:t>
            </w:r>
          </w:p>
        </w:tc>
        <w:tc>
          <w:tcPr>
            <w:tcW w:type="dxa" w:w="2273"/>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w:t>
            </w:r>
          </w:p>
        </w:tc>
      </w:tr>
    </w:tbl>
    <w:p>
      <w:pPr>
        <w:spacing w:after="220"/>
        <w:jc w:val="left"/>
      </w:pPr>
      <w:r>
        <w:rPr>
          <w:rFonts w:ascii="Calibri" w:cs="Calibri" w:eastAsia="Calibri" w:hAnsi="Calibri"/>
          <w:i/>
          <w:iCs/>
          <w:color w:val="52514E"/>
          <w:sz w:val="17"/>
          <w:szCs w:val="17"/>
        </w:rPr>
        <w:t xml:space="preserve">Tabella 13 — E5, media ± deviazione standard su cinque semi.</w:t>
      </w:r>
    </w:p>
    <w:p>
      <w:pPr>
        <w:spacing w:after="60" w:before="140"/>
      </w:pPr>
      <w:r>
        <w:drawing>
          <wp:inline distT="0" distB="0" distL="0" distR="0">
            <wp:extent cx="5943600" cy="2011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011680"/>
                    </a:xfrm>
                    <a:prstGeom prst="rect">
                      <a:avLst/>
                    </a:prstGeom>
                  </pic:spPr>
                </pic:pic>
              </a:graphicData>
            </a:graphic>
          </wp:inline>
        </w:drawing>
      </w:r>
    </w:p>
    <w:p>
      <w:pPr>
        <w:spacing w:after="220"/>
        <w:jc w:val="left"/>
      </w:pPr>
      <w:r>
        <w:rPr>
          <w:rFonts w:ascii="Calibri" w:cs="Calibri" w:eastAsia="Calibri" w:hAnsi="Calibri"/>
          <w:i/>
          <w:iCs/>
          <w:color w:val="52514E"/>
          <w:sz w:val="17"/>
          <w:szCs w:val="17"/>
        </w:rPr>
        <w:t xml:space="preserve">Figura 1 — F1 annuale. Ogni cerchio è un seme, il rombo è la media. Il modello proposto è in blu, le baseline in grigio; l'identità è data dall'etichetta di riga, il colore segnala soltanto il soggetto del confronto.</w:t>
      </w:r>
    </w:p>
    <w:p>
      <w:pPr>
        <w:spacing w:after="60" w:before="140"/>
      </w:pPr>
      <w:r>
        <w:drawing>
          <wp:inline distT="0" distB="0" distL="0" distR="0">
            <wp:extent cx="5943600" cy="1691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691640"/>
                    </a:xfrm>
                    <a:prstGeom prst="rect">
                      <a:avLst/>
                    </a:prstGeom>
                  </pic:spPr>
                </pic:pic>
              </a:graphicData>
            </a:graphic>
          </wp:inline>
        </w:drawing>
      </w:r>
    </w:p>
    <w:p>
      <w:pPr>
        <w:spacing w:after="220"/>
        <w:jc w:val="left"/>
      </w:pPr>
      <w:r>
        <w:rPr>
          <w:rFonts w:ascii="Calibri" w:cs="Calibri" w:eastAsia="Calibri" w:hAnsi="Calibri"/>
          <w:i/>
          <w:iCs/>
          <w:color w:val="52514E"/>
          <w:sz w:val="17"/>
          <w:szCs w:val="17"/>
        </w:rPr>
        <w:t xml:space="preserve">Figura 2 — Ritardo medio di rilevazione. Il random forest è assente perché una decisione per anno non ha una data di cui essere in ritardo.</w:t>
      </w:r>
    </w:p>
    <w:p>
      <w:pPr>
        <w:pStyle w:val="Heading2"/>
        <w:spacing w:after="140" w:before="280"/>
      </w:pPr>
      <w:r>
        <w:rPr>
          <w:rFonts w:ascii="Calibri" w:cs="Calibri" w:eastAsia="Calibri" w:hAnsi="Calibri"/>
        </w:rPr>
        <w:t xml:space="preserve">6.5.1 Confronto appaiato</w:t>
      </w:r>
    </w:p>
    <w:p>
      <w:pPr>
        <w:spacing w:after="120" w:line="276"/>
      </w:pPr>
      <w:r>
        <w:rPr>
          <w:rFonts w:ascii="Calibri" w:cs="Calibri" w:eastAsia="Calibri" w:hAnsi="Calibri"/>
          <w:color w:val="0B0B0B"/>
          <w:sz w:val="20"/>
          <w:szCs w:val="20"/>
        </w:rPr>
        <w:t xml:space="preserve">Poiché ogni seme è condiviso fra i modelli, il confronto corretto è appaiato. Differenza F1 (ST-GNN − Temporal), seme per seme:</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1928"/>
        <w:gridCol w:w="1542"/>
        <w:gridCol w:w="1542"/>
        <w:gridCol w:w="1542"/>
        <w:gridCol w:w="1542"/>
        <w:gridCol w:w="1542"/>
      </w:tblGrid>
      <w:tr>
        <w:trPr>
          <w:tblHeader/>
        </w:trPr>
        <w:tc>
          <w:tcPr>
            <w:tcW w:type="dxa" w:w="1928"/>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Seme</w:t>
            </w:r>
          </w:p>
        </w:tc>
        <w:tc>
          <w:tcPr>
            <w:tcW w:type="dxa" w:w="1542"/>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0</w:t>
            </w:r>
          </w:p>
        </w:tc>
        <w:tc>
          <w:tcPr>
            <w:tcW w:type="dxa" w:w="1542"/>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1</w:t>
            </w:r>
          </w:p>
        </w:tc>
        <w:tc>
          <w:tcPr>
            <w:tcW w:type="dxa" w:w="1542"/>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2</w:t>
            </w:r>
          </w:p>
        </w:tc>
        <w:tc>
          <w:tcPr>
            <w:tcW w:type="dxa" w:w="1542"/>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3</w:t>
            </w:r>
          </w:p>
        </w:tc>
        <w:tc>
          <w:tcPr>
            <w:tcW w:type="dxa" w:w="1542"/>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4</w:t>
            </w:r>
          </w:p>
        </w:tc>
      </w:tr>
      <w:tr>
        <w:tc>
          <w:tcPr>
            <w:tcW w:type="dxa" w:w="192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ST-GNN</w:t>
            </w:r>
          </w:p>
        </w:tc>
        <w:tc>
          <w:tcPr>
            <w:tcW w:type="dxa" w:w="154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0,800</w:t>
            </w:r>
          </w:p>
        </w:tc>
        <w:tc>
          <w:tcPr>
            <w:tcW w:type="dxa" w:w="154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0,889</w:t>
            </w:r>
          </w:p>
        </w:tc>
        <w:tc>
          <w:tcPr>
            <w:tcW w:type="dxa" w:w="154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0,769</w:t>
            </w:r>
          </w:p>
        </w:tc>
        <w:tc>
          <w:tcPr>
            <w:tcW w:type="dxa" w:w="154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0,667</w:t>
            </w:r>
          </w:p>
        </w:tc>
        <w:tc>
          <w:tcPr>
            <w:tcW w:type="dxa" w:w="154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0,857</w:t>
            </w:r>
          </w:p>
        </w:tc>
      </w:tr>
      <w:tr>
        <w:tc>
          <w:tcPr>
            <w:tcW w:type="dxa" w:w="192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Temporal</w:t>
            </w:r>
          </w:p>
        </w:tc>
        <w:tc>
          <w:tcPr>
            <w:tcW w:type="dxa" w:w="154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0,945</w:t>
            </w:r>
          </w:p>
        </w:tc>
        <w:tc>
          <w:tcPr>
            <w:tcW w:type="dxa" w:w="154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0,947</w:t>
            </w:r>
          </w:p>
        </w:tc>
        <w:tc>
          <w:tcPr>
            <w:tcW w:type="dxa" w:w="154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0,897</w:t>
            </w:r>
          </w:p>
        </w:tc>
        <w:tc>
          <w:tcPr>
            <w:tcW w:type="dxa" w:w="154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0,857</w:t>
            </w:r>
          </w:p>
        </w:tc>
        <w:tc>
          <w:tcPr>
            <w:tcW w:type="dxa" w:w="154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0,857</w:t>
            </w:r>
          </w:p>
        </w:tc>
      </w:tr>
      <w:tr>
        <w:tc>
          <w:tcPr>
            <w:tcW w:type="dxa" w:w="192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Differenza</w:t>
            </w:r>
          </w:p>
        </w:tc>
        <w:tc>
          <w:tcPr>
            <w:tcW w:type="dxa" w:w="154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-0,145</w:t>
            </w:r>
          </w:p>
        </w:tc>
        <w:tc>
          <w:tcPr>
            <w:tcW w:type="dxa" w:w="154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-0,058</w:t>
            </w:r>
          </w:p>
        </w:tc>
        <w:tc>
          <w:tcPr>
            <w:tcW w:type="dxa" w:w="154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-0,127</w:t>
            </w:r>
          </w:p>
        </w:tc>
        <w:tc>
          <w:tcPr>
            <w:tcW w:type="dxa" w:w="154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-0,190</w:t>
            </w:r>
          </w:p>
        </w:tc>
        <w:tc>
          <w:tcPr>
            <w:tcW w:type="dxa" w:w="1542"/>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0,000</w:t>
            </w:r>
          </w:p>
        </w:tc>
      </w:tr>
    </w:tbl>
    <w:p>
      <w:pPr>
        <w:spacing w:after="220"/>
        <w:jc w:val="left"/>
      </w:pPr>
      <w:r>
        <w:rPr>
          <w:rFonts w:ascii="Calibri" w:cs="Calibri" w:eastAsia="Calibri" w:hAnsi="Calibri"/>
          <w:i/>
          <w:iCs/>
          <w:color w:val="52514E"/>
          <w:sz w:val="17"/>
          <w:szCs w:val="17"/>
        </w:rPr>
        <w:t xml:space="preserve">Tabella 14 — Confronto appaiato. In nessuno dei cinque semi il modello a grafo supera la propria ablazione: quattro sconfitte e un pareggio.</w:t>
      </w:r>
    </w:p>
    <w:p>
      <w:pPr>
        <w:spacing w:after="120" w:line="276"/>
      </w:pPr>
      <w:r>
        <w:rPr>
          <w:rFonts w:ascii="Calibri" w:cs="Calibri" w:eastAsia="Calibri" w:hAnsi="Calibri"/>
          <w:b/>
          <w:bCs/>
          <w:color w:val="0B0B0B"/>
          <w:sz w:val="20"/>
          <w:szCs w:val="20"/>
        </w:rPr>
        <w:t xml:space="preserve">Lettura. </w:t>
      </w:r>
      <w:r>
        <w:rPr>
          <w:rFonts w:ascii="Calibri" w:cs="Calibri" w:eastAsia="Calibri" w:hAnsi="Calibri"/>
          <w:color w:val="0B0B0B"/>
          <w:sz w:val="20"/>
          <w:szCs w:val="20"/>
        </w:rPr>
        <w:t xml:space="preserve">La direzione è priva di eccezioni, e questo è più informativo della differenza fra le medie: con cinque repliche appaiate, zero vittorie su cinque non è un risultato che si spiega col rumore. Allo stesso tempo n = 5 è troppo piccolo per un test formale, e la variabilità è alta proprio dove conta — lo split di test contiene fra 9 e 28 positivi a seconda del seme (Tabella 4). La formulazione difendibile è: </w:t>
      </w:r>
      <w:r>
        <w:rPr>
          <w:rFonts w:ascii="Calibri" w:cs="Calibri" w:eastAsia="Calibri" w:hAnsi="Calibri"/>
          <w:b/>
          <w:bCs/>
          <w:color w:val="0B0B0B"/>
          <w:sz w:val="20"/>
          <w:szCs w:val="20"/>
        </w:rPr>
        <w:t xml:space="preserve">su questo simulatore, il message passing spaziale non migliora la detection e la peggiora in modo sistematico</w:t>
      </w:r>
      <w:r>
        <w:rPr>
          <w:rFonts w:ascii="Calibri" w:cs="Calibri" w:eastAsia="Calibri" w:hAnsi="Calibri"/>
          <w:color w:val="0B0B0B"/>
          <w:sz w:val="20"/>
          <w:szCs w:val="20"/>
        </w:rPr>
        <w:t xml:space="preserve">; di quanto, questi dati non lo stabiliscono con precisione.</w:t>
      </w:r>
    </w:p>
    <w:p>
      <w:pPr>
        <w:spacing w:after="120" w:line="276"/>
      </w:pPr>
      <w:r>
        <w:rPr>
          <w:rFonts w:ascii="Calibri" w:cs="Calibri" w:eastAsia="Calibri" w:hAnsi="Calibri"/>
          <w:color w:val="0B0B0B"/>
          <w:sz w:val="20"/>
          <w:szCs w:val="20"/>
        </w:rPr>
        <w:t xml:space="preserve">Il secondo risultato è altrettanto netto e meno atteso: il random forest (</w:t>
      </w:r>
      <w:r>
        <w:rPr>
          <w:rFonts w:ascii="Calibri" w:cs="Calibri" w:eastAsia="Calibri" w:hAnsi="Calibri"/>
          <w:b/>
          <w:bCs/>
          <w:color w:val="0B0B0B"/>
          <w:sz w:val="20"/>
          <w:szCs w:val="20"/>
        </w:rPr>
        <w:t xml:space="preserve">0,904 ± 0,019</w:t>
      </w:r>
      <w:r>
        <w:rPr>
          <w:rFonts w:ascii="Calibri" w:cs="Calibri" w:eastAsia="Calibri" w:hAnsi="Calibri"/>
          <w:color w:val="0B0B0B"/>
          <w:sz w:val="20"/>
          <w:szCs w:val="20"/>
        </w:rPr>
        <w:t xml:space="preserve">) eguaglia la migliore rete neurale (</w:t>
      </w:r>
      <w:r>
        <w:rPr>
          <w:rFonts w:ascii="Calibri" w:cs="Calibri" w:eastAsia="Calibri" w:hAnsi="Calibri"/>
          <w:b/>
          <w:bCs/>
          <w:color w:val="0B0B0B"/>
          <w:sz w:val="20"/>
          <w:szCs w:val="20"/>
        </w:rPr>
        <w:t xml:space="preserve">0,901 ± 0,045</w:t>
      </w:r>
      <w:r>
        <w:rPr>
          <w:rFonts w:ascii="Calibri" w:cs="Calibri" w:eastAsia="Calibri" w:hAnsi="Calibri"/>
          <w:color w:val="0B0B0B"/>
          <w:sz w:val="20"/>
          <w:szCs w:val="20"/>
        </w:rPr>
        <w:t xml:space="preserve">) con la deviazione standard più bassa di tutte. Su questo problema, a questa scala, la parte neurale non si sta ripagando.</w:t>
      </w:r>
    </w:p>
    <w:p>
      <w:pPr>
        <w:pStyle w:val="Heading2"/>
        <w:spacing w:after="140" w:before="280"/>
      </w:pPr>
      <w:r>
        <w:rPr>
          <w:rFonts w:ascii="Calibri" w:cs="Calibri" w:eastAsia="Calibri" w:hAnsi="Calibri"/>
        </w:rPr>
        <w:t xml:space="preserve">6.6 E6 — Blocchi di feature del §5.2</w:t>
      </w:r>
    </w:p>
    <w:p>
      <w:pPr>
        <w:spacing w:after="120" w:line="276"/>
      </w:pPr>
      <w:r>
        <w:rPr>
          <w:rFonts w:ascii="Calibri" w:cs="Calibri" w:eastAsia="Calibri" w:hAnsi="Calibri"/>
          <w:b/>
          <w:bCs/>
          <w:color w:val="0B0B0B"/>
          <w:sz w:val="20"/>
          <w:szCs w:val="20"/>
        </w:rPr>
        <w:t xml:space="preserve">Obiettivo. </w:t>
      </w:r>
      <w:r>
        <w:rPr>
          <w:rFonts w:ascii="Calibri" w:cs="Calibri" w:eastAsia="Calibri" w:hAnsi="Calibri"/>
          <w:color w:val="0B0B0B"/>
          <w:sz w:val="20"/>
          <w:szCs w:val="20"/>
        </w:rPr>
        <w:t xml:space="preserve">Misurare l'effetto dei blocchi di feature aggiunti per completare il §5.2 della proposta: tessitura GLCM per segmento, attributi geometrici (log-area, compattezza, allungamento) e prossimità al corridoio infrastrutturale.</w:t>
      </w:r>
    </w:p>
    <w:p>
      <w:pPr>
        <w:spacing w:after="120" w:line="276"/>
      </w:pPr>
      <w:r>
        <w:rPr>
          <w:rFonts w:ascii="Calibri" w:cs="Calibri" w:eastAsia="Calibri" w:hAnsi="Calibri"/>
          <w:b/>
          <w:bCs/>
          <w:color w:val="0B0B0B"/>
          <w:sz w:val="20"/>
          <w:szCs w:val="20"/>
        </w:rPr>
        <w:t xml:space="preserve">Configurazione. </w:t>
      </w:r>
      <w:r>
        <w:rPr>
          <w:rFonts w:ascii="Calibri" w:cs="Calibri" w:eastAsia="Calibri" w:hAnsi="Calibri"/>
          <w:color w:val="0B0B0B"/>
          <w:sz w:val="20"/>
          <w:szCs w:val="20"/>
        </w:rPr>
        <w:t xml:space="preserve">Identica a E5, appaiata sugli stessi cinque semi: cambia soltanto la rappresentazione (da 6 a 12 canali), non il processo di consumo generato. Un test automatico verifica proprio questo, cioè che le storie di consumo dei due gruppi siano identiche.</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1638"/>
        <w:gridCol w:w="2699"/>
        <w:gridCol w:w="3181"/>
        <w:gridCol w:w="2120"/>
      </w:tblGrid>
      <w:tr>
        <w:trPr>
          <w:tblHeader/>
        </w:trPr>
        <w:tc>
          <w:tcPr>
            <w:tcW w:type="dxa" w:w="1638"/>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Modello</w:t>
            </w:r>
          </w:p>
        </w:tc>
        <w:tc>
          <w:tcPr>
            <w:tcW w:type="dxa" w:w="2699"/>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Solo radar (6 canali)</w:t>
            </w:r>
          </w:p>
        </w:tc>
        <w:tc>
          <w:tcPr>
            <w:tcW w:type="dxa" w:w="3181"/>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 tessitura e attributi (12 canali)</w:t>
            </w:r>
          </w:p>
        </w:tc>
        <w:tc>
          <w:tcPr>
            <w:tcW w:type="dxa" w:w="2120"/>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Differenza media</w:t>
            </w:r>
          </w:p>
        </w:tc>
      </w:tr>
      <w:tr>
        <w:tc>
          <w:tcPr>
            <w:tcW w:type="dxa" w:w="163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ST-GNN</w:t>
            </w:r>
          </w:p>
        </w:tc>
        <w:tc>
          <w:tcPr>
            <w:tcW w:type="dxa" w:w="2699"/>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0,796 ± 0,086</w:t>
            </w:r>
          </w:p>
        </w:tc>
        <w:tc>
          <w:tcPr>
            <w:tcW w:type="dxa" w:w="318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0,749 ± 0,055</w:t>
            </w:r>
          </w:p>
        </w:tc>
        <w:tc>
          <w:tcPr>
            <w:tcW w:type="dxa" w:w="212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-0,047</w:t>
            </w:r>
          </w:p>
        </w:tc>
      </w:tr>
      <w:tr>
        <w:tc>
          <w:tcPr>
            <w:tcW w:type="dxa" w:w="1638"/>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Temporal</w:t>
            </w:r>
          </w:p>
        </w:tc>
        <w:tc>
          <w:tcPr>
            <w:tcW w:type="dxa" w:w="2699"/>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0,901 ± 0,045</w:t>
            </w:r>
          </w:p>
        </w:tc>
        <w:tc>
          <w:tcPr>
            <w:tcW w:type="dxa" w:w="3181"/>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0,925 ± 0,037</w:t>
            </w:r>
          </w:p>
        </w:tc>
        <w:tc>
          <w:tcPr>
            <w:tcW w:type="dxa" w:w="2120"/>
            <w:tcMar>
              <w:top w:type="dxa" w:w="60"/>
              <w:left w:type="dxa" w:w="90"/>
              <w:bottom w:type="dxa" w:w="60"/>
              <w:right w:type="dxa" w:w="90"/>
            </w:tcMar>
          </w:tcPr>
          <w:p>
            <w:pPr>
              <w:spacing w:after="0" w:line="240"/>
              <w:jc w:val="right"/>
            </w:pPr>
            <w:r>
              <w:rPr>
                <w:rFonts w:ascii="Calibri" w:cs="Calibri" w:eastAsia="Calibri" w:hAnsi="Calibri"/>
                <w:color w:val="0B0B0B"/>
                <w:sz w:val="18"/>
                <w:szCs w:val="18"/>
              </w:rPr>
              <w:t xml:space="preserve">+0,024</w:t>
            </w:r>
          </w:p>
        </w:tc>
      </w:tr>
    </w:tbl>
    <w:p>
      <w:pPr>
        <w:spacing w:after="220"/>
        <w:jc w:val="left"/>
      </w:pPr>
      <w:r>
        <w:rPr>
          <w:rFonts w:ascii="Calibri" w:cs="Calibri" w:eastAsia="Calibri" w:hAnsi="Calibri"/>
          <w:i/>
          <w:iCs/>
          <w:color w:val="52514E"/>
          <w:sz w:val="17"/>
          <w:szCs w:val="17"/>
        </w:rPr>
        <w:t xml:space="preserve">Tabella 15 — E6, F1 annuale, media ± sd su cinque semi appaiati.</w:t>
      </w:r>
    </w:p>
    <w:p>
      <w:pPr>
        <w:spacing w:after="60" w:before="140"/>
      </w:pPr>
      <w:r>
        <w:drawing>
          <wp:inline distT="0" distB="0" distL="0" distR="0">
            <wp:extent cx="59436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43200"/>
                    </a:xfrm>
                    <a:prstGeom prst="rect">
                      <a:avLst/>
                    </a:prstGeom>
                  </pic:spPr>
                </pic:pic>
              </a:graphicData>
            </a:graphic>
          </wp:inline>
        </w:drawing>
      </w:r>
    </w:p>
    <w:p>
      <w:pPr>
        <w:spacing w:after="220"/>
        <w:jc w:val="left"/>
      </w:pPr>
      <w:r>
        <w:rPr>
          <w:rFonts w:ascii="Calibri" w:cs="Calibri" w:eastAsia="Calibri" w:hAnsi="Calibri"/>
          <w:i/>
          <w:iCs/>
          <w:color w:val="52514E"/>
          <w:sz w:val="17"/>
          <w:szCs w:val="17"/>
        </w:rPr>
        <w:t xml:space="preserve">Figura 3 — Effetto appaiato dei blocchi opzionali, un seme per riga. Cerchio vuoto: solo radar. Cerchio pieno: con tessitura e attributi. Il segmento va da una condizione all'altra; per ST-GNN il pieno sta a sinistra del vuoto in quattro semi su cinque, cioè le feature aggiuntive peggiorano il modello.</w:t>
      </w:r>
    </w:p>
    <w:p>
      <w:pPr>
        <w:spacing w:after="120" w:line="276"/>
      </w:pPr>
      <w:r>
        <w:rPr>
          <w:rFonts w:ascii="Calibri" w:cs="Calibri" w:eastAsia="Calibri" w:hAnsi="Calibri"/>
          <w:b/>
          <w:bCs/>
          <w:color w:val="0B0B0B"/>
          <w:sz w:val="20"/>
          <w:szCs w:val="20"/>
        </w:rPr>
        <w:t xml:space="preserve">Lettura. </w:t>
      </w:r>
      <w:r>
        <w:rPr>
          <w:rFonts w:ascii="Calibri" w:cs="Calibri" w:eastAsia="Calibri" w:hAnsi="Calibri"/>
          <w:color w:val="0B0B0B"/>
          <w:sz w:val="20"/>
          <w:szCs w:val="20"/>
        </w:rPr>
        <w:t xml:space="preserve">I blocchi opzionali aiutano il modello che legge ciascuna unità per conto proprio e penalizzano quello che scambia messaggi. Una spiegazione plausibile è che la prossimità al corridoio sia un'informazione che il grafo già trasporta attraverso gli archi di connettività: fornirla anche come feature la duplica, e la duplicazione di un segnale debole in un modello che già lo diffonde per convoluzione produce sovra-smoothing. È un'ipotesi, non un risultato: non è stata testata.</w:t>
      </w:r>
    </w:p>
    <w:p>
      <w:pPr>
        <w:spacing w:after="120" w:line="276"/>
      </w:pPr>
      <w:r>
        <w:rPr>
          <w:rFonts w:ascii="Calibri" w:cs="Calibri" w:eastAsia="Calibri" w:hAnsi="Calibri"/>
          <w:b/>
          <w:bCs/>
          <w:color w:val="0B0B0B"/>
          <w:sz w:val="20"/>
          <w:szCs w:val="20"/>
        </w:rPr>
        <w:t xml:space="preserve">Avvertenza. </w:t>
      </w:r>
      <w:r>
        <w:rPr>
          <w:rFonts w:ascii="Calibri" w:cs="Calibri" w:eastAsia="Calibri" w:hAnsi="Calibri"/>
          <w:color w:val="0B0B0B"/>
          <w:sz w:val="20"/>
          <w:szCs w:val="20"/>
        </w:rPr>
        <w:t xml:space="preserve">Sul tiling regolare del simulatore tutte le unità hanno la stessa forma, quindi i tre canali geometrici sono costanti e non portano informazione. Il loro contributo reale è misurabile solo su geometrie catastali o SLIC, che qui non sono state usate. Di fatto questo esperimento misura l'effetto di tessitura e prossimità, non degli attributi geometrici.</w:t>
      </w:r>
    </w:p>
    <w:p>
      <w:r>
        <w:br w:type="page"/>
      </w:r>
    </w:p>
    <w:p>
      <w:pPr>
        <w:pStyle w:val="Heading1"/>
        <w:spacing w:after="140" w:before="280"/>
      </w:pPr>
      <w:r>
        <w:rPr>
          <w:rFonts w:ascii="Calibri" w:cs="Calibri" w:eastAsia="Calibri" w:hAnsi="Calibri"/>
        </w:rPr>
        <w:t xml:space="preserve">7. Verifica formale per test automatici</w:t>
      </w:r>
    </w:p>
    <w:p>
      <w:pPr>
        <w:spacing w:after="120" w:line="276"/>
      </w:pPr>
      <w:r>
        <w:rPr>
          <w:rFonts w:ascii="Calibri" w:cs="Calibri" w:eastAsia="Calibri" w:hAnsi="Calibri"/>
          <w:color w:val="0B0B0B"/>
          <w:sz w:val="20"/>
          <w:szCs w:val="20"/>
        </w:rPr>
        <w:t xml:space="preserve">Accanto agli esperimenti numerici, l'implementazione è sottoposta a una suite di 184 test (più 1 saltato in assenza della dipendenza opzionale scikit-image). Non sono test di accuratezza: verificano proprietà che devono valere per costruzione, e il cui fallimento invaliderebbe gli esperimenti sopra.</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4433"/>
        <w:gridCol w:w="5205"/>
      </w:tblGrid>
      <w:tr>
        <w:trPr>
          <w:tblHeader/>
        </w:trPr>
        <w:tc>
          <w:tcPr>
            <w:tcW w:type="dxa" w:w="4433"/>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Proprietà verificata</w:t>
            </w:r>
          </w:p>
        </w:tc>
        <w:tc>
          <w:tcPr>
            <w:tcW w:type="dxa" w:w="5205"/>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Perché conta</w:t>
            </w:r>
          </w:p>
        </w:tc>
      </w:tr>
      <w:tr>
        <w:tc>
          <w:tcPr>
            <w:tcW w:type="dxa" w:w="443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Causalità temporale — perturbando l'ultimo composito, ogni logit precedente resta identico bit a bit</w:t>
            </w:r>
          </w:p>
        </w:tc>
        <w:tc>
          <w:tcPr>
            <w:tcW w:type="dxa" w:w="5205"/>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senza questa garanzia il «ritardo di rilevazione» misurato non sarebbe conseguibile da una catena operativa, perché la predizione starebbe guardando il futuro</w:t>
            </w:r>
          </w:p>
        </w:tc>
      </w:tr>
      <w:tr>
        <w:tc>
          <w:tcPr>
            <w:tcW w:type="dxa" w:w="443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Monotonia — la probabilità di stato sigillato non decresce mai, per qualunque valore dei parametri</w:t>
            </w:r>
          </w:p>
        </w:tc>
        <w:tc>
          <w:tcPr>
            <w:tcW w:type="dxa" w:w="5205"/>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l'irreversibilità della sigillazione è una proprietà della parametrizzazione, non una penalità che l'ottimizzatore possa scambiare</w:t>
            </w:r>
          </w:p>
        </w:tc>
      </w:tr>
      <w:tr>
        <w:tc>
          <w:tcPr>
            <w:tcW w:type="dxa" w:w="443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Invarianza della supervisione debole — spostare l'insorgenza predetta fra due compositi dello stesso anno etichettato non cambia il valore della loss</w:t>
            </w:r>
          </w:p>
        </w:tc>
        <w:tc>
          <w:tcPr>
            <w:tcW w:type="dxa" w:w="5205"/>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è la definizione operativa di «l'anno è supervisionato, il mese è libero»: il disallineamento annuale/sub-annuale è risolto senza inventare date</w:t>
            </w:r>
          </w:p>
        </w:tc>
      </w:tr>
      <w:tr>
        <w:tc>
          <w:tcPr>
            <w:tcW w:type="dxa" w:w="443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Induttività — gli stessi pesi operano su aree di studio con numero di nodi diverso</w:t>
            </w:r>
          </w:p>
        </w:tc>
        <w:tc>
          <w:tcPr>
            <w:tcW w:type="dxa" w:w="5205"/>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è la precondizione della trasferibilità fra aree pilota richiesta dall'obiettivo OS4</w:t>
            </w:r>
          </w:p>
        </w:tc>
      </w:tr>
      <w:tr>
        <w:tc>
          <w:tcPr>
            <w:tcW w:type="dxa" w:w="443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Le baseline ignorano davvero il grafo — passare archi diversi, o nessun arco, non cambia l'output</w:t>
            </w:r>
          </w:p>
        </w:tc>
        <w:tc>
          <w:tcPr>
            <w:tcW w:type="dxa" w:w="5205"/>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se l'ablazione usasse il grafo di nascosto, la differenza misurata in E5 non sarebbe attribuibile al message passing</w:t>
            </w:r>
          </w:p>
        </w:tc>
      </w:tr>
      <w:tr>
        <w:tc>
          <w:tcPr>
            <w:tcW w:type="dxa" w:w="443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Accordo numerico con scikit-learn su F1, kappa e IoU</w:t>
            </w:r>
          </w:p>
        </w:tc>
        <w:tc>
          <w:tcPr>
            <w:tcW w:type="dxa" w:w="5205"/>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le metriche riportate non dipendono da un'implementazione propria non verificata</w:t>
            </w:r>
          </w:p>
        </w:tc>
      </w:tr>
      <w:tr>
        <w:tc>
          <w:tcPr>
            <w:tcW w:type="dxa" w:w="443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Separazione degli split — le tre maschere sono disgiunte, esaustive e geograficamente contigue; la standardizzazione è stimata sui soli nodi di training</w:t>
            </w:r>
          </w:p>
        </w:tc>
        <w:tc>
          <w:tcPr>
            <w:tcW w:type="dxa" w:w="5205"/>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esclude la fuga di informazione attraverso gli archi, che è il rischio specifico di un modello a grafo</w:t>
            </w:r>
          </w:p>
        </w:tc>
      </w:tr>
      <w:tr>
        <w:tc>
          <w:tcPr>
            <w:tcW w:type="dxa" w:w="443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Indipendenza dall'ordine dei modelli nel confronto</w:t>
            </w:r>
          </w:p>
        </w:tc>
        <w:tc>
          <w:tcPr>
            <w:tcW w:type="dxa" w:w="5205"/>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aggiunto dopo il difetto descritto in §6.4.1</w:t>
            </w:r>
          </w:p>
        </w:tc>
      </w:tr>
    </w:tbl>
    <w:p>
      <w:pPr>
        <w:spacing w:after="220"/>
        <w:jc w:val="left"/>
      </w:pPr>
      <w:r>
        <w:rPr>
          <w:rFonts w:ascii="Calibri" w:cs="Calibri" w:eastAsia="Calibri" w:hAnsi="Calibri"/>
          <w:i/>
          <w:iCs/>
          <w:color w:val="52514E"/>
          <w:sz w:val="17"/>
          <w:szCs w:val="17"/>
        </w:rPr>
        <w:t xml:space="preserve">Tabella 16 — Le proprietà strutturali coperte dalla suite. Il resto dei test copre invarianti di costruzione del grafo, comportamento dei singoli termini di loss, gestione delle etichette ignote e casi limite numerici.</w:t>
      </w:r>
    </w:p>
    <w:p>
      <w:pPr>
        <w:pStyle w:val="Heading1"/>
        <w:spacing w:after="140" w:before="280"/>
      </w:pPr>
      <w:r>
        <w:rPr>
          <w:rFonts w:ascii="Calibri" w:cs="Calibri" w:eastAsia="Calibri" w:hAnsi="Calibri"/>
        </w:rPr>
        <w:t xml:space="preserve">8. Discussione</w:t>
      </w:r>
    </w:p>
    <w:p>
      <w:pPr>
        <w:pStyle w:val="Heading2"/>
        <w:spacing w:after="140" w:before="280"/>
      </w:pPr>
      <w:r>
        <w:rPr>
          <w:rFonts w:ascii="Calibri" w:cs="Calibri" w:eastAsia="Calibri" w:hAnsi="Calibri"/>
        </w:rPr>
        <w:t xml:space="preserve">8.1 Cosa i risultati stabiliscono</w:t>
      </w:r>
    </w:p>
    <w:p>
      <w:pPr>
        <w:pStyle w:val="ListParagraph"/>
        <w:numPr>
          <w:ilvl w:val="0"/>
          <w:numId w:val="2"/>
        </w:numPr>
        <w:spacing w:after="80" w:line="276"/>
      </w:pPr>
      <w:r>
        <w:rPr>
          <w:rFonts w:ascii="Calibri" w:cs="Calibri" w:eastAsia="Calibri" w:hAnsi="Calibri"/>
          <w:color w:val="0B0B0B"/>
          <w:sz w:val="20"/>
          <w:szCs w:val="20"/>
        </w:rPr>
        <w:t xml:space="preserve">Il banco di prova è corretto, riproducibile e sufficientemente sensibile da distinguere i modelli.</w:t>
      </w:r>
    </w:p>
    <w:p>
      <w:pPr>
        <w:pStyle w:val="ListParagraph"/>
        <w:numPr>
          <w:ilvl w:val="0"/>
          <w:numId w:val="2"/>
        </w:numPr>
        <w:spacing w:after="80" w:line="276"/>
      </w:pPr>
      <w:r>
        <w:rPr>
          <w:rFonts w:ascii="Calibri" w:cs="Calibri" w:eastAsia="Calibri" w:hAnsi="Calibri"/>
          <w:color w:val="0B0B0B"/>
          <w:sz w:val="20"/>
          <w:szCs w:val="20"/>
        </w:rPr>
        <w:t xml:space="preserve">Il contesto temporale è il fattore determinante su questo problema: il divario fra il modello privo di memoria e quelli che ne hanno è ampio e presente in ogni seme.</w:t>
      </w:r>
    </w:p>
    <w:p>
      <w:pPr>
        <w:pStyle w:val="ListParagraph"/>
        <w:numPr>
          <w:ilvl w:val="0"/>
          <w:numId w:val="2"/>
        </w:numPr>
        <w:spacing w:after="80" w:line="276"/>
      </w:pPr>
      <w:r>
        <w:rPr>
          <w:rFonts w:ascii="Calibri" w:cs="Calibri" w:eastAsia="Calibri" w:hAnsi="Calibri"/>
          <w:color w:val="0B0B0B"/>
          <w:sz w:val="20"/>
          <w:szCs w:val="20"/>
        </w:rPr>
        <w:t xml:space="preserve">Il message passing spaziale, in questa configurazione, non aggiunge nulla e sottrae qualcosa. Non ci sono eccezioni fra i cinque semi.</w:t>
      </w:r>
    </w:p>
    <w:p>
      <w:pPr>
        <w:pStyle w:val="ListParagraph"/>
        <w:numPr>
          <w:ilvl w:val="0"/>
          <w:numId w:val="2"/>
        </w:numPr>
        <w:spacing w:after="80" w:line="276"/>
      </w:pPr>
      <w:r>
        <w:rPr>
          <w:rFonts w:ascii="Calibri" w:cs="Calibri" w:eastAsia="Calibri" w:hAnsi="Calibri"/>
          <w:color w:val="0B0B0B"/>
          <w:sz w:val="20"/>
          <w:szCs w:val="20"/>
        </w:rPr>
        <w:t xml:space="preserve">Un riferimento classico non neurale eguaglia la migliore rete con la varianza più bassa, il che a questa scala mette in discussione il costo dell'apparato neurale.</w:t>
      </w:r>
    </w:p>
    <w:p>
      <w:pPr>
        <w:pStyle w:val="Heading2"/>
        <w:spacing w:after="140" w:before="280"/>
      </w:pPr>
      <w:r>
        <w:rPr>
          <w:rFonts w:ascii="Calibri" w:cs="Calibri" w:eastAsia="Calibri" w:hAnsi="Calibri"/>
        </w:rPr>
        <w:t xml:space="preserve">8.2 Cosa i risultati NON stabiliscono</w:t>
      </w:r>
    </w:p>
    <w:p>
      <w:pPr>
        <w:spacing w:after="120" w:line="276"/>
      </w:pPr>
      <w:r>
        <w:rPr>
          <w:rFonts w:ascii="Calibri" w:cs="Calibri" w:eastAsia="Calibri" w:hAnsi="Calibri"/>
          <w:color w:val="0B0B0B"/>
          <w:sz w:val="20"/>
          <w:szCs w:val="20"/>
        </w:rPr>
        <w:t xml:space="preserve">Il risultato riguarda il simulatore, non il territorio. Il generatore attribuisce a ciascun nodo una firma radiometrica che, pur immersa nello speckle, è largamente sufficiente da sola: la traiettoria individuale di un'unità basta quasi sempre a classificarla. In queste condizioni la convoluzione spaziale può soltanto mediare fra vicini, che è un'operazione di riduzione della varianza pagata in perdita di precisione sui bordi — esattamente dove si concentrano i positivi di un fronte di espansione.</w:t>
      </w:r>
    </w:p>
    <w:p>
      <w:pPr>
        <w:spacing w:after="120" w:line="276"/>
      </w:pPr>
      <w:r>
        <w:rPr>
          <w:rFonts w:ascii="Calibri" w:cs="Calibri" w:eastAsia="Calibri" w:hAnsi="Calibri"/>
          <w:color w:val="0B0B0B"/>
          <w:sz w:val="20"/>
          <w:szCs w:val="20"/>
        </w:rPr>
        <w:t xml:space="preserve">Su dati Sentinel-1 reali le condizioni cambiano in modo qualitativamente rilevante: la firma per-unità è più debole e più ambigua (colture, umidità del suolo, effetti di incidenza), e il vicinato diventa una fonte di informazione anziché una ridondanza. È la situazione in cui un grafo dovrebbe pagare. Questa campagna non può dire se lo faccia.</w:t>
      </w:r>
    </w:p>
    <w:p>
      <w:pPr>
        <w:pStyle w:val="Heading2"/>
        <w:spacing w:after="140" w:before="280"/>
      </w:pPr>
      <w:r>
        <w:rPr>
          <w:rFonts w:ascii="Calibri" w:cs="Calibri" w:eastAsia="Calibri" w:hAnsi="Calibri"/>
        </w:rPr>
        <w:t xml:space="preserve">8.3 Implicazione per il gate di fattibilità</w:t>
      </w:r>
    </w:p>
    <w:p>
      <w:pPr>
        <w:spacing w:after="120" w:line="276"/>
      </w:pPr>
      <w:r>
        <w:rPr>
          <w:rFonts w:ascii="Calibri" w:cs="Calibri" w:eastAsia="Calibri" w:hAnsi="Calibri"/>
          <w:color w:val="0B0B0B"/>
          <w:sz w:val="20"/>
          <w:szCs w:val="20"/>
        </w:rPr>
        <w:t xml:space="preserve">La proposta di dottorato prevede a fine primo anno un gate di fattibilità in cui la GNN deve superare le baseline per-pixel su un caso ristretto. La campagna qui documentata è la prova che quel gate è eseguibile e che l'infrastruttura per eseguirlo esiste. Il suo esito sul simulatore è negativo per il modello a grafo, e questo va usato come informazione di progetto: prima di investire sul gate con dati reali conviene verificare che il simulatore stesso non stia sottorappresentando la struttura relazionale che il metodo intende sfruttare. Un generatore in cui la firma per-nodo sia deliberatamente insufficiente — e l'informazione risieda nel vicinato — è il modo diretto per stabilire se il modello sia capace di sfruttare la topologia quando essa è l'unico segnale disponibile.</w:t>
      </w:r>
    </w:p>
    <w:p>
      <w:pPr>
        <w:pStyle w:val="Heading1"/>
        <w:spacing w:after="140" w:before="280"/>
      </w:pPr>
      <w:r>
        <w:rPr>
          <w:rFonts w:ascii="Calibri" w:cs="Calibri" w:eastAsia="Calibri" w:hAnsi="Calibri"/>
        </w:rPr>
        <w:t xml:space="preserve">9. Limiti e minacce alla validità</w:t>
      </w:r>
    </w:p>
    <w:tbl>
      <w:tblPr>
        <w:tblW w:type="dxa" w:w="9638"/>
        <w:tblBorders>
          <w:top w:val="single" w:color="C9C9C2" w:sz="4"/>
          <w:left w:val="none" w:color="FFFFFF" w:sz="0"/>
          <w:bottom w:val="single" w:color="C9C9C2" w:sz="4"/>
          <w:right w:val="none" w:color="FFFFFF" w:sz="0"/>
          <w:insideH w:val="single" w:color="E4E4DE" w:sz="2"/>
          <w:insideV w:val="none" w:color="FFFFFF" w:sz="0"/>
        </w:tblBorders>
      </w:tblPr>
      <w:tblGrid>
        <w:gridCol w:w="2313"/>
        <w:gridCol w:w="3662"/>
        <w:gridCol w:w="3662"/>
      </w:tblGrid>
      <w:tr>
        <w:trPr>
          <w:tblHeader/>
        </w:trPr>
        <w:tc>
          <w:tcPr>
            <w:tcW w:type="dxa" w:w="2313"/>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Limite</w:t>
            </w:r>
          </w:p>
        </w:tc>
        <w:tc>
          <w:tcPr>
            <w:tcW w:type="dxa" w:w="3662"/>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Effetto</w:t>
            </w:r>
          </w:p>
        </w:tc>
        <w:tc>
          <w:tcPr>
            <w:tcW w:type="dxa" w:w="3662"/>
            <w:shd w:fill="EEEEEA" w:val="clear"/>
            <w:tcMar>
              <w:top w:type="dxa" w:w="60"/>
              <w:left w:type="dxa" w:w="90"/>
              <w:bottom w:type="dxa" w:w="60"/>
              <w:right w:type="dxa" w:w="90"/>
            </w:tcMar>
          </w:tcPr>
          <w:p>
            <w:pPr>
              <w:spacing w:after="0" w:line="240"/>
            </w:pPr>
            <w:r>
              <w:rPr>
                <w:rFonts w:ascii="Calibri" w:cs="Calibri" w:eastAsia="Calibri" w:hAnsi="Calibri"/>
                <w:b/>
                <w:bCs/>
                <w:color w:val="0B0B0B"/>
                <w:sz w:val="17"/>
                <w:szCs w:val="17"/>
              </w:rPr>
              <w:t xml:space="preserve">Come si rimuove</w:t>
            </w:r>
          </w:p>
        </w:tc>
      </w:tr>
      <w:tr>
        <w:tc>
          <w:tcPr>
            <w:tcW w:type="dxa" w:w="231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Dati sintetici</w:t>
            </w:r>
          </w:p>
        </w:tc>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nessuna conclusione trasferibile a Sentinel-1 reale</w:t>
            </w:r>
          </w:p>
        </w:tc>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ingestione CDSE + pre-processing SNAP, ground truth ISPRA/SNPA</w:t>
            </w:r>
          </w:p>
        </w:tc>
      </w:tr>
      <w:tr>
        <w:tc>
          <w:tcPr>
            <w:tcW w:type="dxa" w:w="231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Un solo simulatore</w:t>
            </w:r>
          </w:p>
        </w:tc>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i risultati potrebbero dipendere dalle sue assunzioni, in particolare dalla forza della firma per-nodo</w:t>
            </w:r>
          </w:p>
        </w:tc>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generatori alternativi, fra cui uno in cui l'informazione risieda solo nel vicinato</w:t>
            </w:r>
          </w:p>
        </w:tc>
      </w:tr>
      <w:tr>
        <w:tc>
          <w:tcPr>
            <w:tcW w:type="dxa" w:w="231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n = 5 semi</w:t>
            </w:r>
          </w:p>
        </w:tc>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sufficiente per la direzione dell'effetto, insufficiente per la sua dimensione</w:t>
            </w:r>
          </w:p>
        </w:tc>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20–30 semi; il costo è di pochi minuti di CPU</w:t>
            </w:r>
          </w:p>
        </w:tc>
      </w:tr>
      <w:tr>
        <w:tc>
          <w:tcPr>
            <w:tcW w:type="dxa" w:w="231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Da 9 a 28 positivi nel test</w:t>
            </w:r>
          </w:p>
        </w:tc>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F1 e kappa hanno varianza campionaria elevata</w:t>
            </w:r>
          </w:p>
        </w:tc>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aree più estese, o valutazione aggregata su più scenari</w:t>
            </w:r>
          </w:p>
        </w:tc>
      </w:tr>
      <w:tr>
        <w:tc>
          <w:tcPr>
            <w:tcW w:type="dxa" w:w="231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Split geografico singolo</w:t>
            </w:r>
          </w:p>
        </w:tc>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una sola partizione, nessuna validazione incrociata spaziale</w:t>
            </w:r>
          </w:p>
        </w:tc>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k-fold spaziale ruotando la banda di test</w:t>
            </w:r>
          </w:p>
        </w:tc>
      </w:tr>
      <w:tr>
        <w:tc>
          <w:tcPr>
            <w:tcW w:type="dxa" w:w="231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Iperparametri non ottimizzati</w:t>
            </w:r>
          </w:p>
        </w:tc>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un modello potrebbe essere svantaggiato da scelte che gli sono meno adatte</w:t>
            </w:r>
          </w:p>
        </w:tc>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ricerca su griglia separata per architettura, con il validation split</w:t>
            </w:r>
          </w:p>
        </w:tc>
      </w:tr>
      <w:tr>
        <w:tc>
          <w:tcPr>
            <w:tcW w:type="dxa" w:w="231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Profondità spaziale non esplorata</w:t>
            </w:r>
          </w:p>
        </w:tc>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due strati SAGEConv potrebbero già sovra-lisciare; osservazioni preliminari lo suggeriscono</w:t>
            </w:r>
          </w:p>
        </w:tc>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ablazione sistematica su 1–4 strati, replicata</w:t>
            </w:r>
          </w:p>
        </w:tc>
      </w:tr>
      <w:tr>
        <w:tc>
          <w:tcPr>
            <w:tcW w:type="dxa" w:w="2313"/>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Nessun controllo della molteplicità</w:t>
            </w:r>
          </w:p>
        </w:tc>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confronti multipli su metriche correlate</w:t>
            </w:r>
          </w:p>
        </w:tc>
        <w:tc>
          <w:tcPr>
            <w:tcW w:type="dxa" w:w="3662"/>
            <w:tcMar>
              <w:top w:type="dxa" w:w="60"/>
              <w:left w:type="dxa" w:w="90"/>
              <w:bottom w:type="dxa" w:w="60"/>
              <w:right w:type="dxa" w:w="90"/>
            </w:tcMar>
          </w:tcPr>
          <w:p>
            <w:pPr>
              <w:spacing w:after="0" w:line="240"/>
            </w:pPr>
            <w:r>
              <w:rPr>
                <w:rFonts w:ascii="Calibri" w:cs="Calibri" w:eastAsia="Calibri" w:hAnsi="Calibri"/>
                <w:color w:val="0B0B0B"/>
                <w:sz w:val="18"/>
                <w:szCs w:val="18"/>
              </w:rPr>
              <w:t xml:space="preserve">definire in anticipo la metrica primaria</w:t>
            </w:r>
          </w:p>
        </w:tc>
      </w:tr>
    </w:tbl>
    <w:p>
      <w:pPr>
        <w:spacing w:after="220"/>
        <w:jc w:val="left"/>
      </w:pPr>
      <w:r>
        <w:rPr>
          <w:rFonts w:ascii="Calibri" w:cs="Calibri" w:eastAsia="Calibri" w:hAnsi="Calibri"/>
          <w:i/>
          <w:iCs/>
          <w:color w:val="52514E"/>
          <w:sz w:val="17"/>
          <w:szCs w:val="17"/>
        </w:rPr>
        <w:t xml:space="preserve">Tabella 17 — Limiti noti, in ordine di gravità.</w:t>
      </w:r>
    </w:p>
    <w:p>
      <w:pPr>
        <w:spacing w:after="120" w:line="276"/>
      </w:pPr>
      <w:r>
        <w:rPr>
          <w:rFonts w:ascii="Calibri" w:cs="Calibri" w:eastAsia="Calibri" w:hAnsi="Calibri"/>
          <w:color w:val="0B0B0B"/>
          <w:sz w:val="20"/>
          <w:szCs w:val="20"/>
        </w:rPr>
        <w:t xml:space="preserve">Il limite più importante è il primo e non è rimediabile con più calcolo: </w:t>
      </w:r>
      <w:r>
        <w:rPr>
          <w:rFonts w:ascii="Calibri" w:cs="Calibri" w:eastAsia="Calibri" w:hAnsi="Calibri"/>
          <w:b/>
          <w:bCs/>
          <w:color w:val="0B0B0B"/>
          <w:sz w:val="20"/>
          <w:szCs w:val="20"/>
        </w:rPr>
        <w:t xml:space="preserve">finché non entrano acquisizioni reali con cartografia ufficiale come riferimento, questa campagna non può pronunciarsi sull'ipotesi scientifica del progetto.</w:t>
      </w:r>
    </w:p>
    <w:p>
      <w:pPr>
        <w:pStyle w:val="Heading1"/>
        <w:spacing w:after="140" w:before="280"/>
      </w:pPr>
      <w:r>
        <w:rPr>
          <w:rFonts w:ascii="Calibri" w:cs="Calibri" w:eastAsia="Calibri" w:hAnsi="Calibri"/>
        </w:rPr>
        <w:t xml:space="preserve">10. Riproducibilità</w:t>
      </w:r>
    </w:p>
    <w:p>
      <w:pPr>
        <w:spacing w:after="120" w:line="276"/>
      </w:pPr>
      <w:r>
        <w:rPr>
          <w:rFonts w:ascii="Calibri" w:cs="Calibri" w:eastAsia="Calibri" w:hAnsi="Calibri"/>
          <w:color w:val="0B0B0B"/>
          <w:sz w:val="20"/>
          <w:szCs w:val="20"/>
        </w:rPr>
        <w:t xml:space="preserve">Tutti gli esperimenti sono deterministici a parità di seme e di versioni. I comandi che li riproducono:</w:t>
      </w:r>
    </w:p>
    <w:p>
      <w:pPr>
        <w:spacing w:after="60" w:line="276"/>
      </w:pPr>
      <w:r>
        <w:rPr>
          <w:rFonts w:ascii="Calibri" w:cs="Calibri" w:eastAsia="Calibri" w:hAnsi="Calibri"/>
          <w:b/>
          <w:bCs/>
          <w:color w:val="0B0B0B"/>
          <w:sz w:val="20"/>
          <w:szCs w:val="20"/>
        </w:rPr>
        <w:t xml:space="preserve">E1 — verifica di funzionamento:</w:t>
      </w:r>
    </w:p>
    <w:p>
      <w:pPr>
        <w:pBdr>
          <w:left w:val="single" w:color="D8D8D2" w:sz="12" w:space="6"/>
        </w:pBdr>
        <w:shd w:fill="F4F4F1" w:val="clear"/>
        <w:spacing w:after="140" w:before="100"/>
      </w:pPr>
      <w:r>
        <w:rPr>
          <w:rFonts w:ascii="Consolas" w:cs="Consolas" w:eastAsia="Consolas" w:hAnsi="Consolas"/>
          <w:color w:val="1F1F1F"/>
          <w:sz w:val="17"/>
          <w:szCs w:val="17"/>
        </w:rPr>
        <w:t xml:space="preserve">gnn-sar demo --models stgnn temporal --max-epochs 40 \</w:t>
      </w:r>
      <w:r>
        <w:br/>
      </w:r>
      <w:r>
        <w:rPr>
          <w:rFonts w:ascii="Consolas" w:cs="Consolas" w:eastAsia="Consolas" w:hAnsi="Consolas"/>
          <w:color w:val="1F1F1F"/>
          <w:sz w:val="17"/>
          <w:szCs w:val="17"/>
        </w:rPr>
        <w:t xml:space="preserve">    --nodes-per-side 12 --n-time 24 --contrast 1.0</w:t>
      </w:r>
    </w:p>
    <w:p>
      <w:pPr>
        <w:spacing w:after="60" w:line="276"/>
      </w:pPr>
      <w:r>
        <w:rPr>
          <w:rFonts w:ascii="Calibri" w:cs="Calibri" w:eastAsia="Calibri" w:hAnsi="Calibri"/>
          <w:b/>
          <w:bCs/>
          <w:color w:val="0B0B0B"/>
          <w:sz w:val="20"/>
          <w:szCs w:val="20"/>
        </w:rPr>
        <w:t xml:space="preserve">E4 — confronto di riferimento:</w:t>
      </w:r>
    </w:p>
    <w:p>
      <w:pPr>
        <w:pBdr>
          <w:left w:val="single" w:color="D8D8D2" w:sz="12" w:space="6"/>
        </w:pBdr>
        <w:shd w:fill="F4F4F1" w:val="clear"/>
        <w:spacing w:after="140" w:before="100"/>
      </w:pPr>
      <w:r>
        <w:rPr>
          <w:rFonts w:ascii="Consolas" w:cs="Consolas" w:eastAsia="Consolas" w:hAnsi="Consolas"/>
          <w:color w:val="1F1F1F"/>
          <w:sz w:val="17"/>
          <w:szCs w:val="17"/>
        </w:rPr>
        <w:t xml:space="preserve">gnn-sar demo --models stgnn temporal mlp rf --max-epochs 120 \</w:t>
      </w:r>
      <w:r>
        <w:br/>
      </w:r>
      <w:r>
        <w:rPr>
          <w:rFonts w:ascii="Consolas" w:cs="Consolas" w:eastAsia="Consolas" w:hAnsi="Consolas"/>
          <w:color w:val="1F1F1F"/>
          <w:sz w:val="17"/>
          <w:szCs w:val="17"/>
        </w:rPr>
        <w:t xml:space="preserve">    --nodes-per-side 20 --n-time 24 --contrast 0.3 --seed 0</w:t>
      </w:r>
    </w:p>
    <w:p>
      <w:pPr>
        <w:spacing w:after="60" w:line="276"/>
      </w:pPr>
      <w:r>
        <w:rPr>
          <w:rFonts w:ascii="Calibri" w:cs="Calibri" w:eastAsia="Calibri" w:hAnsi="Calibri"/>
          <w:b/>
          <w:bCs/>
          <w:color w:val="0B0B0B"/>
          <w:sz w:val="20"/>
          <w:szCs w:val="20"/>
        </w:rPr>
        <w:t xml:space="preserve">E6 — blocchi di feature del §5.2:</w:t>
      </w:r>
    </w:p>
    <w:p>
      <w:pPr>
        <w:pBdr>
          <w:left w:val="single" w:color="D8D8D2" w:sz="12" w:space="6"/>
        </w:pBdr>
        <w:shd w:fill="F4F4F1" w:val="clear"/>
        <w:spacing w:after="140" w:before="100"/>
      </w:pPr>
      <w:r>
        <w:rPr>
          <w:rFonts w:ascii="Consolas" w:cs="Consolas" w:eastAsia="Consolas" w:hAnsi="Consolas"/>
          <w:color w:val="1F1F1F"/>
          <w:sz w:val="17"/>
          <w:szCs w:val="17"/>
        </w:rPr>
        <w:t xml:space="preserve">gnn-sar demo --models stgnn temporal --max-epochs 120 \</w:t>
      </w:r>
      <w:r>
        <w:br/>
      </w:r>
      <w:r>
        <w:rPr>
          <w:rFonts w:ascii="Consolas" w:cs="Consolas" w:eastAsia="Consolas" w:hAnsi="Consolas"/>
          <w:color w:val="1F1F1F"/>
          <w:sz w:val="17"/>
          <w:szCs w:val="17"/>
        </w:rPr>
        <w:t xml:space="preserve">    --nodes-per-side 20 --contrast 0.3 \</w:t>
      </w:r>
      <w:r>
        <w:br/>
      </w:r>
      <w:r>
        <w:rPr>
          <w:rFonts w:ascii="Consolas" w:cs="Consolas" w:eastAsia="Consolas" w:hAnsi="Consolas"/>
          <w:color w:val="1F1F1F"/>
          <w:sz w:val="17"/>
          <w:szCs w:val="17"/>
        </w:rPr>
        <w:t xml:space="preserve">    --features radar texture attributes</w:t>
      </w:r>
    </w:p>
    <w:p>
      <w:pPr>
        <w:spacing w:after="120" w:line="276"/>
      </w:pPr>
      <w:r>
        <w:rPr>
          <w:rFonts w:ascii="Calibri" w:cs="Calibri" w:eastAsia="Calibri" w:hAnsi="Calibri"/>
          <w:b/>
          <w:bCs/>
          <w:color w:val="0B0B0B"/>
          <w:sz w:val="20"/>
          <w:szCs w:val="20"/>
        </w:rPr>
        <w:t xml:space="preserve">E5 ed E3 — replica multi-seme e ablazione della normalizzazione: script in Appendice A.</w:t>
      </w:r>
    </w:p>
    <w:p>
      <w:pPr>
        <w:spacing w:after="60" w:line="276"/>
      </w:pPr>
      <w:r>
        <w:rPr>
          <w:rFonts w:ascii="Calibri" w:cs="Calibri" w:eastAsia="Calibri" w:hAnsi="Calibri"/>
          <w:b/>
          <w:bCs/>
          <w:color w:val="0B0B0B"/>
          <w:sz w:val="20"/>
          <w:szCs w:val="20"/>
        </w:rPr>
        <w:t xml:space="preserve">Suite di verifica:</w:t>
      </w:r>
    </w:p>
    <w:p>
      <w:pPr>
        <w:pBdr>
          <w:left w:val="single" w:color="D8D8D2" w:sz="12" w:space="6"/>
        </w:pBdr>
        <w:shd w:fill="F4F4F1" w:val="clear"/>
        <w:spacing w:after="140" w:before="100"/>
      </w:pPr>
      <w:r>
        <w:rPr>
          <w:rFonts w:ascii="Consolas" w:cs="Consolas" w:eastAsia="Consolas" w:hAnsi="Consolas"/>
          <w:color w:val="1F1F1F"/>
          <w:sz w:val="17"/>
          <w:szCs w:val="17"/>
        </w:rPr>
        <w:t xml:space="preserve">pytest        # 184 superati, 1 saltato senza l'extra 'segmentation'</w:t>
      </w:r>
    </w:p>
    <w:p>
      <w:r>
        <w:br w:type="page"/>
      </w:r>
    </w:p>
    <w:p>
      <w:pPr>
        <w:pStyle w:val="Heading1"/>
        <w:spacing w:after="140" w:before="280"/>
      </w:pPr>
      <w:r>
        <w:rPr>
          <w:rFonts w:ascii="Calibri" w:cs="Calibri" w:eastAsia="Calibri" w:hAnsi="Calibri"/>
        </w:rPr>
        <w:t xml:space="preserve">Appendice A — Script della replica multi-seme</w:t>
      </w:r>
    </w:p>
    <w:p>
      <w:pPr>
        <w:spacing w:after="120" w:line="276"/>
      </w:pPr>
      <w:r>
        <w:rPr>
          <w:rFonts w:ascii="Calibri" w:cs="Calibri" w:eastAsia="Calibri" w:hAnsi="Calibri"/>
          <w:color w:val="0B0B0B"/>
          <w:sz w:val="20"/>
          <w:szCs w:val="20"/>
        </w:rPr>
        <w:t xml:space="preserve">Lo script seguente genera i blocchi A (replica multi-seme), B (blocchi di feature) e C (ablazione della normalizzazione). È riportato in forma abbreviata: sono omessi gli import e la serializzazione finale.</w:t>
      </w:r>
    </w:p>
    <w:p>
      <w:pPr>
        <w:pBdr>
          <w:left w:val="single" w:color="D8D8D2" w:sz="12" w:space="6"/>
        </w:pBdr>
        <w:shd w:fill="F4F4F1" w:val="clear"/>
        <w:spacing w:after="140" w:before="100"/>
      </w:pPr>
      <w:r>
        <w:rPr>
          <w:rFonts w:ascii="Consolas" w:cs="Consolas" w:eastAsia="Consolas" w:hAnsi="Consolas"/>
          <w:color w:val="1F1F1F"/>
          <w:sz w:val="17"/>
          <w:szCs w:val="17"/>
        </w:rPr>
        <w:t xml:space="preserve">class ChannelNormWrapper(nn.Module):</w:t>
      </w:r>
      <w:r>
        <w:br/>
      </w:r>
      <w:r>
        <w:rPr>
          <w:rFonts w:ascii="Consolas" w:cs="Consolas" w:eastAsia="Consolas" w:hAnsi="Consolas"/>
          <w:color w:val="1F1F1F"/>
          <w:sz w:val="17"/>
          <w:szCs w:val="17"/>
        </w:rPr>
        <w:t xml:space="preserve">    """Riproduce il comportamento precedente alla correzione di E3."""</w:t>
      </w:r>
      <w:r>
        <w:br/>
      </w:r>
      <w:r>
        <w:rPr>
          <w:rFonts w:ascii="Consolas" w:cs="Consolas" w:eastAsia="Consolas" w:hAnsi="Consolas"/>
          <w:color w:val="1F1F1F"/>
          <w:sz w:val="17"/>
          <w:szCs w:val="17"/>
        </w:rPr>
        <w:t xml:space="preserve">    def __init__(self, inner, in_channels):</w:t>
      </w:r>
      <w:r>
        <w:br/>
      </w:r>
      <w:r>
        <w:rPr>
          <w:rFonts w:ascii="Consolas" w:cs="Consolas" w:eastAsia="Consolas" w:hAnsi="Consolas"/>
          <w:color w:val="1F1F1F"/>
          <w:sz w:val="17"/>
          <w:szCs w:val="17"/>
        </w:rPr>
        <w:t xml:space="preserve">        super().__init__()</w:t>
      </w:r>
      <w:r>
        <w:br/>
      </w:r>
      <w:r>
        <w:rPr>
          <w:rFonts w:ascii="Consolas" w:cs="Consolas" w:eastAsia="Consolas" w:hAnsi="Consolas"/>
          <w:color w:val="1F1F1F"/>
          <w:sz w:val="17"/>
          <w:szCs w:val="17"/>
        </w:rPr>
        <w:t xml:space="preserve">        self.inner, self.norm = inner, nn.LayerNorm(in_channels)</w:t>
      </w:r>
      <w:r>
        <w:br/>
      </w:r>
      <w:r>
        <w:rPr>
          <w:rFonts w:ascii="Consolas" w:cs="Consolas" w:eastAsia="Consolas" w:hAnsi="Consolas"/>
          <w:color w:val="1F1F1F"/>
          <w:sz w:val="17"/>
          <w:szCs w:val="17"/>
        </w:rPr>
        <w:t xml:space="preserve">    def forward(self, features, edge_index=None):</w:t>
      </w:r>
      <w:r>
        <w:br/>
      </w:r>
      <w:r>
        <w:rPr>
          <w:rFonts w:ascii="Consolas" w:cs="Consolas" w:eastAsia="Consolas" w:hAnsi="Consolas"/>
          <w:color w:val="1F1F1F"/>
          <w:sz w:val="17"/>
          <w:szCs w:val="17"/>
        </w:rPr>
        <w:t xml:space="preserve">        return self.inner(self.norm(features), edge_index)</w:t>
      </w:r>
      <w:r>
        <w:br/>
      </w:r>
      <w:r>
        <w:rPr>
          <w:rFonts w:ascii="Consolas" w:cs="Consolas" w:eastAsia="Consolas" w:hAnsi="Consolas"/>
          <w:color w:val="1F1F1F"/>
          <w:sz w:val="17"/>
          <w:szCs w:val="17"/>
        </w:rPr>
        <w:t xml:space="preserve"/>
      </w:r>
      <w:r>
        <w:br/>
      </w:r>
      <w:r>
        <w:rPr>
          <w:rFonts w:ascii="Consolas" w:cs="Consolas" w:eastAsia="Consolas" w:hAnsi="Consolas"/>
          <w:color w:val="1F1F1F"/>
          <w:sz w:val="17"/>
          <w:szCs w:val="17"/>
        </w:rPr>
        <w:t xml:space="preserve">def run_one(name, seed, rich=False, channel_norm=False, max_epochs=120):</w:t>
      </w:r>
      <w:r>
        <w:br/>
      </w:r>
      <w:r>
        <w:rPr>
          <w:rFonts w:ascii="Consolas" w:cs="Consolas" w:eastAsia="Consolas" w:hAnsi="Consolas"/>
          <w:color w:val="1F1F1F"/>
          <w:sz w:val="17"/>
          <w:szCs w:val="17"/>
        </w:rPr>
        <w:t xml:space="preserve">    pl.seed_everything(seed, workers=True)      # per ESECUZIONE, non per ciclo</w:t>
      </w:r>
      <w:r>
        <w:br/>
      </w:r>
      <w:r>
        <w:rPr>
          <w:rFonts w:ascii="Consolas" w:cs="Consolas" w:eastAsia="Consolas" w:hAnsi="Consolas"/>
          <w:color w:val="1F1F1F"/>
          <w:sz w:val="17"/>
          <w:szCs w:val="17"/>
        </w:rPr>
        <w:t xml:space="preserve">    sc = make_synthetic_scenario(</w:t>
      </w:r>
      <w:r>
        <w:br/>
      </w:r>
      <w:r>
        <w:rPr>
          <w:rFonts w:ascii="Consolas" w:cs="Consolas" w:eastAsia="Consolas" w:hAnsi="Consolas"/>
          <w:color w:val="1F1F1F"/>
          <w:sz w:val="17"/>
          <w:szCs w:val="17"/>
        </w:rPr>
        <w:t xml:space="preserve">        height=80, width=80, block=4, n_time=24, periods_per_year=12,</w:t>
      </w:r>
      <w:r>
        <w:br/>
      </w:r>
      <w:r>
        <w:rPr>
          <w:rFonts w:ascii="Consolas" w:cs="Consolas" w:eastAsia="Consolas" w:hAnsi="Consolas"/>
          <w:color w:val="1F1F1F"/>
          <w:sz w:val="17"/>
          <w:szCs w:val="17"/>
        </w:rPr>
        <w:t xml:space="preserve">        contrast=0.3, include_texture=rich, include_attributes=rich, seed=seed)</w:t>
      </w:r>
      <w:r>
        <w:br/>
      </w:r>
      <w:r>
        <w:rPr>
          <w:rFonts w:ascii="Consolas" w:cs="Consolas" w:eastAsia="Consolas" w:hAnsi="Consolas"/>
          <w:color w:val="1F1F1F"/>
          <w:sz w:val="17"/>
          <w:szCs w:val="17"/>
        </w:rPr>
        <w:t xml:space="preserve">    dm = SpatioTemporalGraphDataModule(sc.graph, prediction_horizon=2)</w:t>
      </w:r>
      <w:r>
        <w:br/>
      </w:r>
      <w:r>
        <w:rPr>
          <w:rFonts w:ascii="Consolas" w:cs="Consolas" w:eastAsia="Consolas" w:hAnsi="Consolas"/>
          <w:color w:val="1F1F1F"/>
          <w:sz w:val="17"/>
          <w:szCs w:val="17"/>
        </w:rPr>
        <w:t xml:space="preserve">    dm.setup()</w:t>
      </w:r>
      <w:r>
        <w:br/>
      </w:r>
      <w:r>
        <w:rPr>
          <w:rFonts w:ascii="Consolas" w:cs="Consolas" w:eastAsia="Consolas" w:hAnsi="Consolas"/>
          <w:color w:val="1F1F1F"/>
          <w:sz w:val="17"/>
          <w:szCs w:val="17"/>
        </w:rPr>
        <w:t xml:space="preserve"/>
      </w:r>
      <w:r>
        <w:br/>
      </w:r>
      <w:r>
        <w:rPr>
          <w:rFonts w:ascii="Consolas" w:cs="Consolas" w:eastAsia="Consolas" w:hAnsi="Consolas"/>
          <w:color w:val="1F1F1F"/>
          <w:sz w:val="17"/>
          <w:szCs w:val="17"/>
        </w:rPr>
        <w:t xml:space="preserve">    if name == "rf":</w:t>
      </w:r>
      <w:r>
        <w:br/>
      </w:r>
      <w:r>
        <w:rPr>
          <w:rFonts w:ascii="Consolas" w:cs="Consolas" w:eastAsia="Consolas" w:hAnsi="Consolas"/>
          <w:color w:val="1F1F1F"/>
          <w:sz w:val="17"/>
          <w:szCs w:val="17"/>
        </w:rPr>
        <w:t xml:space="preserve">        forest = RandomForestBaseline().fit(</w:t>
      </w:r>
      <w:r>
        <w:br/>
      </w:r>
      <w:r>
        <w:rPr>
          <w:rFonts w:ascii="Consolas" w:cs="Consolas" w:eastAsia="Consolas" w:hAnsi="Consolas"/>
          <w:color w:val="1F1F1F"/>
          <w:sz w:val="17"/>
          <w:szCs w:val="17"/>
        </w:rPr>
        <w:t xml:space="preserve">            sc.graph.features, sc.graph.year_index,</w:t>
      </w:r>
      <w:r>
        <w:br/>
      </w:r>
      <w:r>
        <w:rPr>
          <w:rFonts w:ascii="Consolas" w:cs="Consolas" w:eastAsia="Consolas" w:hAnsi="Consolas"/>
          <w:color w:val="1F1F1F"/>
          <w:sz w:val="17"/>
          <w:szCs w:val="17"/>
        </w:rPr>
        <w:t xml:space="preserve">            sc.graph.annual_labels, dm.masks["train"])</w:t>
      </w:r>
      <w:r>
        <w:br/>
      </w:r>
      <w:r>
        <w:rPr>
          <w:rFonts w:ascii="Consolas" w:cs="Consolas" w:eastAsia="Consolas" w:hAnsi="Consolas"/>
          <w:color w:val="1F1F1F"/>
          <w:sz w:val="17"/>
          <w:szCs w:val="17"/>
        </w:rPr>
        <w:t xml:space="preserve">        proba = forest.predict_proba(sc.graph.features, sc.graph.year_index)</w:t>
      </w:r>
      <w:r>
        <w:br/>
      </w:r>
      <w:r>
        <w:rPr>
          <w:rFonts w:ascii="Consolas" w:cs="Consolas" w:eastAsia="Consolas" w:hAnsi="Consolas"/>
          <w:color w:val="1F1F1F"/>
          <w:sz w:val="17"/>
          <w:szCs w:val="17"/>
        </w:rPr>
        <w:t xml:space="preserve">        test = dm.masks["test"]</w:t>
      </w:r>
      <w:r>
        <w:br/>
      </w:r>
      <w:r>
        <w:rPr>
          <w:rFonts w:ascii="Consolas" w:cs="Consolas" w:eastAsia="Consolas" w:hAnsi="Consolas"/>
          <w:color w:val="1F1F1F"/>
          <w:sz w:val="17"/>
          <w:szCs w:val="17"/>
        </w:rPr>
        <w:t xml:space="preserve">        return sealing_metrics((proba[:, test] &gt;= 0.5).astype(int),</w:t>
      </w:r>
      <w:r>
        <w:br/>
      </w:r>
      <w:r>
        <w:rPr>
          <w:rFonts w:ascii="Consolas" w:cs="Consolas" w:eastAsia="Consolas" w:hAnsi="Consolas"/>
          <w:color w:val="1F1F1F"/>
          <w:sz w:val="17"/>
          <w:szCs w:val="17"/>
        </w:rPr>
        <w:t xml:space="preserve">                               sc.graph.annual_labels[:, test])</w:t>
      </w:r>
      <w:r>
        <w:br/>
      </w:r>
      <w:r>
        <w:rPr>
          <w:rFonts w:ascii="Consolas" w:cs="Consolas" w:eastAsia="Consolas" w:hAnsi="Consolas"/>
          <w:color w:val="1F1F1F"/>
          <w:sz w:val="17"/>
          <w:szCs w:val="17"/>
        </w:rPr>
        <w:t xml:space="preserve"/>
      </w:r>
      <w:r>
        <w:br/>
      </w:r>
      <w:r>
        <w:rPr>
          <w:rFonts w:ascii="Consolas" w:cs="Consolas" w:eastAsia="Consolas" w:hAnsi="Consolas"/>
          <w:color w:val="1F1F1F"/>
          <w:sz w:val="17"/>
          <w:szCs w:val="17"/>
        </w:rPr>
        <w:t xml:space="preserve">    model = NEURAL[name](ModelConfig(in_channels=dm.n_features, hidden_channels=64))</w:t>
      </w:r>
      <w:r>
        <w:br/>
      </w:r>
      <w:r>
        <w:rPr>
          <w:rFonts w:ascii="Consolas" w:cs="Consolas" w:eastAsia="Consolas" w:hAnsi="Consolas"/>
          <w:color w:val="1F1F1F"/>
          <w:sz w:val="17"/>
          <w:szCs w:val="17"/>
        </w:rPr>
        <w:t xml:space="preserve">    if channel_norm:</w:t>
      </w:r>
      <w:r>
        <w:br/>
      </w:r>
      <w:r>
        <w:rPr>
          <w:rFonts w:ascii="Consolas" w:cs="Consolas" w:eastAsia="Consolas" w:hAnsi="Consolas"/>
          <w:color w:val="1F1F1F"/>
          <w:sz w:val="17"/>
          <w:szCs w:val="17"/>
        </w:rPr>
        <w:t xml:space="preserve">        model = ChannelNormWrapper(model, dm.n_features)</w:t>
      </w:r>
      <w:r>
        <w:br/>
      </w:r>
      <w:r>
        <w:rPr>
          <w:rFonts w:ascii="Consolas" w:cs="Consolas" w:eastAsia="Consolas" w:hAnsi="Consolas"/>
          <w:color w:val="1F1F1F"/>
          <w:sz w:val="17"/>
          <w:szCs w:val="17"/>
        </w:rPr>
        <w:t xml:space="preserve">    module = SoilSealingModule(model=model, training_config=TrainingConfig())</w:t>
      </w:r>
      <w:r>
        <w:br/>
      </w:r>
      <w:r>
        <w:rPr>
          <w:rFonts w:ascii="Consolas" w:cs="Consolas" w:eastAsia="Consolas" w:hAnsi="Consolas"/>
          <w:color w:val="1F1F1F"/>
          <w:sz w:val="17"/>
          <w:szCs w:val="17"/>
        </w:rPr>
        <w:t xml:space="preserve">    trainer = pl.Trainer(max_epochs=max_epochs, accelerator="cpu", devices=1,</w:t>
      </w:r>
      <w:r>
        <w:br/>
      </w:r>
      <w:r>
        <w:rPr>
          <w:rFonts w:ascii="Consolas" w:cs="Consolas" w:eastAsia="Consolas" w:hAnsi="Consolas"/>
          <w:color w:val="1F1F1F"/>
          <w:sz w:val="17"/>
          <w:szCs w:val="17"/>
        </w:rPr>
        <w:t xml:space="preserve">                         logger=False, enable_checkpointing=False)</w:t>
      </w:r>
      <w:r>
        <w:br/>
      </w:r>
      <w:r>
        <w:rPr>
          <w:rFonts w:ascii="Consolas" w:cs="Consolas" w:eastAsia="Consolas" w:hAnsi="Consolas"/>
          <w:color w:val="1F1F1F"/>
          <w:sz w:val="17"/>
          <w:szCs w:val="17"/>
        </w:rPr>
        <w:t xml:space="preserve">    trainer.fit(module, datamodule=dm)</w:t>
      </w:r>
      <w:r>
        <w:br/>
      </w:r>
      <w:r>
        <w:rPr>
          <w:rFonts w:ascii="Consolas" w:cs="Consolas" w:eastAsia="Consolas" w:hAnsi="Consolas"/>
          <w:color w:val="1F1F1F"/>
          <w:sz w:val="17"/>
          <w:szCs w:val="17"/>
        </w:rPr>
        <w:t xml:space="preserve">    res = trainer.test(module, datamodule=dm, verbose=False)[0]</w:t>
      </w:r>
      <w:r>
        <w:br/>
      </w:r>
      <w:r>
        <w:rPr>
          <w:rFonts w:ascii="Consolas" w:cs="Consolas" w:eastAsia="Consolas" w:hAnsi="Consolas"/>
          <w:color w:val="1F1F1F"/>
          <w:sz w:val="17"/>
          <w:szCs w:val="17"/>
        </w:rPr>
        <w:t xml:space="preserve"/>
      </w:r>
      <w:r>
        <w:br/>
      </w:r>
      <w:r>
        <w:rPr>
          <w:rFonts w:ascii="Consolas" w:cs="Consolas" w:eastAsia="Consolas" w:hAnsi="Consolas"/>
          <w:color w:val="1F1F1F"/>
          <w:sz w:val="17"/>
          <w:szCs w:val="17"/>
        </w:rPr>
        <w:t xml:space="preserve">    # Le date vere non entrano mai nell'addestramento: sono il metro di misura.</w:t>
      </w:r>
      <w:r>
        <w:br/>
      </w:r>
      <w:r>
        <w:rPr>
          <w:rFonts w:ascii="Consolas" w:cs="Consolas" w:eastAsia="Consolas" w:hAnsi="Consolas"/>
          <w:color w:val="1F1F1F"/>
          <w:sz w:val="17"/>
          <w:szCs w:val="17"/>
        </w:rPr>
        <w:t xml:space="preserve">    batch = dm.batch("test"); mask = batch["node_mask"].numpy()</w:t>
      </w:r>
      <w:r>
        <w:br/>
      </w:r>
      <w:r>
        <w:rPr>
          <w:rFonts w:ascii="Consolas" w:cs="Consolas" w:eastAsia="Consolas" w:hAnsi="Consolas"/>
          <w:color w:val="1F1F1F"/>
          <w:sz w:val="17"/>
          <w:szCs w:val="17"/>
        </w:rPr>
        <w:t xml:space="preserve">    maps = module.predict_maps(batch)</w:t>
      </w:r>
      <w:r>
        <w:br/>
      </w:r>
      <w:r>
        <w:rPr>
          <w:rFonts w:ascii="Consolas" w:cs="Consolas" w:eastAsia="Consolas" w:hAnsi="Consolas"/>
          <w:color w:val="1F1F1F"/>
          <w:sz w:val="17"/>
          <w:szCs w:val="17"/>
        </w:rPr>
        <w:t xml:space="preserve">    delay = detection_delay(maps["onset"][mask], sc.onset[mask],</w:t>
      </w:r>
      <w:r>
        <w:br/>
      </w:r>
      <w:r>
        <w:rPr>
          <w:rFonts w:ascii="Consolas" w:cs="Consolas" w:eastAsia="Consolas" w:hAnsi="Consolas"/>
          <w:color w:val="1F1F1F"/>
          <w:sz w:val="17"/>
          <w:szCs w:val="17"/>
        </w:rPr>
        <w:t xml:space="preserve">                            n_time=sc.graph.n_time)</w:t>
      </w:r>
      <w:r>
        <w:br/>
      </w:r>
      <w:r>
        <w:rPr>
          <w:rFonts w:ascii="Consolas" w:cs="Consolas" w:eastAsia="Consolas" w:hAnsi="Consolas"/>
          <w:color w:val="1F1F1F"/>
          <w:sz w:val="17"/>
          <w:szCs w:val="17"/>
        </w:rPr>
        <w:t xml:space="preserve">    return {**res, **delay}</w:t>
      </w:r>
      <w:r>
        <w:br/>
      </w:r>
      <w:r>
        <w:rPr>
          <w:rFonts w:ascii="Consolas" w:cs="Consolas" w:eastAsia="Consolas" w:hAnsi="Consolas"/>
          <w:color w:val="1F1F1F"/>
          <w:sz w:val="17"/>
          <w:szCs w:val="17"/>
        </w:rPr>
        <w:t xml:space="preserve"/>
      </w:r>
      <w:r>
        <w:br/>
      </w:r>
      <w:r>
        <w:rPr>
          <w:rFonts w:ascii="Consolas" w:cs="Consolas" w:eastAsia="Consolas" w:hAnsi="Consolas"/>
          <w:color w:val="1F1F1F"/>
          <w:sz w:val="17"/>
          <w:szCs w:val="17"/>
        </w:rPr>
        <w:t xml:space="preserve">SEEDS = [0, 1, 2, 3, 4]</w:t>
      </w:r>
      <w:r>
        <w:br/>
      </w:r>
      <w:r>
        <w:rPr>
          <w:rFonts w:ascii="Consolas" w:cs="Consolas" w:eastAsia="Consolas" w:hAnsi="Consolas"/>
          <w:color w:val="1F1F1F"/>
          <w:sz w:val="17"/>
          <w:szCs w:val="17"/>
        </w:rPr>
        <w:t xml:space="preserve">A = {n: [run_one(n, s) for s in SEEDS] for n in ["stgnn","temporal","mlp","rf"]}</w:t>
      </w:r>
      <w:r>
        <w:br/>
      </w:r>
      <w:r>
        <w:rPr>
          <w:rFonts w:ascii="Consolas" w:cs="Consolas" w:eastAsia="Consolas" w:hAnsi="Consolas"/>
          <w:color w:val="1F1F1F"/>
          <w:sz w:val="17"/>
          <w:szCs w:val="17"/>
        </w:rPr>
        <w:t xml:space="preserve">B = {n: [run_one(n, s, rich=True) for s in SEEDS] for n in ["stgnn","temporal"]}</w:t>
      </w:r>
      <w:r>
        <w:br/>
      </w:r>
      <w:r>
        <w:rPr>
          <w:rFonts w:ascii="Consolas" w:cs="Consolas" w:eastAsia="Consolas" w:hAnsi="Consolas"/>
          <w:color w:val="1F1F1F"/>
          <w:sz w:val="17"/>
          <w:szCs w:val="17"/>
        </w:rPr>
        <w:t xml:space="preserve">C = {n: [run_one(n, s, channel_norm=True) for s in SEEDS[:3]]</w:t>
      </w:r>
      <w:r>
        <w:br/>
      </w:r>
      <w:r>
        <w:rPr>
          <w:rFonts w:ascii="Consolas" w:cs="Consolas" w:eastAsia="Consolas" w:hAnsi="Consolas"/>
          <w:color w:val="1F1F1F"/>
          <w:sz w:val="17"/>
          <w:szCs w:val="17"/>
        </w:rPr>
        <w:t xml:space="preserve">     for n in ["stgnn","temporal"]}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6"/>
        <w:szCs w:val="16"/>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0B0B0B"/>
      <w:sz w:val="30"/>
      <w:szCs w:val="30"/>
    </w:rPr>
  </w:style>
  <w:style w:type="paragraph" w:styleId="Heading2">
    <w:name w:val="Heading 2"/>
    <w:basedOn w:val="Normal"/>
    <w:next w:val="Normal"/>
    <w:qFormat/>
    <w:pPr>
      <w:spacing w:after="120" w:before="260"/>
    </w:pPr>
    <w:rPr>
      <w:rFonts w:ascii="Calibri" w:cs="Calibri" w:eastAsia="Calibri" w:hAnsi="Calibri"/>
      <w:b/>
      <w:bCs/>
      <w:color w:val="2A78D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1f6c73ee84d278e1f0f02e46fb8e9244c943888.png"/><Relationship Id="rId9" Type="http://schemas.openxmlformats.org/officeDocument/2006/relationships/image" Target="media/840c82647892761a930e881869a4c9e33e6fbf10.png"/><Relationship Id="rId10" Type="http://schemas.openxmlformats.org/officeDocument/2006/relationships/image" Target="media/a52458110f25829d5a09cb0300e587349abf8ce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gnn-sar — Report sperimentale</dc:title>
  <dc:creator>gnn-sar</dc:creator>
  <dc:description>Simulazioni, procedure e risultati</dc:description>
  <cp:lastModifiedBy>Un-named</cp:lastModifiedBy>
  <cp:revision>1</cp:revision>
  <dcterms:created xsi:type="dcterms:W3CDTF">2026-09-17T17:22:29.686Z</dcterms:created>
  <dcterms:modified xsi:type="dcterms:W3CDTF">2026-09-17T17:22:29.687Z</dcterms:modified>
</cp:coreProperties>
</file>

<file path=docProps/custom.xml><?xml version="1.0" encoding="utf-8"?>
<Properties xmlns="http://schemas.openxmlformats.org/officeDocument/2006/custom-properties" xmlns:vt="http://schemas.openxmlformats.org/officeDocument/2006/docPropsVTypes"/>
</file>