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5D33C" w14:textId="77777777" w:rsidR="00547CB1" w:rsidRPr="00547CB1" w:rsidRDefault="00547CB1" w:rsidP="00547CB1">
      <w:pPr>
        <w:pStyle w:val="Heading1"/>
        <w:rPr>
          <w:lang w:val="it-IT"/>
        </w:rPr>
      </w:pPr>
      <w:r w:rsidRPr="00547CB1">
        <w:rPr>
          <w:lang w:val="it-IT"/>
        </w:rPr>
        <w:t>PROJECT BLUEPRINT: RISKALIGN ENGINE</w:t>
      </w:r>
    </w:p>
    <w:p w14:paraId="3E657D4A" w14:textId="77777777" w:rsidR="00547CB1" w:rsidRPr="00547CB1" w:rsidRDefault="00547CB1" w:rsidP="00547CB1">
      <w:pPr>
        <w:rPr>
          <w:lang w:val="it-IT"/>
        </w:rPr>
      </w:pPr>
      <w:r w:rsidRPr="00547CB1">
        <w:rPr>
          <w:b/>
          <w:bCs/>
          <w:lang w:val="it-IT"/>
        </w:rPr>
        <w:t>Sistema Indipendente di Valutazione del Rischio di Portafoglio e Adeguatezza MiFID</w:t>
      </w:r>
    </w:p>
    <w:p w14:paraId="56844737" w14:textId="77777777" w:rsidR="00547CB1" w:rsidRPr="00547CB1" w:rsidRDefault="00547CB1" w:rsidP="00547CB1">
      <w:pPr>
        <w:pStyle w:val="Heading2"/>
        <w:rPr>
          <w:lang w:val="it-IT"/>
        </w:rPr>
      </w:pPr>
      <w:r w:rsidRPr="00547CB1">
        <w:rPr>
          <w:lang w:val="it-IT"/>
        </w:rPr>
        <w:t>1. Executive Summary e Valore di Business</w:t>
      </w:r>
    </w:p>
    <w:p w14:paraId="2BACDFD3" w14:textId="77777777" w:rsidR="00547CB1" w:rsidRPr="00547CB1" w:rsidRDefault="00547CB1" w:rsidP="00547CB1">
      <w:pPr>
        <w:rPr>
          <w:lang w:val="it-IT"/>
        </w:rPr>
      </w:pPr>
      <w:r w:rsidRPr="00547CB1">
        <w:rPr>
          <w:b/>
          <w:bCs/>
          <w:lang w:val="it-IT"/>
        </w:rPr>
        <w:t>Obiettivo del Progetto</w:t>
      </w:r>
    </w:p>
    <w:p w14:paraId="22136923" w14:textId="77777777" w:rsidR="00547CB1" w:rsidRPr="00547CB1" w:rsidRDefault="00547CB1" w:rsidP="00547CB1">
      <w:pPr>
        <w:rPr>
          <w:lang w:val="it-IT"/>
        </w:rPr>
      </w:pPr>
      <w:r w:rsidRPr="00547CB1">
        <w:rPr>
          <w:lang w:val="it-IT"/>
        </w:rPr>
        <w:t>L'obiettivo di RiskAlign è sviluppare un'applicazione software avanzata in grado di calcolare il profilo di rischio reale (quantitativo) di un portafoglio finanziario complesso e verificarne la coerenza rispetto al profilo di tolleranza al rischio (qualitativo/MiFID) dell'investitore.</w:t>
      </w:r>
    </w:p>
    <w:p w14:paraId="5DB52221" w14:textId="77777777" w:rsidR="00547CB1" w:rsidRPr="00547CB1" w:rsidRDefault="00547CB1" w:rsidP="00547CB1">
      <w:pPr>
        <w:rPr>
          <w:lang w:val="it-IT"/>
        </w:rPr>
      </w:pPr>
      <w:r w:rsidRPr="00547CB1">
        <w:rPr>
          <w:lang w:val="it-IT"/>
        </w:rPr>
        <w:t xml:space="preserve">Il sistema si posiziona come uno </w:t>
      </w:r>
      <w:r w:rsidRPr="00547CB1">
        <w:rPr>
          <w:b/>
          <w:bCs/>
          <w:lang w:val="it-IT"/>
        </w:rPr>
        <w:t>strumento di validazione terzo e indipendente</w:t>
      </w:r>
      <w:r w:rsidRPr="00547CB1">
        <w:rPr>
          <w:lang w:val="it-IT"/>
        </w:rPr>
        <w:t xml:space="preserve">, risolvendo alla radice il conflitto di interessi tipico delle istituzioni finanziarie tradizionali. Fornisce all'utente una metrica chiara, oggettiva e visiva ("Semaforo del Rischio"), ponendosi come un vero e proprio strumento di </w:t>
      </w:r>
      <w:r w:rsidRPr="00547CB1">
        <w:rPr>
          <w:i/>
          <w:iCs/>
          <w:lang w:val="it-IT"/>
        </w:rPr>
        <w:t>Decision Support System</w:t>
      </w:r>
      <w:r w:rsidRPr="00547CB1">
        <w:rPr>
          <w:lang w:val="it-IT"/>
        </w:rPr>
        <w:t xml:space="preserve"> e di </w:t>
      </w:r>
      <w:r w:rsidRPr="00547CB1">
        <w:rPr>
          <w:i/>
          <w:iCs/>
          <w:lang w:val="it-IT"/>
        </w:rPr>
        <w:t>Compliance</w:t>
      </w:r>
      <w:r w:rsidRPr="00547CB1">
        <w:rPr>
          <w:lang w:val="it-IT"/>
        </w:rPr>
        <w:t>.</w:t>
      </w:r>
    </w:p>
    <w:p w14:paraId="08EB3198" w14:textId="77777777" w:rsidR="00547CB1" w:rsidRPr="00547CB1" w:rsidRDefault="00547CB1" w:rsidP="00547CB1">
      <w:pPr>
        <w:rPr>
          <w:lang w:val="it-IT"/>
        </w:rPr>
      </w:pPr>
      <w:r w:rsidRPr="00547CB1">
        <w:rPr>
          <w:b/>
          <w:bCs/>
          <w:lang w:val="it-IT"/>
        </w:rPr>
        <w:t>Target e Posizionamento di Mercato</w:t>
      </w:r>
    </w:p>
    <w:p w14:paraId="41DA5362" w14:textId="77777777" w:rsidR="00547CB1" w:rsidRPr="00547CB1" w:rsidRDefault="00547CB1" w:rsidP="00547CB1">
      <w:pPr>
        <w:rPr>
          <w:lang w:val="it-IT"/>
        </w:rPr>
      </w:pPr>
      <w:r w:rsidRPr="00547CB1">
        <w:rPr>
          <w:lang w:val="it-IT"/>
        </w:rPr>
        <w:t>Il potenziale di applicazione del prodotto si sviluppa su due direttrici principali:</w:t>
      </w:r>
    </w:p>
    <w:p w14:paraId="6FBDB529" w14:textId="77777777" w:rsidR="00547CB1" w:rsidRPr="00547CB1" w:rsidRDefault="00547CB1" w:rsidP="00547CB1">
      <w:pPr>
        <w:numPr>
          <w:ilvl w:val="0"/>
          <w:numId w:val="12"/>
        </w:numPr>
        <w:rPr>
          <w:lang w:val="it-IT"/>
        </w:rPr>
      </w:pPr>
      <w:r w:rsidRPr="00547CB1">
        <w:rPr>
          <w:b/>
          <w:bCs/>
          <w:lang w:val="it-IT"/>
        </w:rPr>
        <w:t>Segmento B2B (Banche, SIM, Consulenti Finanziari):</w:t>
      </w:r>
      <w:r w:rsidRPr="00547CB1">
        <w:rPr>
          <w:lang w:val="it-IT"/>
        </w:rPr>
        <w:t xml:space="preserve"> * </w:t>
      </w:r>
      <w:r w:rsidRPr="00547CB1">
        <w:rPr>
          <w:i/>
          <w:iCs/>
          <w:lang w:val="it-IT"/>
        </w:rPr>
        <w:t>Mitigazione del rischio di compliance:</w:t>
      </w:r>
      <w:r w:rsidRPr="00547CB1">
        <w:rPr>
          <w:lang w:val="it-IT"/>
        </w:rPr>
        <w:t xml:space="preserve"> Fornisce una documentazione analitica e riproducibile per giustificare l'adeguatezza di un portafoglio o la necessità di un ribilanciamento.</w:t>
      </w:r>
    </w:p>
    <w:p w14:paraId="5BDBC893" w14:textId="77777777" w:rsidR="00547CB1" w:rsidRPr="00547CB1" w:rsidRDefault="00547CB1" w:rsidP="00547CB1">
      <w:pPr>
        <w:numPr>
          <w:ilvl w:val="1"/>
          <w:numId w:val="12"/>
        </w:numPr>
        <w:rPr>
          <w:lang w:val="it-IT"/>
        </w:rPr>
      </w:pPr>
      <w:r w:rsidRPr="00547CB1">
        <w:rPr>
          <w:i/>
          <w:iCs/>
          <w:lang w:val="it-IT"/>
        </w:rPr>
        <w:t>Efficienza operativa:</w:t>
      </w:r>
      <w:r w:rsidRPr="00547CB1">
        <w:rPr>
          <w:lang w:val="it-IT"/>
        </w:rPr>
        <w:t xml:space="preserve"> Automatizza il calcolo delle metriche di rischio aggregato, riducendo drasticamente il tempo speso dal consulente in analisi manuali.</w:t>
      </w:r>
    </w:p>
    <w:p w14:paraId="19AA91C9" w14:textId="77777777" w:rsidR="00547CB1" w:rsidRPr="00547CB1" w:rsidRDefault="00547CB1" w:rsidP="00547CB1">
      <w:pPr>
        <w:numPr>
          <w:ilvl w:val="1"/>
          <w:numId w:val="12"/>
        </w:numPr>
        <w:rPr>
          <w:lang w:val="it-IT"/>
        </w:rPr>
      </w:pPr>
      <w:r w:rsidRPr="00547CB1">
        <w:rPr>
          <w:i/>
          <w:iCs/>
          <w:lang w:val="it-IT"/>
        </w:rPr>
        <w:t>Lead Generation:</w:t>
      </w:r>
      <w:r w:rsidRPr="00547CB1">
        <w:rPr>
          <w:lang w:val="it-IT"/>
        </w:rPr>
        <w:t xml:space="preserve"> Strumento di eccellenza per i consulenti finanziari indipendenti per attrarre nuovi clienti mostrando le inefficienze dei loro portafogli attuali.</w:t>
      </w:r>
    </w:p>
    <w:p w14:paraId="3FA79274" w14:textId="77777777" w:rsidR="00547CB1" w:rsidRPr="00547CB1" w:rsidRDefault="00547CB1" w:rsidP="00547CB1">
      <w:pPr>
        <w:numPr>
          <w:ilvl w:val="0"/>
          <w:numId w:val="12"/>
        </w:numPr>
        <w:rPr>
          <w:lang w:val="it-IT"/>
        </w:rPr>
      </w:pPr>
      <w:r w:rsidRPr="00547CB1">
        <w:rPr>
          <w:b/>
          <w:bCs/>
          <w:lang w:val="it-IT"/>
        </w:rPr>
        <w:t>Segmento B2C / Ibrido (Robo-advisory e FinTech):</w:t>
      </w:r>
    </w:p>
    <w:p w14:paraId="1AAA3C17" w14:textId="77777777" w:rsidR="00547CB1" w:rsidRPr="00547CB1" w:rsidRDefault="00547CB1" w:rsidP="00547CB1">
      <w:pPr>
        <w:numPr>
          <w:ilvl w:val="1"/>
          <w:numId w:val="12"/>
        </w:numPr>
        <w:rPr>
          <w:lang w:val="it-IT"/>
        </w:rPr>
      </w:pPr>
      <w:r w:rsidRPr="00547CB1">
        <w:rPr>
          <w:i/>
          <w:iCs/>
          <w:lang w:val="it-IT"/>
        </w:rPr>
        <w:t>Strumento Freemium:</w:t>
      </w:r>
      <w:r w:rsidRPr="00547CB1">
        <w:rPr>
          <w:lang w:val="it-IT"/>
        </w:rPr>
        <w:t xml:space="preserve"> Piattaforma di educazione e consapevolezza finanziaria per investitori retail.</w:t>
      </w:r>
    </w:p>
    <w:p w14:paraId="0FD010EE" w14:textId="77777777" w:rsidR="00547CB1" w:rsidRPr="00547CB1" w:rsidRDefault="00547CB1" w:rsidP="00547CB1">
      <w:pPr>
        <w:numPr>
          <w:ilvl w:val="1"/>
          <w:numId w:val="12"/>
        </w:numPr>
        <w:rPr>
          <w:lang w:val="it-IT"/>
        </w:rPr>
      </w:pPr>
      <w:r w:rsidRPr="00547CB1">
        <w:rPr>
          <w:i/>
          <w:iCs/>
          <w:lang w:val="it-IT"/>
        </w:rPr>
        <w:t>Ritenzione e fiducia del cliente:</w:t>
      </w:r>
      <w:r w:rsidRPr="00547CB1">
        <w:rPr>
          <w:lang w:val="it-IT"/>
        </w:rPr>
        <w:t xml:space="preserve"> Offre all'utente finale maggiore trasparenza, traducendo metriche complesse (come la covarianza) in indicatori visivi di facile comprensione.</w:t>
      </w:r>
    </w:p>
    <w:p w14:paraId="3C263462" w14:textId="77777777" w:rsidR="00547CB1" w:rsidRPr="00547CB1" w:rsidRDefault="00547CB1" w:rsidP="00547CB1">
      <w:pPr>
        <w:pStyle w:val="Heading2"/>
        <w:rPr>
          <w:lang w:val="it-IT"/>
        </w:rPr>
      </w:pPr>
      <w:r w:rsidRPr="00547CB1">
        <w:rPr>
          <w:lang w:val="it-IT"/>
        </w:rPr>
        <w:t>2. Architettura Logica e Funzionalità Core</w:t>
      </w:r>
    </w:p>
    <w:p w14:paraId="20B456BD" w14:textId="77777777" w:rsidR="00547CB1" w:rsidRPr="00547CB1" w:rsidRDefault="00547CB1" w:rsidP="00547CB1">
      <w:pPr>
        <w:rPr>
          <w:lang w:val="it-IT"/>
        </w:rPr>
      </w:pPr>
      <w:r w:rsidRPr="00547CB1">
        <w:rPr>
          <w:lang w:val="it-IT"/>
        </w:rPr>
        <w:t>Il sistema è strutturato come una pipeline lineare divisa in tre moduli software indipendenti, orchestrati da un unico motore centrale.</w:t>
      </w:r>
    </w:p>
    <w:p w14:paraId="417060E9" w14:textId="77777777" w:rsidR="00547CB1" w:rsidRPr="00547CB1" w:rsidRDefault="00547CB1" w:rsidP="00547CB1">
      <w:pPr>
        <w:rPr>
          <w:lang w:val="it-IT"/>
        </w:rPr>
      </w:pPr>
      <w:r w:rsidRPr="00547CB1">
        <w:rPr>
          <w:b/>
          <w:bCs/>
          <w:lang w:val="it-IT"/>
        </w:rPr>
        <w:t>[ MODULO 1: QUALITATIVO ]</w:t>
      </w:r>
      <w:r w:rsidRPr="00547CB1">
        <w:rPr>
          <w:lang w:val="it-IT"/>
        </w:rPr>
        <w:t xml:space="preserve"> ──&gt; (MiFID Score) ──┐</w:t>
      </w:r>
    </w:p>
    <w:p w14:paraId="0F4292BB" w14:textId="77777777" w:rsidR="00547CB1" w:rsidRPr="00547CB1" w:rsidRDefault="00547CB1" w:rsidP="00547CB1">
      <w:pPr>
        <w:rPr>
          <w:lang w:val="it-IT"/>
        </w:rPr>
      </w:pPr>
      <w:r w:rsidRPr="00547CB1">
        <w:rPr>
          <w:lang w:val="it-IT"/>
        </w:rPr>
        <w:t>▼</w:t>
      </w:r>
    </w:p>
    <w:p w14:paraId="0803B95F" w14:textId="77777777" w:rsidR="00547CB1" w:rsidRPr="00547CB1" w:rsidRDefault="00547CB1" w:rsidP="00547CB1">
      <w:pPr>
        <w:rPr>
          <w:lang w:val="it-IT"/>
        </w:rPr>
      </w:pPr>
      <w:r w:rsidRPr="00547CB1">
        <w:rPr>
          <w:b/>
          <w:bCs/>
          <w:lang w:val="it-IT"/>
        </w:rPr>
        <w:t>[ MODULO 3: MATCHING ]</w:t>
      </w:r>
      <w:r w:rsidRPr="00547CB1">
        <w:rPr>
          <w:lang w:val="it-IT"/>
        </w:rPr>
        <w:t xml:space="preserve"> ──&gt; Report &amp; Semaforo</w:t>
      </w:r>
    </w:p>
    <w:p w14:paraId="11EB3626" w14:textId="77777777" w:rsidR="00547CB1" w:rsidRPr="00547CB1" w:rsidRDefault="00547CB1" w:rsidP="00547CB1">
      <w:pPr>
        <w:rPr>
          <w:lang w:val="it-IT"/>
        </w:rPr>
      </w:pPr>
      <w:r w:rsidRPr="00547CB1">
        <w:rPr>
          <w:lang w:val="it-IT"/>
        </w:rPr>
        <w:t>▲</w:t>
      </w:r>
    </w:p>
    <w:p w14:paraId="078911F8" w14:textId="77777777" w:rsidR="00547CB1" w:rsidRPr="00547CB1" w:rsidRDefault="00547CB1" w:rsidP="00547CB1">
      <w:pPr>
        <w:rPr>
          <w:lang w:val="it-IT"/>
        </w:rPr>
      </w:pPr>
      <w:r w:rsidRPr="00547CB1">
        <w:rPr>
          <w:b/>
          <w:bCs/>
          <w:lang w:val="it-IT"/>
        </w:rPr>
        <w:t>[ MODULO 2: QUANTITATIVO ]</w:t>
      </w:r>
      <w:r w:rsidRPr="00547CB1">
        <w:rPr>
          <w:lang w:val="it-IT"/>
        </w:rPr>
        <w:t xml:space="preserve"> ──&gt; (Asset Risk) ──┘</w:t>
      </w:r>
    </w:p>
    <w:p w14:paraId="3083197B" w14:textId="77777777" w:rsidR="00547CB1" w:rsidRPr="00547CB1" w:rsidRDefault="00547CB1" w:rsidP="00547CB1">
      <w:pPr>
        <w:rPr>
          <w:b/>
          <w:bCs/>
          <w:lang w:val="it-IT"/>
        </w:rPr>
      </w:pPr>
      <w:r w:rsidRPr="00547CB1">
        <w:rPr>
          <w:b/>
          <w:bCs/>
          <w:lang w:val="it-IT"/>
        </w:rPr>
        <w:t>Modulo 1: Il Motore Qualitativo (Profilazione MiFID)</w:t>
      </w:r>
    </w:p>
    <w:p w14:paraId="30755AFA" w14:textId="77777777" w:rsidR="00547CB1" w:rsidRPr="00547CB1" w:rsidRDefault="00547CB1" w:rsidP="00547CB1">
      <w:pPr>
        <w:rPr>
          <w:lang w:val="it-IT"/>
        </w:rPr>
      </w:pPr>
      <w:r w:rsidRPr="00547CB1">
        <w:rPr>
          <w:lang w:val="it-IT"/>
        </w:rPr>
        <w:lastRenderedPageBreak/>
        <w:t>Modulo di profilazione basato su regole configurabili esternamente (file YAML). Raccoglie i dati sull'utente tramite un questionario a risposte chiuse e restituisce un punteggio sintetico d'adeguatezza (SRI Utente da 1 a 7).</w:t>
      </w:r>
    </w:p>
    <w:p w14:paraId="212FF3C0" w14:textId="77777777" w:rsidR="00547CB1" w:rsidRPr="00547CB1" w:rsidRDefault="00547CB1" w:rsidP="00547CB1">
      <w:pPr>
        <w:numPr>
          <w:ilvl w:val="0"/>
          <w:numId w:val="13"/>
        </w:numPr>
        <w:rPr>
          <w:lang w:val="en-US"/>
        </w:rPr>
      </w:pPr>
      <w:r w:rsidRPr="00547CB1">
        <w:rPr>
          <w:b/>
          <w:bCs/>
          <w:lang w:val="it-IT"/>
        </w:rPr>
        <w:t>Situazione Finanziaria (Peso 40-50%):</w:t>
      </w:r>
      <w:r w:rsidRPr="00547CB1">
        <w:rPr>
          <w:lang w:val="it-IT"/>
        </w:rPr>
        <w:t xml:space="preserve"> Capacità oggettiva di sostenere perdite (Reddito, Patrimonio, Debiti). </w:t>
      </w:r>
      <w:r w:rsidRPr="00547CB1">
        <w:rPr>
          <w:lang w:val="en-US"/>
        </w:rPr>
        <w:t xml:space="preserve">È la </w:t>
      </w:r>
      <w:proofErr w:type="spellStart"/>
      <w:r w:rsidRPr="00547CB1">
        <w:rPr>
          <w:lang w:val="en-US"/>
        </w:rPr>
        <w:t>metrica</w:t>
      </w:r>
      <w:proofErr w:type="spellEnd"/>
      <w:r w:rsidRPr="00547CB1">
        <w:rPr>
          <w:lang w:val="en-US"/>
        </w:rPr>
        <w:t xml:space="preserve"> </w:t>
      </w:r>
      <w:proofErr w:type="spellStart"/>
      <w:r w:rsidRPr="00547CB1">
        <w:rPr>
          <w:lang w:val="en-US"/>
        </w:rPr>
        <w:t>cardine</w:t>
      </w:r>
      <w:proofErr w:type="spellEnd"/>
      <w:r w:rsidRPr="00547CB1">
        <w:rPr>
          <w:lang w:val="en-US"/>
        </w:rPr>
        <w:t>.</w:t>
      </w:r>
    </w:p>
    <w:p w14:paraId="47A6D8CD" w14:textId="77777777" w:rsidR="00547CB1" w:rsidRPr="00547CB1" w:rsidRDefault="00547CB1" w:rsidP="00547CB1">
      <w:pPr>
        <w:numPr>
          <w:ilvl w:val="0"/>
          <w:numId w:val="13"/>
        </w:numPr>
        <w:rPr>
          <w:lang w:val="it-IT"/>
        </w:rPr>
      </w:pPr>
      <w:r w:rsidRPr="00547CB1">
        <w:rPr>
          <w:b/>
          <w:bCs/>
          <w:lang w:val="it-IT"/>
        </w:rPr>
        <w:t>Obiettivi &amp; Psicologia (Peso 30-40%):</w:t>
      </w:r>
      <w:r w:rsidRPr="00547CB1">
        <w:rPr>
          <w:lang w:val="it-IT"/>
        </w:rPr>
        <w:t xml:space="preserve"> Tolleranza al rischio, orizzonte temporale e reazione emotiva ai crolli di mercato.</w:t>
      </w:r>
    </w:p>
    <w:p w14:paraId="66D81852" w14:textId="77777777" w:rsidR="00547CB1" w:rsidRPr="00547CB1" w:rsidRDefault="00547CB1" w:rsidP="00547CB1">
      <w:pPr>
        <w:numPr>
          <w:ilvl w:val="0"/>
          <w:numId w:val="13"/>
        </w:numPr>
        <w:rPr>
          <w:lang w:val="it-IT"/>
        </w:rPr>
      </w:pPr>
      <w:r w:rsidRPr="00547CB1">
        <w:rPr>
          <w:b/>
          <w:bCs/>
          <w:lang w:val="it-IT"/>
        </w:rPr>
        <w:t>Esperienza (Peso 20%):</w:t>
      </w:r>
      <w:r w:rsidRPr="00547CB1">
        <w:rPr>
          <w:lang w:val="it-IT"/>
        </w:rPr>
        <w:t xml:space="preserve"> Conoscenza degli strumenti complessi e frequenza di trading.</w:t>
      </w:r>
    </w:p>
    <w:p w14:paraId="0B29F88E" w14:textId="77777777" w:rsidR="00547CB1" w:rsidRPr="00547CB1" w:rsidRDefault="00547CB1" w:rsidP="00547CB1">
      <w:pPr>
        <w:numPr>
          <w:ilvl w:val="0"/>
          <w:numId w:val="13"/>
        </w:numPr>
        <w:rPr>
          <w:lang w:val="it-IT"/>
        </w:rPr>
      </w:pPr>
      <w:r w:rsidRPr="00547CB1">
        <w:rPr>
          <w:b/>
          <w:bCs/>
          <w:lang w:val="it-IT"/>
        </w:rPr>
        <w:t>Capping Logic (Freno di Emergenza):</w:t>
      </w:r>
      <w:r w:rsidRPr="00547CB1">
        <w:rPr>
          <w:lang w:val="it-IT"/>
        </w:rPr>
        <w:t xml:space="preserve"> La realtà finanziaria prevale sull'emotività. Se il punteggio della "Situazione Finanziaria" indica una capacità di perdita minima, il profilo finale viene forzatamente limitato a "Prudente", annullando le risposte aggressive basate sulla sola propensione psicologica.</w:t>
      </w:r>
    </w:p>
    <w:p w14:paraId="64310F3D" w14:textId="77777777" w:rsidR="00547CB1" w:rsidRPr="00547CB1" w:rsidRDefault="00547CB1" w:rsidP="00547CB1">
      <w:pPr>
        <w:rPr>
          <w:b/>
          <w:bCs/>
          <w:lang w:val="it-IT"/>
        </w:rPr>
      </w:pPr>
      <w:r w:rsidRPr="00547CB1">
        <w:rPr>
          <w:b/>
          <w:bCs/>
          <w:lang w:val="it-IT"/>
        </w:rPr>
        <w:t>Modulo 2: Il Motore Quantitativo (Financial Analytics)</w:t>
      </w:r>
    </w:p>
    <w:p w14:paraId="49228514" w14:textId="77777777" w:rsidR="00547CB1" w:rsidRPr="00547CB1" w:rsidRDefault="00547CB1" w:rsidP="00547CB1">
      <w:pPr>
        <w:rPr>
          <w:lang w:val="it-IT"/>
        </w:rPr>
      </w:pPr>
      <w:r w:rsidRPr="00547CB1">
        <w:rPr>
          <w:lang w:val="it-IT"/>
        </w:rPr>
        <w:t>Calcola il rischio matematico reale delle attività finanziarie inserite dall'utente.</w:t>
      </w:r>
    </w:p>
    <w:p w14:paraId="4C583C03" w14:textId="77777777" w:rsidR="00547CB1" w:rsidRPr="00547CB1" w:rsidRDefault="00547CB1" w:rsidP="00547CB1">
      <w:pPr>
        <w:numPr>
          <w:ilvl w:val="0"/>
          <w:numId w:val="14"/>
        </w:numPr>
        <w:rPr>
          <w:lang w:val="it-IT"/>
        </w:rPr>
      </w:pPr>
      <w:r w:rsidRPr="00547CB1">
        <w:rPr>
          <w:b/>
          <w:bCs/>
          <w:lang w:val="it-IT"/>
        </w:rPr>
        <w:t>Data Sourcing:</w:t>
      </w:r>
      <w:r w:rsidRPr="00547CB1">
        <w:rPr>
          <w:lang w:val="it-IT"/>
        </w:rPr>
        <w:t xml:space="preserve"> Download automatico delle serie storiche dei prezzi (frequenza giornaliera a 3 o 5 anni) tramite API finanziarie e recupero del tasso Risk-Free.</w:t>
      </w:r>
    </w:p>
    <w:p w14:paraId="70032092" w14:textId="77777777" w:rsidR="00547CB1" w:rsidRPr="00547CB1" w:rsidRDefault="00547CB1" w:rsidP="00547CB1">
      <w:pPr>
        <w:numPr>
          <w:ilvl w:val="0"/>
          <w:numId w:val="14"/>
        </w:numPr>
        <w:rPr>
          <w:lang w:val="en-US"/>
        </w:rPr>
      </w:pPr>
      <w:r w:rsidRPr="00547CB1">
        <w:rPr>
          <w:b/>
          <w:bCs/>
          <w:lang w:val="en-US"/>
        </w:rPr>
        <w:t>Core Analytics:</w:t>
      </w:r>
    </w:p>
    <w:p w14:paraId="430566F1" w14:textId="21BEDAE6" w:rsidR="00547CB1" w:rsidRPr="00547CB1" w:rsidRDefault="00547CB1" w:rsidP="00547CB1">
      <w:pPr>
        <w:numPr>
          <w:ilvl w:val="1"/>
          <w:numId w:val="14"/>
        </w:numPr>
        <w:rPr>
          <w:lang w:val="it-IT"/>
        </w:rPr>
      </w:pPr>
      <w:r w:rsidRPr="00547CB1">
        <w:rPr>
          <w:lang w:val="it-IT"/>
        </w:rPr>
        <w:t xml:space="preserve">Conversione dei prezzi in rendimenti logaritmici: </w:t>
      </w:r>
      <m:oMath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R</m:t>
            </m:r>
          </m:e>
          <m:sub>
            <m:r>
              <w:rPr>
                <w:rFonts w:ascii="Cambria Math" w:hAnsi="Cambria Math"/>
                <w:lang w:val="en-US"/>
              </w:rPr>
              <m:t>t</m:t>
            </m:r>
          </m:sub>
        </m:sSub>
        <m:r>
          <w:rPr>
            <w:rFonts w:ascii="Cambria Math" w:hAnsi="Cambria Math"/>
            <w:lang w:val="it-IT"/>
          </w:rPr>
          <m:t>=</m:t>
        </m:r>
        <m:func>
          <m:funcPr>
            <m:ctrlPr>
              <w:rPr>
                <w:rFonts w:ascii="Cambria Math" w:hAnsi="Cambria Math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it-IT"/>
              </w:rPr>
              <m:t>ln</m:t>
            </m:r>
          </m:fName>
          <m:e>
            <m:d>
              <m:dPr>
                <m:ctrlPr>
                  <w:rPr>
                    <w:rFonts w:ascii="Cambria Math" w:hAnsi="Cambria Math"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t</m:t>
                    </m:r>
                  </m:sub>
                </m:sSub>
                <m:r>
                  <w:rPr>
                    <w:rFonts w:ascii="Cambria Math" w:hAnsi="Cambria Math"/>
                    <w:lang w:val="it-IT"/>
                  </w:rPr>
                  <m:t>/</m:t>
                </m:r>
                <m:sSub>
                  <m:sSubPr>
                    <m:ctrlPr>
                      <w:rPr>
                        <w:rFonts w:ascii="Cambria Math" w:hAnsi="Cambria Math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t</m:t>
                    </m:r>
                    <m:r>
                      <w:rPr>
                        <w:rFonts w:ascii="Cambria Math" w:hAnsi="Cambria Math"/>
                        <w:lang w:val="it-IT"/>
                      </w:rPr>
                      <m:t>-1</m:t>
                    </m:r>
                  </m:sub>
                </m:sSub>
              </m:e>
            </m:d>
          </m:e>
        </m:func>
      </m:oMath>
      <w:r w:rsidRPr="00547CB1">
        <w:rPr>
          <w:lang w:val="it-IT"/>
        </w:rPr>
        <w:t>.</w:t>
      </w:r>
    </w:p>
    <w:p w14:paraId="414B0697" w14:textId="0C73F2FF" w:rsidR="00547CB1" w:rsidRPr="00547CB1" w:rsidRDefault="00547CB1" w:rsidP="00547CB1">
      <w:pPr>
        <w:numPr>
          <w:ilvl w:val="1"/>
          <w:numId w:val="14"/>
        </w:numPr>
        <w:rPr>
          <w:lang w:val="it-IT"/>
        </w:rPr>
      </w:pPr>
      <w:r w:rsidRPr="00547CB1">
        <w:rPr>
          <w:lang w:val="it-IT"/>
        </w:rPr>
        <w:t>Calcolo della Matrice di Covarianza (</w:t>
      </w:r>
      <m:oMath>
        <m:r>
          <m:rPr>
            <m:sty m:val="p"/>
          </m:rPr>
          <w:rPr>
            <w:rFonts w:ascii="Cambria Math" w:hAnsi="Cambria Math"/>
            <w:lang w:val="en-US"/>
          </w:rPr>
          <m:t>Σ</m:t>
        </m:r>
      </m:oMath>
      <w:r w:rsidRPr="00547CB1">
        <w:rPr>
          <w:lang w:val="it-IT"/>
        </w:rPr>
        <w:t>) per misurare oggettivamente il beneficio della diversificazione.</w:t>
      </w:r>
    </w:p>
    <w:p w14:paraId="76489CEE" w14:textId="2A17BA5E" w:rsidR="00547CB1" w:rsidRPr="00547CB1" w:rsidRDefault="00547CB1" w:rsidP="00547CB1">
      <w:pPr>
        <w:numPr>
          <w:ilvl w:val="1"/>
          <w:numId w:val="14"/>
        </w:numPr>
        <w:rPr>
          <w:lang w:val="it-IT"/>
        </w:rPr>
      </w:pPr>
      <w:r w:rsidRPr="00547CB1">
        <w:rPr>
          <w:lang w:val="it-IT"/>
        </w:rPr>
        <w:t xml:space="preserve">Calcolo della Volatilità di Portafoglio annualizzata tramite algebra matriciale: </w:t>
      </w:r>
      <m:oMath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σ</m:t>
            </m:r>
          </m:e>
          <m:sub>
            <m:r>
              <w:rPr>
                <w:rFonts w:ascii="Cambria Math" w:hAnsi="Cambria Math"/>
                <w:lang w:val="en-US"/>
              </w:rPr>
              <m:t>p</m:t>
            </m:r>
          </m:sub>
        </m:sSub>
        <m:r>
          <w:rPr>
            <w:rFonts w:ascii="Cambria Math" w:hAnsi="Cambria Math"/>
            <w:lang w:val="it-IT"/>
          </w:rPr>
          <m:t>=</m:t>
        </m:r>
        <m:rad>
          <m:radPr>
            <m:degHide m:val="1"/>
            <m:ctrlPr>
              <w:rPr>
                <w:rFonts w:ascii="Cambria Math" w:hAnsi="Cambria Math"/>
                <w:lang w:val="en-US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W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T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lang w:val="en-US"/>
              </w:rPr>
              <m:t>Σ</m:t>
            </m:r>
            <m:r>
              <w:rPr>
                <w:rFonts w:ascii="Cambria Math" w:hAnsi="Cambria Math"/>
                <w:lang w:val="en-US"/>
              </w:rPr>
              <m:t>W</m:t>
            </m:r>
          </m:e>
        </m:rad>
      </m:oMath>
      <w:r w:rsidRPr="00547CB1">
        <w:rPr>
          <w:lang w:val="it-IT"/>
        </w:rPr>
        <w:t>.</w:t>
      </w:r>
    </w:p>
    <w:p w14:paraId="5AB93AA4" w14:textId="77777777" w:rsidR="00547CB1" w:rsidRPr="00547CB1" w:rsidRDefault="00547CB1" w:rsidP="00547CB1">
      <w:pPr>
        <w:numPr>
          <w:ilvl w:val="1"/>
          <w:numId w:val="14"/>
        </w:numPr>
        <w:rPr>
          <w:lang w:val="it-IT"/>
        </w:rPr>
      </w:pPr>
      <w:r w:rsidRPr="00547CB1">
        <w:rPr>
          <w:lang w:val="it-IT"/>
        </w:rPr>
        <w:t xml:space="preserve">Stima del </w:t>
      </w:r>
      <w:r w:rsidRPr="00547CB1">
        <w:rPr>
          <w:i/>
          <w:iCs/>
          <w:lang w:val="it-IT"/>
        </w:rPr>
        <w:t>Value at Risk (VaR)</w:t>
      </w:r>
      <w:r w:rsidRPr="00547CB1">
        <w:rPr>
          <w:lang w:val="it-IT"/>
        </w:rPr>
        <w:t xml:space="preserve"> parametrico al 95% di confidenza su base mensile e dell'Indice di Sortino.</w:t>
      </w:r>
    </w:p>
    <w:p w14:paraId="0F0B79E0" w14:textId="77777777" w:rsidR="00547CB1" w:rsidRPr="00547CB1" w:rsidRDefault="00547CB1" w:rsidP="00547CB1">
      <w:pPr>
        <w:rPr>
          <w:b/>
          <w:bCs/>
          <w:lang w:val="it-IT"/>
        </w:rPr>
      </w:pPr>
      <w:r w:rsidRPr="00547CB1">
        <w:rPr>
          <w:b/>
          <w:bCs/>
          <w:lang w:val="it-IT"/>
        </w:rPr>
        <w:t>Modulo 3: Il Matching Engine (Il Semaforo)</w:t>
      </w:r>
    </w:p>
    <w:p w14:paraId="464F471D" w14:textId="5DD4162C" w:rsidR="00547CB1" w:rsidRPr="00547CB1" w:rsidRDefault="00547CB1" w:rsidP="00547CB1">
      <w:pPr>
        <w:rPr>
          <w:lang w:val="it-IT"/>
        </w:rPr>
      </w:pPr>
      <w:r w:rsidRPr="00547CB1">
        <w:rPr>
          <w:lang w:val="it-IT"/>
        </w:rPr>
        <w:t>Il cuore logico dell'applicazione. Riceve i due output precedenti e li confronta calcolando il Delta continuo (</w:t>
      </w:r>
      <m:oMath>
        <m:r>
          <m:rPr>
            <m:sty m:val="p"/>
          </m:rPr>
          <w:rPr>
            <w:rFonts w:ascii="Cambria Math" w:hAnsi="Cambria Math"/>
            <w:lang w:val="en-US"/>
          </w:rPr>
          <m:t>Δ</m:t>
        </m:r>
        <m:r>
          <w:rPr>
            <w:rFonts w:ascii="Cambria Math" w:hAnsi="Cambria Math"/>
            <w:lang w:val="it-IT"/>
          </w:rPr>
          <m:t>=</m:t>
        </m:r>
        <m:r>
          <w:rPr>
            <w:rFonts w:ascii="Cambria Math" w:hAnsi="Cambria Math"/>
            <w:lang w:val="en-US"/>
          </w:rPr>
          <m:t>SR</m:t>
        </m:r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I</m:t>
            </m:r>
          </m:e>
          <m:sub>
            <m:r>
              <w:rPr>
                <w:rFonts w:ascii="Cambria Math" w:hAnsi="Cambria Math"/>
                <w:lang w:val="en-US"/>
              </w:rPr>
              <m:t>Portafoglio</m:t>
            </m:r>
          </m:sub>
        </m:sSub>
        <m:r>
          <w:rPr>
            <w:rFonts w:ascii="Cambria Math" w:hAnsi="Cambria Math"/>
            <w:lang w:val="it-IT"/>
          </w:rPr>
          <m:t>-</m:t>
        </m:r>
        <m:r>
          <w:rPr>
            <w:rFonts w:ascii="Cambria Math" w:hAnsi="Cambria Math"/>
            <w:lang w:val="en-US"/>
          </w:rPr>
          <m:t>SR</m:t>
        </m:r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I</m:t>
            </m:r>
          </m:e>
          <m:sub>
            <m:r>
              <w:rPr>
                <w:rFonts w:ascii="Cambria Math" w:hAnsi="Cambria Math"/>
                <w:lang w:val="en-US"/>
              </w:rPr>
              <m:t>Utente</m:t>
            </m:r>
          </m:sub>
        </m:sSub>
      </m:oMath>
      <w:r w:rsidRPr="00547CB1">
        <w:rPr>
          <w:lang w:val="it-IT"/>
        </w:rPr>
        <w:t>).</w:t>
      </w:r>
    </w:p>
    <w:p w14:paraId="6A67FAF9" w14:textId="77777777" w:rsidR="00547CB1" w:rsidRPr="00547CB1" w:rsidRDefault="00547CB1" w:rsidP="00547CB1">
      <w:pPr>
        <w:rPr>
          <w:lang w:val="it-IT"/>
        </w:rPr>
      </w:pPr>
      <w:r w:rsidRPr="00547CB1">
        <w:rPr>
          <w:lang w:val="it-IT"/>
        </w:rPr>
        <w:t xml:space="preserve">Inoltre, implementa un </w:t>
      </w:r>
      <w:r w:rsidRPr="00547CB1">
        <w:rPr>
          <w:b/>
          <w:bCs/>
          <w:lang w:val="it-IT"/>
        </w:rPr>
        <w:t>VaR Override</w:t>
      </w:r>
      <w:r w:rsidRPr="00547CB1">
        <w:rPr>
          <w:lang w:val="it-IT"/>
        </w:rPr>
        <w:t xml:space="preserve">: un controllo di sicurezza che confronta il </w:t>
      </w:r>
      <w:r w:rsidRPr="00547CB1">
        <w:rPr>
          <w:i/>
          <w:iCs/>
          <w:lang w:val="it-IT"/>
        </w:rPr>
        <w:t>Value at Risk</w:t>
      </w:r>
      <w:r w:rsidRPr="00547CB1">
        <w:rPr>
          <w:lang w:val="it-IT"/>
        </w:rPr>
        <w:t xml:space="preserve"> a 1 mese con la massima tolleranza alle perdite dichiarata dall'utente, inibendo scenari dove il rischio di breve termine supera la capacità di assorbimento.</w:t>
      </w:r>
    </w:p>
    <w:p w14:paraId="321421B0" w14:textId="77777777" w:rsidR="00547CB1" w:rsidRPr="00547CB1" w:rsidRDefault="00547CB1" w:rsidP="00547CB1">
      <w:pPr>
        <w:rPr>
          <w:lang w:val="en-US"/>
        </w:rPr>
      </w:pPr>
      <w:r w:rsidRPr="00547CB1">
        <w:rPr>
          <w:b/>
          <w:bCs/>
          <w:lang w:val="en-US"/>
        </w:rPr>
        <w:t xml:space="preserve">Scala di </w:t>
      </w:r>
      <w:proofErr w:type="spellStart"/>
      <w:r w:rsidRPr="00547CB1">
        <w:rPr>
          <w:b/>
          <w:bCs/>
          <w:lang w:val="en-US"/>
        </w:rPr>
        <w:t>Efficienza</w:t>
      </w:r>
      <w:proofErr w:type="spellEnd"/>
      <w:r w:rsidRPr="00547CB1">
        <w:rPr>
          <w:b/>
          <w:bCs/>
          <w:lang w:val="en-US"/>
        </w:rPr>
        <w:t xml:space="preserve"> </w:t>
      </w:r>
      <w:proofErr w:type="spellStart"/>
      <w:r w:rsidRPr="00547CB1">
        <w:rPr>
          <w:b/>
          <w:bCs/>
          <w:lang w:val="en-US"/>
        </w:rPr>
        <w:t>dell'Allocazione</w:t>
      </w:r>
      <w:proofErr w:type="spellEnd"/>
      <w:r w:rsidRPr="00547CB1">
        <w:rPr>
          <w:b/>
          <w:bCs/>
          <w:lang w:val="en-US"/>
        </w:rPr>
        <w:t>:</w:t>
      </w:r>
    </w:p>
    <w:p w14:paraId="495D20BF" w14:textId="611B4136" w:rsidR="00547CB1" w:rsidRPr="00547CB1" w:rsidRDefault="00547CB1" w:rsidP="00547CB1">
      <w:pPr>
        <w:numPr>
          <w:ilvl w:val="0"/>
          <w:numId w:val="15"/>
        </w:numPr>
        <w:rPr>
          <w:lang w:val="it-IT"/>
        </w:rPr>
      </w:pPr>
      <w:r w:rsidRPr="00547CB1">
        <w:rPr>
          <w:rFonts w:ascii="Segoe UI Emoji" w:hAnsi="Segoe UI Emoji" w:cs="Segoe UI Emoji"/>
          <w:lang w:val="en-US"/>
        </w:rPr>
        <w:t>🔵</w:t>
      </w:r>
      <w:r w:rsidRPr="00547CB1">
        <w:rPr>
          <w:lang w:val="it-IT"/>
        </w:rPr>
        <w:t xml:space="preserve"> </w:t>
      </w:r>
      <w:r w:rsidRPr="00547CB1">
        <w:rPr>
          <w:b/>
          <w:bCs/>
          <w:lang w:val="it-IT"/>
        </w:rPr>
        <w:t>BLU (Sotto-esposizione Severa):</w:t>
      </w:r>
      <w:r w:rsidRPr="00547CB1">
        <w:rPr>
          <w:lang w:val="it-IT"/>
        </w:rPr>
        <w:t xml:space="preserve"> </w:t>
      </w:r>
      <m:oMath>
        <m:r>
          <m:rPr>
            <m:sty m:val="p"/>
          </m:rPr>
          <w:rPr>
            <w:rFonts w:ascii="Cambria Math" w:hAnsi="Cambria Math"/>
            <w:lang w:val="en-US"/>
          </w:rPr>
          <m:t>Δ</m:t>
        </m:r>
        <m:r>
          <w:rPr>
            <w:rFonts w:ascii="Cambria Math" w:hAnsi="Cambria Math"/>
            <w:lang w:val="it-IT"/>
          </w:rPr>
          <m:t>≤-1.5</m:t>
        </m:r>
      </m:oMath>
    </w:p>
    <w:p w14:paraId="14BE27FD" w14:textId="77777777" w:rsidR="00547CB1" w:rsidRPr="00547CB1" w:rsidRDefault="00547CB1" w:rsidP="00547CB1">
      <w:pPr>
        <w:rPr>
          <w:lang w:val="it-IT"/>
        </w:rPr>
      </w:pPr>
      <w:r w:rsidRPr="00547CB1">
        <w:rPr>
          <w:i/>
          <w:iCs/>
          <w:lang w:val="it-IT"/>
        </w:rPr>
        <w:t>Il portafoglio è troppo conservativo. L'inflazione sta erodendo i rendimenti potenziali.</w:t>
      </w:r>
    </w:p>
    <w:p w14:paraId="5E10DE43" w14:textId="3175C424" w:rsidR="00547CB1" w:rsidRPr="00547CB1" w:rsidRDefault="00547CB1" w:rsidP="00547CB1">
      <w:pPr>
        <w:numPr>
          <w:ilvl w:val="0"/>
          <w:numId w:val="15"/>
        </w:numPr>
        <w:rPr>
          <w:lang w:val="it-IT"/>
        </w:rPr>
      </w:pPr>
      <w:r w:rsidRPr="00547CB1">
        <w:rPr>
          <w:rFonts w:ascii="Segoe UI Emoji" w:hAnsi="Segoe UI Emoji" w:cs="Segoe UI Emoji"/>
          <w:lang w:val="it-IT"/>
        </w:rPr>
        <w:t>⚪</w:t>
      </w:r>
      <w:r w:rsidRPr="00547CB1">
        <w:rPr>
          <w:lang w:val="it-IT"/>
        </w:rPr>
        <w:t xml:space="preserve"> </w:t>
      </w:r>
      <w:r w:rsidRPr="00547CB1">
        <w:rPr>
          <w:b/>
          <w:bCs/>
          <w:lang w:val="it-IT"/>
        </w:rPr>
        <w:t>GRIGIO (Sotto-esposizione Lieve):</w:t>
      </w:r>
      <w:r w:rsidRPr="00547CB1">
        <w:rPr>
          <w:lang w:val="it-IT"/>
        </w:rPr>
        <w:t xml:space="preserve"> </w:t>
      </w:r>
      <m:oMath>
        <m:r>
          <w:rPr>
            <w:rFonts w:ascii="Cambria Math" w:hAnsi="Cambria Math"/>
            <w:lang w:val="it-IT"/>
          </w:rPr>
          <m:t>-1.5&lt;</m:t>
        </m:r>
        <m:r>
          <m:rPr>
            <m:sty m:val="p"/>
          </m:rPr>
          <w:rPr>
            <w:rFonts w:ascii="Cambria Math" w:hAnsi="Cambria Math"/>
            <w:lang w:val="en-US"/>
          </w:rPr>
          <m:t>Δ</m:t>
        </m:r>
        <m:r>
          <w:rPr>
            <w:rFonts w:ascii="Cambria Math" w:hAnsi="Cambria Math"/>
            <w:lang w:val="it-IT"/>
          </w:rPr>
          <m:t>≤-0.5</m:t>
        </m:r>
      </m:oMath>
    </w:p>
    <w:p w14:paraId="482BA9E0" w14:textId="77777777" w:rsidR="00547CB1" w:rsidRPr="00547CB1" w:rsidRDefault="00547CB1" w:rsidP="00547CB1">
      <w:pPr>
        <w:rPr>
          <w:lang w:val="it-IT"/>
        </w:rPr>
      </w:pPr>
      <w:r w:rsidRPr="00547CB1">
        <w:rPr>
          <w:i/>
          <w:iCs/>
          <w:lang w:val="it-IT"/>
        </w:rPr>
        <w:t>Portafoglio difensivo. Ottimo per la tranquillità, ma sub-ottimale per la crescita.</w:t>
      </w:r>
    </w:p>
    <w:p w14:paraId="4E20C1AD" w14:textId="362D90FE" w:rsidR="00547CB1" w:rsidRPr="00547CB1" w:rsidRDefault="00547CB1" w:rsidP="00547CB1">
      <w:pPr>
        <w:numPr>
          <w:ilvl w:val="0"/>
          <w:numId w:val="15"/>
        </w:numPr>
        <w:rPr>
          <w:lang w:val="it-IT"/>
        </w:rPr>
      </w:pPr>
      <w:r w:rsidRPr="00547CB1">
        <w:rPr>
          <w:rFonts w:ascii="Segoe UI Emoji" w:hAnsi="Segoe UI Emoji" w:cs="Segoe UI Emoji"/>
          <w:lang w:val="en-US"/>
        </w:rPr>
        <w:t>🟢</w:t>
      </w:r>
      <w:r w:rsidRPr="00547CB1">
        <w:rPr>
          <w:lang w:val="it-IT"/>
        </w:rPr>
        <w:t xml:space="preserve"> </w:t>
      </w:r>
      <w:r w:rsidRPr="00547CB1">
        <w:rPr>
          <w:b/>
          <w:bCs/>
          <w:lang w:val="it-IT"/>
        </w:rPr>
        <w:t>VERDE (Perfettamente Allineato):</w:t>
      </w:r>
      <w:r w:rsidRPr="00547CB1">
        <w:rPr>
          <w:lang w:val="it-IT"/>
        </w:rPr>
        <w:t xml:space="preserve"> </w:t>
      </w:r>
      <m:oMath>
        <m:r>
          <w:rPr>
            <w:rFonts w:ascii="Cambria Math" w:hAnsi="Cambria Math"/>
            <w:lang w:val="it-IT"/>
          </w:rPr>
          <m:t>-0.5&lt;</m:t>
        </m:r>
        <m:r>
          <m:rPr>
            <m:sty m:val="p"/>
          </m:rPr>
          <w:rPr>
            <w:rFonts w:ascii="Cambria Math" w:hAnsi="Cambria Math"/>
            <w:lang w:val="en-US"/>
          </w:rPr>
          <m:t>Δ</m:t>
        </m:r>
        <m:r>
          <w:rPr>
            <w:rFonts w:ascii="Cambria Math" w:hAnsi="Cambria Math"/>
            <w:lang w:val="it-IT"/>
          </w:rPr>
          <m:t>≤+0.5</m:t>
        </m:r>
      </m:oMath>
    </w:p>
    <w:p w14:paraId="59B2F8BE" w14:textId="77777777" w:rsidR="00547CB1" w:rsidRPr="00547CB1" w:rsidRDefault="00547CB1" w:rsidP="00547CB1">
      <w:pPr>
        <w:rPr>
          <w:lang w:val="it-IT"/>
        </w:rPr>
      </w:pPr>
      <w:r w:rsidRPr="00547CB1">
        <w:rPr>
          <w:i/>
          <w:iCs/>
          <w:lang w:val="it-IT"/>
        </w:rPr>
        <w:t>Il "Sweet spot". Rischio matematico e profilo psicologico-finanziario sono in perfetta armonia.</w:t>
      </w:r>
    </w:p>
    <w:p w14:paraId="41FD6445" w14:textId="7F43B0FA" w:rsidR="00547CB1" w:rsidRPr="00547CB1" w:rsidRDefault="00547CB1" w:rsidP="00547CB1">
      <w:pPr>
        <w:numPr>
          <w:ilvl w:val="0"/>
          <w:numId w:val="15"/>
        </w:numPr>
        <w:rPr>
          <w:lang w:val="it-IT"/>
        </w:rPr>
      </w:pPr>
      <w:r w:rsidRPr="00547CB1">
        <w:rPr>
          <w:rFonts w:ascii="Segoe UI Emoji" w:hAnsi="Segoe UI Emoji" w:cs="Segoe UI Emoji"/>
          <w:lang w:val="en-US"/>
        </w:rPr>
        <w:t>🟡</w:t>
      </w:r>
      <w:r w:rsidRPr="00547CB1">
        <w:rPr>
          <w:lang w:val="it-IT"/>
        </w:rPr>
        <w:t xml:space="preserve"> </w:t>
      </w:r>
      <w:r w:rsidRPr="00547CB1">
        <w:rPr>
          <w:b/>
          <w:bCs/>
          <w:lang w:val="it-IT"/>
        </w:rPr>
        <w:t>GIALLO (Sovra-esposizione Lieve):</w:t>
      </w:r>
      <w:r w:rsidRPr="00547CB1">
        <w:rPr>
          <w:lang w:val="it-IT"/>
        </w:rPr>
        <w:t xml:space="preserve"> </w:t>
      </w:r>
      <m:oMath>
        <m:r>
          <w:rPr>
            <w:rFonts w:ascii="Cambria Math" w:hAnsi="Cambria Math"/>
            <w:lang w:val="it-IT"/>
          </w:rPr>
          <m:t>+0.5&lt;</m:t>
        </m:r>
        <m:r>
          <m:rPr>
            <m:sty m:val="p"/>
          </m:rPr>
          <w:rPr>
            <w:rFonts w:ascii="Cambria Math" w:hAnsi="Cambria Math"/>
            <w:lang w:val="en-US"/>
          </w:rPr>
          <m:t>Δ</m:t>
        </m:r>
        <m:r>
          <w:rPr>
            <w:rFonts w:ascii="Cambria Math" w:hAnsi="Cambria Math"/>
            <w:lang w:val="it-IT"/>
          </w:rPr>
          <m:t>≤+1.5</m:t>
        </m:r>
      </m:oMath>
    </w:p>
    <w:p w14:paraId="30FC7D57" w14:textId="77777777" w:rsidR="00547CB1" w:rsidRPr="00547CB1" w:rsidRDefault="00547CB1" w:rsidP="00547CB1">
      <w:pPr>
        <w:rPr>
          <w:lang w:val="it-IT"/>
        </w:rPr>
      </w:pPr>
      <w:r w:rsidRPr="00547CB1">
        <w:rPr>
          <w:i/>
          <w:iCs/>
          <w:lang w:val="it-IT"/>
        </w:rPr>
        <w:t>Rischio leggermente superiore al profilo. Allerta per possibili oscillazioni fastidiose.</w:t>
      </w:r>
    </w:p>
    <w:p w14:paraId="61613703" w14:textId="208DF75B" w:rsidR="00547CB1" w:rsidRPr="00547CB1" w:rsidRDefault="00547CB1" w:rsidP="00547CB1">
      <w:pPr>
        <w:numPr>
          <w:ilvl w:val="0"/>
          <w:numId w:val="15"/>
        </w:numPr>
        <w:rPr>
          <w:lang w:val="it-IT"/>
        </w:rPr>
      </w:pPr>
      <w:r w:rsidRPr="00547CB1">
        <w:rPr>
          <w:rFonts w:ascii="Segoe UI Emoji" w:hAnsi="Segoe UI Emoji" w:cs="Segoe UI Emoji"/>
          <w:lang w:val="en-US"/>
        </w:rPr>
        <w:t>🔴</w:t>
      </w:r>
      <w:r w:rsidRPr="00547CB1">
        <w:rPr>
          <w:lang w:val="it-IT"/>
        </w:rPr>
        <w:t xml:space="preserve"> </w:t>
      </w:r>
      <w:r w:rsidRPr="00547CB1">
        <w:rPr>
          <w:b/>
          <w:bCs/>
          <w:lang w:val="it-IT"/>
        </w:rPr>
        <w:t>ROSSO (Sovra-esposizione Critica):</w:t>
      </w:r>
      <w:r w:rsidRPr="00547CB1">
        <w:rPr>
          <w:lang w:val="it-IT"/>
        </w:rPr>
        <w:t xml:space="preserve"> </w:t>
      </w:r>
      <m:oMath>
        <m:r>
          <m:rPr>
            <m:sty m:val="p"/>
          </m:rPr>
          <w:rPr>
            <w:rFonts w:ascii="Cambria Math" w:hAnsi="Cambria Math"/>
            <w:lang w:val="en-US"/>
          </w:rPr>
          <m:t>Δ</m:t>
        </m:r>
        <m:r>
          <w:rPr>
            <w:rFonts w:ascii="Cambria Math" w:hAnsi="Cambria Math"/>
            <w:lang w:val="it-IT"/>
          </w:rPr>
          <m:t>&gt;+1.5</m:t>
        </m:r>
      </m:oMath>
    </w:p>
    <w:p w14:paraId="69886812" w14:textId="77777777" w:rsidR="00547CB1" w:rsidRPr="00547CB1" w:rsidRDefault="00547CB1" w:rsidP="00547CB1">
      <w:pPr>
        <w:rPr>
          <w:lang w:val="it-IT"/>
        </w:rPr>
      </w:pPr>
      <w:r w:rsidRPr="00547CB1">
        <w:rPr>
          <w:i/>
          <w:iCs/>
          <w:lang w:val="it-IT"/>
        </w:rPr>
        <w:t>Pericolo. Rischio incompatibile con la tolleranza dell'utente. Necessario ribilanciamento.</w:t>
      </w:r>
    </w:p>
    <w:p w14:paraId="310D6FA7" w14:textId="77777777" w:rsidR="00547CB1" w:rsidRPr="00547CB1" w:rsidRDefault="00547CB1" w:rsidP="00547CB1">
      <w:pPr>
        <w:pStyle w:val="Heading2"/>
        <w:rPr>
          <w:lang w:val="it-IT"/>
        </w:rPr>
      </w:pPr>
      <w:r w:rsidRPr="00547CB1">
        <w:rPr>
          <w:lang w:val="it-IT"/>
        </w:rPr>
        <w:lastRenderedPageBreak/>
        <w:t>3. Limiti Attuali e Aree di Sviluppo (Roadmap)</w:t>
      </w:r>
    </w:p>
    <w:p w14:paraId="6B812FD5" w14:textId="77777777" w:rsidR="00547CB1" w:rsidRPr="00547CB1" w:rsidRDefault="00547CB1" w:rsidP="00547CB1">
      <w:pPr>
        <w:rPr>
          <w:lang w:val="it-IT"/>
        </w:rPr>
      </w:pPr>
      <w:r w:rsidRPr="00547CB1">
        <w:rPr>
          <w:lang w:val="it-IT"/>
        </w:rPr>
        <w:t>Trattandosi di un modello algoritmico, il prototipo presenta alcune limitazioni strutturali e statistiche che definiscono la roadmap degli sviluppi futuri:</w:t>
      </w:r>
    </w:p>
    <w:p w14:paraId="5614FA3C" w14:textId="77777777" w:rsidR="00547CB1" w:rsidRPr="00547CB1" w:rsidRDefault="00547CB1" w:rsidP="00547CB1">
      <w:pPr>
        <w:rPr>
          <w:lang w:val="en-US"/>
        </w:rPr>
      </w:pPr>
      <w:proofErr w:type="spellStart"/>
      <w:r w:rsidRPr="00547CB1">
        <w:rPr>
          <w:b/>
          <w:bCs/>
          <w:lang w:val="en-US"/>
        </w:rPr>
        <w:t>Limiti</w:t>
      </w:r>
      <w:proofErr w:type="spellEnd"/>
      <w:r w:rsidRPr="00547CB1">
        <w:rPr>
          <w:b/>
          <w:bCs/>
          <w:lang w:val="en-US"/>
        </w:rPr>
        <w:t xml:space="preserve"> del </w:t>
      </w:r>
      <w:proofErr w:type="spellStart"/>
      <w:r w:rsidRPr="00547CB1">
        <w:rPr>
          <w:b/>
          <w:bCs/>
          <w:lang w:val="en-US"/>
        </w:rPr>
        <w:t>Modello</w:t>
      </w:r>
      <w:proofErr w:type="spellEnd"/>
      <w:r w:rsidRPr="00547CB1">
        <w:rPr>
          <w:b/>
          <w:bCs/>
          <w:lang w:val="en-US"/>
        </w:rPr>
        <w:t xml:space="preserve"> </w:t>
      </w:r>
      <w:proofErr w:type="spellStart"/>
      <w:r w:rsidRPr="00547CB1">
        <w:rPr>
          <w:b/>
          <w:bCs/>
          <w:lang w:val="en-US"/>
        </w:rPr>
        <w:t>Attuale</w:t>
      </w:r>
      <w:proofErr w:type="spellEnd"/>
    </w:p>
    <w:p w14:paraId="7DD0B360" w14:textId="77777777" w:rsidR="00547CB1" w:rsidRPr="00547CB1" w:rsidRDefault="00547CB1" w:rsidP="00547CB1">
      <w:pPr>
        <w:numPr>
          <w:ilvl w:val="0"/>
          <w:numId w:val="16"/>
        </w:numPr>
        <w:rPr>
          <w:lang w:val="it-IT"/>
        </w:rPr>
      </w:pPr>
      <w:r w:rsidRPr="00547CB1">
        <w:rPr>
          <w:b/>
          <w:bCs/>
          <w:lang w:val="it-IT"/>
        </w:rPr>
        <w:t>Limiti statistici (Assunzione di Normalità):</w:t>
      </w:r>
      <w:r w:rsidRPr="00547CB1">
        <w:rPr>
          <w:lang w:val="it-IT"/>
        </w:rPr>
        <w:t xml:space="preserve"> Il calcolo del VaR parametrico assume una distribuzione Normale dei rendimenti. Nella realtà, i mercati presentano "code grasse" (fat tails); il modello tende quindi a sottostimare la frequenza degli eventi estremi ("Cigni Neri").</w:t>
      </w:r>
    </w:p>
    <w:p w14:paraId="4A7E5313" w14:textId="77777777" w:rsidR="00547CB1" w:rsidRPr="00547CB1" w:rsidRDefault="00547CB1" w:rsidP="00547CB1">
      <w:pPr>
        <w:numPr>
          <w:ilvl w:val="0"/>
          <w:numId w:val="16"/>
        </w:numPr>
        <w:rPr>
          <w:lang w:val="it-IT"/>
        </w:rPr>
      </w:pPr>
      <w:r w:rsidRPr="00547CB1">
        <w:rPr>
          <w:b/>
          <w:bCs/>
          <w:lang w:val="it-IT"/>
        </w:rPr>
        <w:t>Instabilità delle Correlazioni Storiche:</w:t>
      </w:r>
      <w:r w:rsidRPr="00547CB1">
        <w:rPr>
          <w:lang w:val="it-IT"/>
        </w:rPr>
        <w:t xml:space="preserve"> Il rischio si basa su una finestra temporale fissa. Durante gli shock sistemici, la correlazione tra diverse asset class tende a convergere verso 1, annullando temporaneamente il "beneficio della diversificazione".</w:t>
      </w:r>
    </w:p>
    <w:p w14:paraId="6B45DAA3" w14:textId="77777777" w:rsidR="00547CB1" w:rsidRPr="00547CB1" w:rsidRDefault="00547CB1" w:rsidP="00547CB1">
      <w:pPr>
        <w:numPr>
          <w:ilvl w:val="0"/>
          <w:numId w:val="16"/>
        </w:numPr>
        <w:rPr>
          <w:lang w:val="it-IT"/>
        </w:rPr>
      </w:pPr>
      <w:r w:rsidRPr="00547CB1">
        <w:rPr>
          <w:b/>
          <w:bCs/>
          <w:lang w:val="it-IT"/>
        </w:rPr>
        <w:t>Frizione Operativa (Data Entry):</w:t>
      </w:r>
      <w:r w:rsidRPr="00547CB1">
        <w:rPr>
          <w:lang w:val="it-IT"/>
        </w:rPr>
        <w:t xml:space="preserve"> L'inserimento manuale o via CSV è soggetto a errori e rapida obsolescenza in caso di movimenti di mercato.</w:t>
      </w:r>
    </w:p>
    <w:p w14:paraId="71E19E24" w14:textId="77777777" w:rsidR="00547CB1" w:rsidRPr="00547CB1" w:rsidRDefault="00547CB1" w:rsidP="00547CB1">
      <w:pPr>
        <w:rPr>
          <w:lang w:val="en-US"/>
        </w:rPr>
      </w:pPr>
      <w:r w:rsidRPr="00547CB1">
        <w:rPr>
          <w:b/>
          <w:bCs/>
          <w:lang w:val="en-US"/>
        </w:rPr>
        <w:t>Next Steps &amp; To-Do List</w:t>
      </w:r>
    </w:p>
    <w:p w14:paraId="777CBFE3" w14:textId="77777777" w:rsidR="00547CB1" w:rsidRPr="00547CB1" w:rsidRDefault="00547CB1" w:rsidP="00547CB1">
      <w:pPr>
        <w:numPr>
          <w:ilvl w:val="0"/>
          <w:numId w:val="17"/>
        </w:numPr>
        <w:rPr>
          <w:lang w:val="it-IT"/>
        </w:rPr>
      </w:pPr>
      <w:r w:rsidRPr="00547CB1">
        <w:rPr>
          <w:b/>
          <w:bCs/>
          <w:lang w:val="it-IT"/>
        </w:rPr>
        <w:t>Breve Termine (UX e Performance):</w:t>
      </w:r>
      <w:r w:rsidRPr="00547CB1">
        <w:rPr>
          <w:lang w:val="it-IT"/>
        </w:rPr>
        <w:t xml:space="preserve"> Implementare il caching dei dati (@st.cache_data) per evitare chiamate API ridondanti; inserire l'esportazione del report in formato PDF; integrare il calcolo del Rischio Valutario (FX Risk).</w:t>
      </w:r>
    </w:p>
    <w:p w14:paraId="07DA6E90" w14:textId="77777777" w:rsidR="00547CB1" w:rsidRPr="00547CB1" w:rsidRDefault="00547CB1" w:rsidP="00547CB1">
      <w:pPr>
        <w:numPr>
          <w:ilvl w:val="0"/>
          <w:numId w:val="17"/>
        </w:numPr>
        <w:rPr>
          <w:lang w:val="it-IT"/>
        </w:rPr>
      </w:pPr>
      <w:r w:rsidRPr="00547CB1">
        <w:rPr>
          <w:b/>
          <w:bCs/>
          <w:lang w:val="it-IT"/>
        </w:rPr>
        <w:t>Medio Termine (Analytics):</w:t>
      </w:r>
      <w:r w:rsidRPr="00547CB1">
        <w:rPr>
          <w:lang w:val="it-IT"/>
        </w:rPr>
        <w:t xml:space="preserve"> Evoluzione del VaR verso modelli Storici o simulazioni Monte Carlo; implementazione della volatilità dinamica (EWMA) per dare maggior peso agli eventi di mercato recenti.</w:t>
      </w:r>
    </w:p>
    <w:p w14:paraId="61D050F8" w14:textId="77777777" w:rsidR="00547CB1" w:rsidRPr="00547CB1" w:rsidRDefault="00547CB1" w:rsidP="00547CB1">
      <w:pPr>
        <w:numPr>
          <w:ilvl w:val="0"/>
          <w:numId w:val="17"/>
        </w:numPr>
        <w:rPr>
          <w:lang w:val="it-IT"/>
        </w:rPr>
      </w:pPr>
      <w:r w:rsidRPr="00547CB1">
        <w:rPr>
          <w:b/>
          <w:bCs/>
          <w:lang w:val="it-IT"/>
        </w:rPr>
        <w:t>Lungo Termine (Infrastruttura):</w:t>
      </w:r>
      <w:r w:rsidRPr="00547CB1">
        <w:rPr>
          <w:lang w:val="it-IT"/>
        </w:rPr>
        <w:t xml:space="preserve"> Integrazione via API con piattaforme bancarie (PSD2/Open Banking) per la sincronizzazione automatica delle posizioni; deployment definitivo su cloud scalabile via Docker.</w:t>
      </w:r>
    </w:p>
    <w:p w14:paraId="0FBF1EF3" w14:textId="77777777" w:rsidR="00547CB1" w:rsidRPr="00547CB1" w:rsidRDefault="00547CB1" w:rsidP="00547CB1">
      <w:pPr>
        <w:pStyle w:val="Heading2"/>
        <w:rPr>
          <w:lang w:val="it-IT"/>
        </w:rPr>
      </w:pPr>
      <w:r w:rsidRPr="00547CB1">
        <w:rPr>
          <w:lang w:val="it-IT"/>
        </w:rPr>
        <w:t>4. Stack Tecnologico</w:t>
      </w:r>
    </w:p>
    <w:p w14:paraId="3213167D" w14:textId="77777777" w:rsidR="00547CB1" w:rsidRPr="00547CB1" w:rsidRDefault="00547CB1" w:rsidP="00547CB1">
      <w:pPr>
        <w:rPr>
          <w:lang w:val="it-IT"/>
        </w:rPr>
      </w:pPr>
      <w:r w:rsidRPr="00547CB1">
        <w:rPr>
          <w:lang w:val="it-IT"/>
        </w:rPr>
        <w:t>Per massimizzare l'efficienza, la modularità e le capacità analitiche, lo stack è puramente Python-centric:</w:t>
      </w:r>
    </w:p>
    <w:p w14:paraId="21527475" w14:textId="77777777" w:rsidR="00547CB1" w:rsidRPr="00547CB1" w:rsidRDefault="00547CB1" w:rsidP="00547CB1">
      <w:pPr>
        <w:numPr>
          <w:ilvl w:val="0"/>
          <w:numId w:val="18"/>
        </w:numPr>
        <w:rPr>
          <w:lang w:val="it-IT"/>
        </w:rPr>
      </w:pPr>
      <w:r w:rsidRPr="00547CB1">
        <w:rPr>
          <w:b/>
          <w:bCs/>
          <w:lang w:val="it-IT"/>
        </w:rPr>
        <w:t>Backend &amp; Calcolo:</w:t>
      </w:r>
      <w:r w:rsidRPr="00547CB1">
        <w:rPr>
          <w:lang w:val="it-IT"/>
        </w:rPr>
        <w:t xml:space="preserve"> Python 3.11+, sfruttando Pandas (gestione serie storiche), NumPy (algebra matriciale), e SciPy (statistica).</w:t>
      </w:r>
    </w:p>
    <w:p w14:paraId="734A6512" w14:textId="77777777" w:rsidR="00547CB1" w:rsidRPr="00547CB1" w:rsidRDefault="00547CB1" w:rsidP="00547CB1">
      <w:pPr>
        <w:numPr>
          <w:ilvl w:val="0"/>
          <w:numId w:val="18"/>
        </w:numPr>
        <w:rPr>
          <w:lang w:val="en-US"/>
        </w:rPr>
      </w:pPr>
      <w:r w:rsidRPr="00547CB1">
        <w:rPr>
          <w:b/>
          <w:bCs/>
          <w:lang w:val="en-US"/>
        </w:rPr>
        <w:t>Data Sourcing:</w:t>
      </w:r>
      <w:r w:rsidRPr="00547CB1">
        <w:rPr>
          <w:lang w:val="en-US"/>
        </w:rPr>
        <w:t xml:space="preserve"> API </w:t>
      </w:r>
      <w:proofErr w:type="spellStart"/>
      <w:r w:rsidRPr="00547CB1">
        <w:rPr>
          <w:lang w:val="en-US"/>
        </w:rPr>
        <w:t>yfinance</w:t>
      </w:r>
      <w:proofErr w:type="spellEnd"/>
      <w:r w:rsidRPr="00547CB1">
        <w:rPr>
          <w:lang w:val="en-US"/>
        </w:rPr>
        <w:t xml:space="preserve"> (o </w:t>
      </w:r>
      <w:proofErr w:type="spellStart"/>
      <w:r w:rsidRPr="00547CB1">
        <w:rPr>
          <w:lang w:val="en-US"/>
        </w:rPr>
        <w:t>equivalenti</w:t>
      </w:r>
      <w:proofErr w:type="spellEnd"/>
      <w:r w:rsidRPr="00547CB1">
        <w:rPr>
          <w:lang w:val="en-US"/>
        </w:rPr>
        <w:t xml:space="preserve"> come </w:t>
      </w:r>
      <w:proofErr w:type="spellStart"/>
      <w:r w:rsidRPr="00547CB1">
        <w:rPr>
          <w:lang w:val="en-US"/>
        </w:rPr>
        <w:t>AlphaVantage</w:t>
      </w:r>
      <w:proofErr w:type="spellEnd"/>
      <w:r w:rsidRPr="00547CB1">
        <w:rPr>
          <w:lang w:val="en-US"/>
        </w:rPr>
        <w:t>).</w:t>
      </w:r>
    </w:p>
    <w:p w14:paraId="08146911" w14:textId="77777777" w:rsidR="00547CB1" w:rsidRPr="00547CB1" w:rsidRDefault="00547CB1" w:rsidP="00547CB1">
      <w:pPr>
        <w:numPr>
          <w:ilvl w:val="0"/>
          <w:numId w:val="18"/>
        </w:numPr>
        <w:rPr>
          <w:lang w:val="it-IT"/>
        </w:rPr>
      </w:pPr>
      <w:r w:rsidRPr="00547CB1">
        <w:rPr>
          <w:b/>
          <w:bCs/>
          <w:lang w:val="it-IT"/>
        </w:rPr>
        <w:t>Interfaccia Utente (UI):</w:t>
      </w:r>
      <w:r w:rsidRPr="00547CB1">
        <w:rPr>
          <w:lang w:val="it-IT"/>
        </w:rPr>
        <w:t xml:space="preserve"> Streamlit, per la creazione rapida di web-app interattive e dashboard analitiche.</w:t>
      </w:r>
    </w:p>
    <w:p w14:paraId="120F58AB" w14:textId="77777777" w:rsidR="00547CB1" w:rsidRPr="00547CB1" w:rsidRDefault="00547CB1" w:rsidP="00547CB1">
      <w:pPr>
        <w:rPr>
          <w:b/>
          <w:bCs/>
          <w:lang w:val="it-IT"/>
        </w:rPr>
      </w:pPr>
      <w:r w:rsidRPr="00547CB1">
        <w:rPr>
          <w:b/>
          <w:bCs/>
          <w:lang w:val="it-IT"/>
        </w:rPr>
        <w:t>5. Appendice Tecnica (Dietro le quinte)</w:t>
      </w:r>
    </w:p>
    <w:p w14:paraId="71C94107" w14:textId="77777777" w:rsidR="00547CB1" w:rsidRPr="00547CB1" w:rsidRDefault="00547CB1" w:rsidP="00547CB1">
      <w:pPr>
        <w:rPr>
          <w:lang w:val="it-IT"/>
        </w:rPr>
      </w:pPr>
      <w:r w:rsidRPr="00547CB1">
        <w:rPr>
          <w:lang w:val="it-IT"/>
        </w:rPr>
        <w:t>Questa sezione documenta le soluzioni ingegneristiche adottate per risolvere sfide specifiche di data science nel backend.</w:t>
      </w:r>
    </w:p>
    <w:p w14:paraId="50D0B07D" w14:textId="77777777" w:rsidR="00547CB1" w:rsidRPr="00547CB1" w:rsidRDefault="00547CB1" w:rsidP="00547CB1">
      <w:pPr>
        <w:numPr>
          <w:ilvl w:val="0"/>
          <w:numId w:val="19"/>
        </w:numPr>
        <w:rPr>
          <w:lang w:val="it-IT"/>
        </w:rPr>
      </w:pPr>
      <w:r w:rsidRPr="00547CB1">
        <w:rPr>
          <w:b/>
          <w:bCs/>
          <w:lang w:val="it-IT"/>
        </w:rPr>
        <w:t>Gestione del Data Alignment:</w:t>
      </w:r>
      <w:r w:rsidRPr="00547CB1">
        <w:rPr>
          <w:lang w:val="it-IT"/>
        </w:rPr>
        <w:t xml:space="preserve"> Nella funzione compute_portfolio_volatility, l'istruzione weights = np.array([weight_dict[col] for col in columns]) risolve dinamicamente i disallineamenti. Se i pesi in input non rispettano l'ordine alfabetico delle colonne restituito dall'API di mercato, la logica riordina l'array per garantire che la moltiplicazione matriciale avvenga tra i fattori corretti.</w:t>
      </w:r>
    </w:p>
    <w:p w14:paraId="710F8A7E" w14:textId="77777777" w:rsidR="00547CB1" w:rsidRPr="00547CB1" w:rsidRDefault="00547CB1" w:rsidP="00547CB1">
      <w:pPr>
        <w:numPr>
          <w:ilvl w:val="0"/>
          <w:numId w:val="19"/>
        </w:numPr>
        <w:rPr>
          <w:lang w:val="it-IT"/>
        </w:rPr>
      </w:pPr>
      <w:r w:rsidRPr="00547CB1">
        <w:rPr>
          <w:b/>
          <w:bCs/>
          <w:lang w:val="it-IT"/>
        </w:rPr>
        <w:t>Trattamento dei dati mancanti e festività:</w:t>
      </w:r>
      <w:r w:rsidRPr="00547CB1">
        <w:rPr>
          <w:lang w:val="it-IT"/>
        </w:rPr>
        <w:t xml:space="preserve"> Le criptovalute quotano 365 giorni l'anno, mentre le borse tradizionali chiudono nei weekend e nei festivi, generando valori nulli </w:t>
      </w:r>
      <w:r w:rsidRPr="00547CB1">
        <w:rPr>
          <w:lang w:val="it-IT"/>
        </w:rPr>
        <w:lastRenderedPageBreak/>
        <w:t>(NaN) nel dataset unificato. L'utilizzo combinato del metodo dropna(how='all') (per scartare i ticker delistati/errati) e del metodo ffill() (Forward Fill) permette di assumere che i prezzi delle azioni restino fermi all'ultima chiusura nota, preservando lo storico del Bitcoin senza distorcere la matrice di covarianza.</w:t>
      </w:r>
    </w:p>
    <w:p w14:paraId="7C40F0DE" w14:textId="5BEA7F2A" w:rsidR="00547CB1" w:rsidRPr="00547CB1" w:rsidRDefault="00547CB1" w:rsidP="00547CB1">
      <w:pPr>
        <w:numPr>
          <w:ilvl w:val="0"/>
          <w:numId w:val="19"/>
        </w:numPr>
        <w:rPr>
          <w:lang w:val="it-IT"/>
        </w:rPr>
      </w:pPr>
      <w:r w:rsidRPr="00547CB1">
        <w:rPr>
          <w:b/>
          <w:bCs/>
          <w:lang w:val="it-IT"/>
        </w:rPr>
        <w:t>UX/UI Data Flow a prova di errore:</w:t>
      </w:r>
      <w:r w:rsidRPr="00547CB1">
        <w:rPr>
          <w:lang w:val="it-IT"/>
        </w:rPr>
        <w:t xml:space="preserve"> L'interfaccia non richiede all'utente di calcolare le percentuali a mente. L'utente inserisce i ticker e il valore assoluto in euro. Streamlit somma automaticamente i valori, calcola il controvalore totale e divide ciascun asset per il totale per derivare i pesi esatti (</w:t>
      </w:r>
      <m:oMath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w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</m:oMath>
      <w:r w:rsidRPr="00547CB1">
        <w:rPr>
          <w:lang w:val="it-IT"/>
        </w:rPr>
        <w:t>), passando al motore quantitativo somme che eguagliano sempre matematicamente il 100%.</w:t>
      </w:r>
    </w:p>
    <w:p w14:paraId="62656078" w14:textId="77777777" w:rsidR="00547CB1" w:rsidRPr="00547CB1" w:rsidRDefault="00547CB1" w:rsidP="00547CB1">
      <w:pPr>
        <w:numPr>
          <w:ilvl w:val="0"/>
          <w:numId w:val="19"/>
        </w:numPr>
        <w:rPr>
          <w:lang w:val="it-IT"/>
        </w:rPr>
      </w:pPr>
      <w:r w:rsidRPr="00547CB1">
        <w:rPr>
          <w:b/>
          <w:bCs/>
          <w:lang w:val="it-IT"/>
        </w:rPr>
        <w:t>Pattern Architetturale Orchestrato:</w:t>
      </w:r>
      <w:r w:rsidRPr="00547CB1">
        <w:rPr>
          <w:lang w:val="it-IT"/>
        </w:rPr>
        <w:t xml:space="preserve"> Il backend è esposto alla UI tramite un'unica funzione orchestratrice (run_quantitative_analysis). Questo disaccoppia la complessità quantitativa dal frontend: la UI invia il dizionario del portafoglio e riceve un pacchetto strutturato contenente tutte le metriche (volatilità, VaR, ticker scartati) pronte per il render grafico.</w:t>
      </w:r>
    </w:p>
    <w:p w14:paraId="14C6F776" w14:textId="77777777" w:rsidR="005E61A1" w:rsidRPr="001F2660" w:rsidRDefault="005E61A1" w:rsidP="001F2660">
      <w:pPr>
        <w:rPr>
          <w:lang w:val="it-IT"/>
        </w:rPr>
      </w:pPr>
    </w:p>
    <w:sectPr w:rsidR="005E61A1" w:rsidRPr="001F266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9C632B95-0EC4-4BB4-84BD-E77BAB83A770}"/>
    <w:embedItalic r:id="rId2" w:fontKey="{2E6D9086-8EDD-43A6-A5BD-CD4D6136A6B9}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  <w:embedRegular r:id="rId3" w:fontKey="{B29E85B6-FE42-40FA-9962-392C0FECC9D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DA84642C-EE5F-428A-BD92-243B43426B8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9B758A97-3E61-42CF-BF8A-D263E485D78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807B0"/>
    <w:multiLevelType w:val="multilevel"/>
    <w:tmpl w:val="3064F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6E3D7A"/>
    <w:multiLevelType w:val="multilevel"/>
    <w:tmpl w:val="31B2F33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BE90EEB"/>
    <w:multiLevelType w:val="multilevel"/>
    <w:tmpl w:val="0F044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5B70DA"/>
    <w:multiLevelType w:val="multilevel"/>
    <w:tmpl w:val="62E8E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CD3267"/>
    <w:multiLevelType w:val="multilevel"/>
    <w:tmpl w:val="BECAE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87783C"/>
    <w:multiLevelType w:val="multilevel"/>
    <w:tmpl w:val="DAA22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954C11"/>
    <w:multiLevelType w:val="multilevel"/>
    <w:tmpl w:val="DECE46B0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67B7BE2"/>
    <w:multiLevelType w:val="multilevel"/>
    <w:tmpl w:val="D3A60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8D4B7E"/>
    <w:multiLevelType w:val="multilevel"/>
    <w:tmpl w:val="ACA27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7F335B1"/>
    <w:multiLevelType w:val="multilevel"/>
    <w:tmpl w:val="E5FC710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A7B4348"/>
    <w:multiLevelType w:val="multilevel"/>
    <w:tmpl w:val="B024C54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24468EA"/>
    <w:multiLevelType w:val="multilevel"/>
    <w:tmpl w:val="4606D28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eastAsia="Arial" w:hAnsi="Arial" w:cs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94D52F7"/>
    <w:multiLevelType w:val="multilevel"/>
    <w:tmpl w:val="37F8A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6425AA9"/>
    <w:multiLevelType w:val="multilevel"/>
    <w:tmpl w:val="C32AB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037DDF"/>
    <w:multiLevelType w:val="multilevel"/>
    <w:tmpl w:val="3976C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604C32"/>
    <w:multiLevelType w:val="multilevel"/>
    <w:tmpl w:val="BCEC6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810608"/>
    <w:multiLevelType w:val="multilevel"/>
    <w:tmpl w:val="47EEC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5571E7"/>
    <w:multiLevelType w:val="multilevel"/>
    <w:tmpl w:val="D7C674F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eastAsia="Arial" w:hAnsi="Arial" w:cs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7DA9074C"/>
    <w:multiLevelType w:val="multilevel"/>
    <w:tmpl w:val="33EEA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50967961">
    <w:abstractNumId w:val="1"/>
  </w:num>
  <w:num w:numId="2" w16cid:durableId="568079111">
    <w:abstractNumId w:val="17"/>
  </w:num>
  <w:num w:numId="3" w16cid:durableId="1587423407">
    <w:abstractNumId w:val="11"/>
  </w:num>
  <w:num w:numId="4" w16cid:durableId="337923019">
    <w:abstractNumId w:val="10"/>
  </w:num>
  <w:num w:numId="5" w16cid:durableId="534319253">
    <w:abstractNumId w:val="6"/>
  </w:num>
  <w:num w:numId="6" w16cid:durableId="177081483">
    <w:abstractNumId w:val="9"/>
  </w:num>
  <w:num w:numId="7" w16cid:durableId="167645257">
    <w:abstractNumId w:val="2"/>
  </w:num>
  <w:num w:numId="8" w16cid:durableId="1975912015">
    <w:abstractNumId w:val="8"/>
  </w:num>
  <w:num w:numId="9" w16cid:durableId="160128337">
    <w:abstractNumId w:val="3"/>
  </w:num>
  <w:num w:numId="10" w16cid:durableId="529029211">
    <w:abstractNumId w:val="12"/>
  </w:num>
  <w:num w:numId="11" w16cid:durableId="2067219857">
    <w:abstractNumId w:val="15"/>
  </w:num>
  <w:num w:numId="12" w16cid:durableId="1991865987">
    <w:abstractNumId w:val="0"/>
  </w:num>
  <w:num w:numId="13" w16cid:durableId="1275284954">
    <w:abstractNumId w:val="16"/>
  </w:num>
  <w:num w:numId="14" w16cid:durableId="996962626">
    <w:abstractNumId w:val="14"/>
  </w:num>
  <w:num w:numId="15" w16cid:durableId="1291790576">
    <w:abstractNumId w:val="13"/>
  </w:num>
  <w:num w:numId="16" w16cid:durableId="1667972343">
    <w:abstractNumId w:val="18"/>
  </w:num>
  <w:num w:numId="17" w16cid:durableId="609581935">
    <w:abstractNumId w:val="5"/>
  </w:num>
  <w:num w:numId="18" w16cid:durableId="831066206">
    <w:abstractNumId w:val="4"/>
  </w:num>
  <w:num w:numId="19" w16cid:durableId="113745602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28B5"/>
    <w:rsid w:val="000728B5"/>
    <w:rsid w:val="001F2660"/>
    <w:rsid w:val="0038753A"/>
    <w:rsid w:val="003A55DC"/>
    <w:rsid w:val="00547CB1"/>
    <w:rsid w:val="005E61A1"/>
    <w:rsid w:val="008C7949"/>
    <w:rsid w:val="009A6272"/>
    <w:rsid w:val="00C71660"/>
    <w:rsid w:val="00DE2CE1"/>
    <w:rsid w:val="00E72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5BDD77"/>
  <w15:docId w15:val="{2F06B6CB-5F7A-42DE-A1CC-416FEED55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1509</TotalTime>
  <Pages>4</Pages>
  <Words>1307</Words>
  <Characters>7452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Matteo Calia</cp:lastModifiedBy>
  <cp:revision>10</cp:revision>
  <dcterms:created xsi:type="dcterms:W3CDTF">2026-07-02T13:23:00Z</dcterms:created>
  <dcterms:modified xsi:type="dcterms:W3CDTF">2026-07-03T14:35:00Z</dcterms:modified>
</cp:coreProperties>
</file>