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fr-FR"/>
              </w:rPr>
              <w:t>23</w:t>
            </w:r>
            <w:r>
              <w:rPr>
                <w:rFonts w:hint="default"/>
                <w:lang w:val="en"/>
              </w:rPr>
              <w:t>.03.2020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jc w:val="both"/>
              <w:rPr>
                <w:rFonts w:hint="default" w:ascii="Calibri" w:hAnsi="Calibri" w:cs="Calibri"/>
                <w:b w:val="0"/>
                <w:bCs/>
                <w:i w:val="0"/>
                <w:iCs w:val="0"/>
                <w:sz w:val="22"/>
                <w:szCs w:val="22"/>
                <w:lang w:val="fr-FR"/>
              </w:rPr>
            </w:pPr>
            <w:r>
              <w:rPr>
                <w:rFonts w:hint="default" w:ascii="Calibri" w:hAnsi="Calibri" w:cs="Calibri"/>
                <w:b w:val="0"/>
                <w:bCs/>
                <w:i w:val="0"/>
                <w:iCs w:val="0"/>
                <w:sz w:val="22"/>
                <w:szCs w:val="22"/>
                <w:lang w:val="en"/>
              </w:rPr>
              <w:t xml:space="preserve">Oggi come da programma ho </w:t>
            </w:r>
            <w:r>
              <w:rPr>
                <w:rFonts w:hint="default" w:ascii="Calibri" w:hAnsi="Calibri" w:cs="Calibri"/>
                <w:b w:val="0"/>
                <w:bCs/>
                <w:i w:val="0"/>
                <w:iCs w:val="0"/>
                <w:sz w:val="22"/>
                <w:szCs w:val="22"/>
                <w:lang w:val="fr-FR"/>
              </w:rPr>
              <w:t>collegato il PDF con la pagina dei risultati di un formulario così che adesso sotto la nota globale vi è un tasto che consente di aprire il file nel PDF Viewer di default del browser.</w:t>
            </w:r>
          </w:p>
          <w:p>
            <w:pPr>
              <w:bidi w:val="0"/>
              <w:jc w:val="center"/>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drawing>
                <wp:inline distT="0" distB="0" distL="114300" distR="114300">
                  <wp:extent cx="5591175" cy="1199515"/>
                  <wp:effectExtent l="0" t="0" r="9525" b="635"/>
                  <wp:docPr id="1" name="Picture 1" descr="ValutazioneLPI_Final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Final_Results"/>
                          <pic:cNvPicPr>
                            <a:picLocks noChangeAspect="1"/>
                          </pic:cNvPicPr>
                        </pic:nvPicPr>
                        <pic:blipFill>
                          <a:blip r:embed="rId8"/>
                          <a:stretch>
                            <a:fillRect/>
                          </a:stretch>
                        </pic:blipFill>
                        <pic:spPr>
                          <a:xfrm>
                            <a:off x="0" y="0"/>
                            <a:ext cx="5591175" cy="1199515"/>
                          </a:xfrm>
                          <a:prstGeom prst="rect">
                            <a:avLst/>
                          </a:prstGeom>
                        </pic:spPr>
                      </pic:pic>
                    </a:graphicData>
                  </a:graphic>
                </wp:inline>
              </w:drawing>
            </w:r>
          </w:p>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t>Fatto ciò ho, come previsto, testato le funzionalità generali del prodotto trovando alcuni problemi che sono riuscito a risolvere subito e altri che ho aggiunto in un file chiamato TODO.md che si può trovare alla base della repo di GitHub.</w:t>
            </w:r>
          </w:p>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t>I problemi che ho trovato e risolto oggi sono innanzitutto la mancanza del cambio della password che avevo lasciato da parte inizialmente e che ho completato oggi. Quando un utente inserisce la sua email nel form di recupero della password riceve un messaggio all’indirizzo inserito, questo messaggio contiene un link con un token univoco che lo porterà ad una pagina contenente un form dove si potrà inserire la nuova password.</w:t>
            </w:r>
          </w:p>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t>Dopodiché ho risolto dei piccoli errori di caricamento degli utenti dove, se l’utente con l’id passato non esisteva, il programma si bloccava senza mostrare alcun errore.</w:t>
            </w:r>
          </w:p>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t>Ho poi controllato il QdC verificando che tutti i requisiti fossero presenti e ho corretto i mancanti come il limite massimo di 3 motivazioni per un punto in un formulario e la possibilità di scegliere tramite un campo di test i punti alla creazione di un formulario. Quest’ultimo requisito lo ho soddisfatto grazie ad una libreria, Select2 che consente di inserire un campo di ricerca come primo campo di una select.</w:t>
            </w:r>
          </w:p>
          <w:p>
            <w:pPr>
              <w:bidi w:val="0"/>
              <w:jc w:val="center"/>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drawing>
                <wp:inline distT="0" distB="0" distL="114300" distR="114300">
                  <wp:extent cx="5025390" cy="2271395"/>
                  <wp:effectExtent l="0" t="0" r="3810" b="14605"/>
                  <wp:docPr id="2" name="Picture 2" descr="ValutazioneLPI_Sel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lutazioneLPI_Select2"/>
                          <pic:cNvPicPr>
                            <a:picLocks noChangeAspect="1"/>
                          </pic:cNvPicPr>
                        </pic:nvPicPr>
                        <pic:blipFill>
                          <a:blip r:embed="rId9"/>
                          <a:stretch>
                            <a:fillRect/>
                          </a:stretch>
                        </pic:blipFill>
                        <pic:spPr>
                          <a:xfrm>
                            <a:off x="0" y="0"/>
                            <a:ext cx="5025390" cy="2271395"/>
                          </a:xfrm>
                          <a:prstGeom prst="rect">
                            <a:avLst/>
                          </a:prstGeom>
                        </pic:spPr>
                      </pic:pic>
                    </a:graphicData>
                  </a:graphic>
                </wp:inline>
              </w:drawing>
            </w:r>
          </w:p>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fr-FR" w:eastAsia="zh-CN"/>
              </w:rPr>
              <w:t>Infine mi sono portato avanti con la documentazione, più precisamente il capitolo Implementazione.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Theme="minorAscii"/>
                <w:b w:val="0"/>
                <w:bCs/>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fr-FR"/>
              </w:rPr>
            </w:pPr>
            <w:r>
              <w:rPr>
                <w:rFonts w:hint="default"/>
                <w:b w:val="0"/>
                <w:bCs/>
                <w:lang w:val="en"/>
              </w:rPr>
              <w:t xml:space="preserve">La prossima volta voglio </w:t>
            </w:r>
            <w:r>
              <w:rPr>
                <w:rFonts w:hint="default"/>
                <w:b w:val="0"/>
                <w:bCs/>
                <w:lang w:val="fr-FR"/>
              </w:rPr>
              <w:t>continuare a risolvere i problemi rappresentati nel file TODO e continuare la documentazione.</w:t>
            </w:r>
            <w:bookmarkStart w:id="0" w:name="_GoBack"/>
            <w:bookmarkEnd w:id="0"/>
          </w:p>
        </w:tc>
      </w:tr>
    </w:tbl>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DD4E4E"/>
    <w:rsid w:val="3FEEF28B"/>
    <w:rsid w:val="3FFB1B48"/>
    <w:rsid w:val="3FFF8C36"/>
    <w:rsid w:val="3FFFBF54"/>
    <w:rsid w:val="3FFFE823"/>
    <w:rsid w:val="43FB72B1"/>
    <w:rsid w:val="46E8BE57"/>
    <w:rsid w:val="47DBA541"/>
    <w:rsid w:val="47EF550D"/>
    <w:rsid w:val="4DBC7EFF"/>
    <w:rsid w:val="4EA38AC3"/>
    <w:rsid w:val="4F535473"/>
    <w:rsid w:val="4FBB9E65"/>
    <w:rsid w:val="4FDFA75D"/>
    <w:rsid w:val="51C2FE0F"/>
    <w:rsid w:val="51FFA715"/>
    <w:rsid w:val="523FAD88"/>
    <w:rsid w:val="546F32EE"/>
    <w:rsid w:val="54FF5DB0"/>
    <w:rsid w:val="559758F2"/>
    <w:rsid w:val="55EB0C4D"/>
    <w:rsid w:val="55ED7A33"/>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4D51B0"/>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F7DF72"/>
    <w:rsid w:val="75FF3424"/>
    <w:rsid w:val="76C8936B"/>
    <w:rsid w:val="76CFB2BA"/>
    <w:rsid w:val="76DE13E1"/>
    <w:rsid w:val="76FF57BD"/>
    <w:rsid w:val="7702BACD"/>
    <w:rsid w:val="77164B8D"/>
    <w:rsid w:val="775FD9B8"/>
    <w:rsid w:val="77F63F36"/>
    <w:rsid w:val="77F74DEA"/>
    <w:rsid w:val="789D590C"/>
    <w:rsid w:val="793DE853"/>
    <w:rsid w:val="79F718C6"/>
    <w:rsid w:val="7AA2AB38"/>
    <w:rsid w:val="7AFA693D"/>
    <w:rsid w:val="7B77552F"/>
    <w:rsid w:val="7BBB5776"/>
    <w:rsid w:val="7BDDCAFB"/>
    <w:rsid w:val="7BEACB44"/>
    <w:rsid w:val="7BFF1027"/>
    <w:rsid w:val="7BFFF6EA"/>
    <w:rsid w:val="7C6E53D2"/>
    <w:rsid w:val="7C770C1B"/>
    <w:rsid w:val="7CBBF736"/>
    <w:rsid w:val="7CDE0D37"/>
    <w:rsid w:val="7D5BFF64"/>
    <w:rsid w:val="7DDC747B"/>
    <w:rsid w:val="7DF66D8D"/>
    <w:rsid w:val="7DFC10FC"/>
    <w:rsid w:val="7DFEBABD"/>
    <w:rsid w:val="7DFF6C18"/>
    <w:rsid w:val="7E574168"/>
    <w:rsid w:val="7E9ED953"/>
    <w:rsid w:val="7EBD1B76"/>
    <w:rsid w:val="7EC518EC"/>
    <w:rsid w:val="7ED2C42F"/>
    <w:rsid w:val="7ED9AD2B"/>
    <w:rsid w:val="7EDD05FE"/>
    <w:rsid w:val="7EE7D789"/>
    <w:rsid w:val="7EFE1E95"/>
    <w:rsid w:val="7EFEFC89"/>
    <w:rsid w:val="7EFF97B4"/>
    <w:rsid w:val="7EFFFA10"/>
    <w:rsid w:val="7EFFFC72"/>
    <w:rsid w:val="7F35B6D9"/>
    <w:rsid w:val="7F7B3B6C"/>
    <w:rsid w:val="7F8E5765"/>
    <w:rsid w:val="7FAAE012"/>
    <w:rsid w:val="7FAE1914"/>
    <w:rsid w:val="7FB76CC1"/>
    <w:rsid w:val="7FB76F6D"/>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EBFBA6B"/>
    <w:rsid w:val="AF7EC9A5"/>
    <w:rsid w:val="AFD6B8FF"/>
    <w:rsid w:val="AFDE00F0"/>
    <w:rsid w:val="AFDF7233"/>
    <w:rsid w:val="B1FB41C6"/>
    <w:rsid w:val="B39FD87D"/>
    <w:rsid w:val="B3F8E120"/>
    <w:rsid w:val="B3FF1103"/>
    <w:rsid w:val="B4754D97"/>
    <w:rsid w:val="B57B29B0"/>
    <w:rsid w:val="B66E9E4A"/>
    <w:rsid w:val="B67FD656"/>
    <w:rsid w:val="B7B7589A"/>
    <w:rsid w:val="B7CB4CB0"/>
    <w:rsid w:val="B7F7A7DC"/>
    <w:rsid w:val="B7FFDDF1"/>
    <w:rsid w:val="B93919F3"/>
    <w:rsid w:val="BA7B22E0"/>
    <w:rsid w:val="BB5E2D08"/>
    <w:rsid w:val="BBEF9937"/>
    <w:rsid w:val="BC75FD0B"/>
    <w:rsid w:val="BEAAFF22"/>
    <w:rsid w:val="BEC70DDF"/>
    <w:rsid w:val="BEDF25C9"/>
    <w:rsid w:val="BEF5DCAA"/>
    <w:rsid w:val="BEFB0191"/>
    <w:rsid w:val="BEFFAD1F"/>
    <w:rsid w:val="BF57C66E"/>
    <w:rsid w:val="BF6DF868"/>
    <w:rsid w:val="BFA6260E"/>
    <w:rsid w:val="BFAB06A2"/>
    <w:rsid w:val="BFBADE51"/>
    <w:rsid w:val="BFBB5C12"/>
    <w:rsid w:val="BFBD5D81"/>
    <w:rsid w:val="BFBEC11C"/>
    <w:rsid w:val="BFDB8428"/>
    <w:rsid w:val="BFDBCADD"/>
    <w:rsid w:val="BFDC9D73"/>
    <w:rsid w:val="C31779CA"/>
    <w:rsid w:val="C4DE68BC"/>
    <w:rsid w:val="C4EC4916"/>
    <w:rsid w:val="C7D50566"/>
    <w:rsid w:val="C8F6BF8A"/>
    <w:rsid w:val="C92D1E12"/>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6CB65F3"/>
    <w:rsid w:val="D76A4AFA"/>
    <w:rsid w:val="D776DD35"/>
    <w:rsid w:val="D7B7F13A"/>
    <w:rsid w:val="D7BB4EC0"/>
    <w:rsid w:val="D7DF0A0D"/>
    <w:rsid w:val="D7F7DB25"/>
    <w:rsid w:val="D9578F2E"/>
    <w:rsid w:val="D9E7FE3B"/>
    <w:rsid w:val="D9F6DA0A"/>
    <w:rsid w:val="DAA7B573"/>
    <w:rsid w:val="DAED996B"/>
    <w:rsid w:val="DB0756D7"/>
    <w:rsid w:val="DBB305F4"/>
    <w:rsid w:val="DBBAFF37"/>
    <w:rsid w:val="DBEED6AC"/>
    <w:rsid w:val="DBF7D5BF"/>
    <w:rsid w:val="DC43F432"/>
    <w:rsid w:val="DCFF35C3"/>
    <w:rsid w:val="DE5BE2FC"/>
    <w:rsid w:val="DE7F68A0"/>
    <w:rsid w:val="DEBF1336"/>
    <w:rsid w:val="DEDE9C0F"/>
    <w:rsid w:val="DF56A800"/>
    <w:rsid w:val="DF764275"/>
    <w:rsid w:val="DF9FF4C6"/>
    <w:rsid w:val="DFB76F9B"/>
    <w:rsid w:val="DFC563B1"/>
    <w:rsid w:val="DFEA509C"/>
    <w:rsid w:val="DFEF9BFE"/>
    <w:rsid w:val="DFF512CD"/>
    <w:rsid w:val="DFF62C11"/>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9F60D1"/>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EE26C8"/>
    <w:rsid w:val="F9FEDA94"/>
    <w:rsid w:val="FA6B74A7"/>
    <w:rsid w:val="FA7D1F38"/>
    <w:rsid w:val="FA7FFFB2"/>
    <w:rsid w:val="FADF0EBD"/>
    <w:rsid w:val="FB3E5FBC"/>
    <w:rsid w:val="FB7F00A4"/>
    <w:rsid w:val="FB9F0680"/>
    <w:rsid w:val="FBD7C532"/>
    <w:rsid w:val="FBDF2F44"/>
    <w:rsid w:val="FBEF0257"/>
    <w:rsid w:val="FBEFABF1"/>
    <w:rsid w:val="FBEFEA49"/>
    <w:rsid w:val="FBF63FE4"/>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8735CC"/>
    <w:rsid w:val="FF975BBE"/>
    <w:rsid w:val="FF9F8CE6"/>
    <w:rsid w:val="FFAFB77D"/>
    <w:rsid w:val="FFB7D17C"/>
    <w:rsid w:val="FFB9C538"/>
    <w:rsid w:val="FFBED10D"/>
    <w:rsid w:val="FFD7A28D"/>
    <w:rsid w:val="FFDAED7D"/>
    <w:rsid w:val="FFE3751F"/>
    <w:rsid w:val="FFEC2EF7"/>
    <w:rsid w:val="FFEDE502"/>
    <w:rsid w:val="FFF32996"/>
    <w:rsid w:val="FFF6F85A"/>
    <w:rsid w:val="FFF7A3C6"/>
    <w:rsid w:val="FFF86F10"/>
    <w:rsid w:val="FFFDE6EF"/>
    <w:rsid w:val="FFFDF923"/>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819"/>
        <w:tab w:val="right" w:pos="9638"/>
      </w:tabs>
      <w:spacing w:after="0" w:line="240" w:lineRule="auto"/>
    </w:pPr>
  </w:style>
  <w:style w:type="paragraph" w:styleId="7">
    <w:name w:val="header"/>
    <w:basedOn w:val="1"/>
    <w:link w:val="13"/>
    <w:unhideWhenUsed/>
    <w:qFormat/>
    <w:uiPriority w:val="99"/>
    <w:pPr>
      <w:tabs>
        <w:tab w:val="center" w:pos="4819"/>
        <w:tab w:val="right" w:pos="9638"/>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styleId="9">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11">
    <w:name w:val="Light Shading"/>
    <w:basedOn w:val="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3"/>
    <w:link w:val="7"/>
    <w:qFormat/>
    <w:uiPriority w:val="99"/>
  </w:style>
  <w:style w:type="character" w:customStyle="1" w:styleId="14">
    <w:name w:val="Piè di pagina Carattere"/>
    <w:basedOn w:val="3"/>
    <w:link w:val="6"/>
    <w:qFormat/>
    <w:uiPriority w:val="99"/>
  </w:style>
  <w:style w:type="character" w:customStyle="1" w:styleId="15">
    <w:name w:val="Testo fumetto Carattere"/>
    <w:basedOn w:val="3"/>
    <w:link w:val="5"/>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3"/>
    <w:link w:val="10"/>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266</Words>
  <Characters>1260</Characters>
  <Lines>11</Lines>
  <Paragraphs>3</Paragraphs>
  <TotalTime>21</TotalTime>
  <ScaleCrop>false</ScaleCrop>
  <LinksUpToDate>false</LinksUpToDate>
  <CharactersWithSpaces>1468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2015-06-24T21:36:00Z</dcterms:created>
  <dc:creator>NDV</dc:creator>
  <cp:lastModifiedBy>Matteo Forni</cp:lastModifiedBy>
  <cp:lastPrinted>2019-09-13T23:21:00Z</cp:lastPrinted>
  <dcterms:modified xsi:type="dcterms:W3CDTF">2020-03-23T16:38:56Z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